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Modular Controlled-Substance Prescribing Agreement</w:t>
      </w:r>
    </w:p>
    <w:p>
      <w:pPr>
        <w:spacing w:after="120"/>
        <w:rPr>
          <w:color w:val="555B63"/>
        </w:rPr>
      </w:pPr>
      <w:r>
        <w:rPr>
          <w:color w:val="555B63"/>
        </w:rPr>
        <w:t xml:space="preserve">Clause library v1.0.0 (2026-05-25) · Scope: New York and New Jersey only · Opioids, benzodiazepines and stimulants</w:t>
      </w:r>
    </w:p>
    <w:p>
      <w:pPr>
        <w:pStyle w:val="Heading1"/>
      </w:pPr>
      <w:r>
        <w:t xml:space="preserve">How the agreement is assembled</w:t>
      </w:r>
    </w:p>
    <w:p>
      <w:pPr>
        <w:spacing w:after="120"/>
      </w:pPr>
      <w:r>
        <w:t xml:space="preserve">Every agreement uses the same five sections. 15 of the 36 text blocks appear in every agreement; the rest are included or excluded by the controls the prescriber sets. Bracketed fields such as [MEDICATION] are completed at signing; [MEDICATION CLASS] is filled from the substance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60"/>
        <w:gridCol w:w="4500"/>
      </w:tblGrid>
      <w:tr>
        <w:trPr>
          <w:tblHeader/>
        </w:trPr>
        <w:tc>
          <w:tcPr>
            <w:tcW w:type="dxa" w:w="200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Control</w:t>
            </w:r>
          </w:p>
        </w:tc>
        <w:tc>
          <w:tcPr>
            <w:tcW w:type="dxa" w:w="286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Options</w:t>
            </w:r>
          </w:p>
        </w:tc>
        <w:tc>
          <w:tcPr>
            <w:tcW w:type="dxa" w:w="450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What it changes</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State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New York / New Jersey</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Swaps in the correct state PDMP statute — patient consent and provider duty.</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Substance class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 / Benzodiazepine / Stimulant / Multi-class</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Fills the medication-class wording throughout and sets the SmartPhrase code; opioid-involving classes feed naloxone logic.</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Indication status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Established / Inherited / presumptive / None — pending assessment</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Chooses one of three indication statements, from a documented diagnosis to a bridge supply.</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Risk tier</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Standard / Enhanced / High-risk</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Auto-suggested from the risk inputs, always confirmable or overridable. Sets drug-screen frequency, pill counts, reassessment cadence, specialist involvement and review date.</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SUD history</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None / Past / Active</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Past or active SUD adds formulation and SUD-aware language, and raises the suggested tier unless a specialist is involved.</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 + benzodiazepine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the combination-risk acknowledgment, forces naloxone on, and suggests High-risk.</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Age ≥ 65</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Beers-criteria counseling on falls, fractures and cognition; suggests at least Enhanced.</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Driving / safety-sensitive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Off / On</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Adds documented counseling on impairment and occupational reporting obligations.</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Naloxone</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Not indicated / Offered</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Auto-on for opioid + benzo, or an opioid-involving class with a dose or SUD flag. Overridable.</w:t>
            </w:r>
          </w:p>
        </w:tc>
      </w:tr>
      <w:tr>
        <w:tc>
          <w:tcPr>
            <w:tcW w:type="dxa" w:w="20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Other risk inputs</w:t>
            </w:r>
          </w:p>
        </w:tc>
        <w:tc>
          <w:tcPr>
            <w:tcW w:type="dxa" w:w="286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Concurrent CS / Dose ≥ threshold / Early-fill history / Prior lost meds / Specialist involved</w:t>
            </w:r>
          </w:p>
        </w:tc>
        <w:tc>
          <w:tcPr>
            <w:tcW w:type="dxa" w:w="450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Add no text of their own — they drive the risk-tier suggestion, which then drives the tier blocks.</w:t>
            </w:r>
          </w:p>
        </w:tc>
      </w:tr>
    </w:tbl>
    <w:p>
      <w:pPr>
        <w:spacing w:after="120"/>
      </w:pPr>
      <w:r>
        <w:t xml:space="preserve"/>
      </w:r>
    </w:p>
    <w:p>
      <w:pPr>
        <w:pStyle w:val="Heading2"/>
      </w:pPr>
      <w:r>
        <w:t xml:space="preserve">How the risk tier is suggested</w:t>
      </w:r>
    </w:p>
    <w:p>
      <w:pPr>
        <w:spacing w:after="120"/>
      </w:pPr>
      <w:r>
        <w:t xml:space="preserve">High-risk if any of: active SUD without specialist involvement; concurrent opioid + benzodiazepine; cross-class concurrent controlled substances; prior lost-medication report; no indication at a dose at or above threshold.</w:t>
      </w:r>
    </w:p>
    <w:p>
      <w:pPr>
        <w:spacing w:after="120"/>
      </w:pPr>
      <w:r>
        <w:t xml:space="preserve">Otherwise Enhanced if any of: past or active SUD without specialist involvement; early-fill history; dose at or above threshold; age ≥ 65; inherited / presumptive indication; same-class concurrent controlled substance.</w:t>
      </w:r>
    </w:p>
    <w:p>
      <w:pPr>
        <w:spacing w:after="120"/>
      </w:pPr>
      <w:r>
        <w:t xml:space="preserve">Otherwise Standard.</w:t>
      </w:r>
    </w:p>
    <w:p>
      <w:pPr>
        <w:spacing w:after="120"/>
      </w:pPr>
      <w:r>
        <w:t xml:space="preserve">The prescriber confirms or overrides the suggested tier; overrides are flagged. Next review: Standard 12 months, Enhanced 6 months, High-risk 3 months. Naloxone is offered automatically for any opioid + benzodiazepine combination, or for an opioid-involving class (opioid, multi-class) with dose at or above threshold or any SUD history; this is also overridable.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Substance class</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[MEDICATION CLASS] becomes</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Code</w:t>
            </w:r>
          </w:p>
        </w:tc>
        <w:tc>
          <w:tcPr>
            <w:tcW w:type="dxa" w:w="2340"/>
            <w:tcBorders>
              <w:top w:val="single" w:color="D0CCC2" w:sz="4"/>
              <w:left w:val="single" w:color="D0CCC2" w:sz="4"/>
              <w:bottom w:val="single" w:color="D0CCC2" w:sz="4"/>
              <w:right w:val="single" w:color="D0CCC2" w:sz="4"/>
            </w:tcBorders>
            <w:shd w:fill="EDEAE3" w:color="auto" w:val="clear"/>
            <w:tcMar>
              <w:top w:type="dxa" w:w="60"/>
              <w:left w:type="dxa" w:w="100"/>
              <w:bottom w:type="dxa" w:w="60"/>
              <w:right w:type="dxa" w:w="100"/>
            </w:tcMar>
          </w:tcPr>
          <w:p>
            <w:r>
              <w:rPr>
                <w:b/>
                <w:bCs/>
                <w:sz w:val="19"/>
                <w:szCs w:val="19"/>
              </w:rPr>
              <w:t xml:space="preserve">SmartPhrase name</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“opioid”</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OPT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.CSAGREE-OPT-[NY|NJ]-[STD|ENH|HR]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Benzodiazepine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“benzodiazepine”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BNZ</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.CSAGREE-BNZ-[NY|NJ]-[STD|ENH|HR]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Stimulant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“stimulant”</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STM</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.CSAGREE-STM-[NY|NJ]-[STD|ENH|HR]</w:t>
            </w:r>
          </w:p>
        </w:tc>
      </w:tr>
      <w:tr>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Multi-class</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“controlled substance”</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MULTI</w:t>
            </w:r>
          </w:p>
        </w:tc>
        <w:tc>
          <w:tcPr>
            <w:tcW w:type="dxa" w:w="2340"/>
            <w:tcBorders>
              <w:top w:val="single" w:color="D0CCC2" w:sz="4"/>
              <w:left w:val="single" w:color="D0CCC2" w:sz="4"/>
              <w:bottom w:val="single" w:color="D0CCC2" w:sz="4"/>
              <w:right w:val="single" w:color="D0CCC2" w:sz="4"/>
            </w:tcBorders>
            <w:tcMar>
              <w:top w:type="dxa" w:w="60"/>
              <w:left w:type="dxa" w:w="100"/>
              <w:bottom w:type="dxa" w:w="60"/>
              <w:right w:type="dxa" w:w="100"/>
            </w:tcMar>
          </w:tcPr>
          <w:p>
            <w:r>
              <w:rPr>
                <w:sz w:val="19"/>
                <w:szCs w:val="19"/>
              </w:rPr>
              <w:t xml:space="preserve">.CSAGREE-MULTI-[NY|NJ]-[STD|ENH|HR]</w:t>
            </w:r>
          </w:p>
        </w:tc>
      </w:tr>
    </w:tbl>
    <w:p>
      <w:pPr>
        <w:pStyle w:val="Heading1"/>
        <w:keepNext/>
        <w:pageBreakBefore/>
      </w:pPr>
      <w:r>
        <w:t xml:space="preserve">Section 1 — Scope and Parties</w:t>
      </w:r>
    </w:p>
    <w:p>
      <w:pPr>
        <w:spacing w:after="120"/>
        <w:rPr>
          <w:i/>
          <w:iCs/>
        </w:rPr>
      </w:pPr>
      <w:r>
        <w:rPr>
          <w:i/>
          <w:iCs/>
        </w:rPr>
        <w:t xml:space="preserve">Who is agreeing to what, for which medication — and why it is being prescribed. The indication block changes with how well-established the indication is.</w:t>
      </w:r>
    </w:p>
    <w:p>
      <w:pPr>
        <w:pStyle w:val="Heading2"/>
        <w:keepNext/>
      </w:pPr>
      <w:r>
        <w:t xml:space="preserve">Agreement header &amp; clinical-discretion statement</w:t>
      </w:r>
    </w:p>
    <w:p>
      <w:pPr>
        <w:spacing w:after="20"/>
      </w:pPr>
      <w:r>
        <w:rPr>
          <w:b/>
          <w:bCs/>
          <w:color w:val="555B63"/>
          <w:sz w:val="18"/>
          <w:szCs w:val="18"/>
        </w:rPr>
        <w:t xml:space="preserve">Block ID: </w:t>
      </w:r>
      <w:r>
        <w:rPr>
          <w:color w:val="555B63"/>
          <w:sz w:val="18"/>
          <w:szCs w:val="18"/>
        </w:rPr>
        <w:t xml:space="preserve">S1-FIXED-HEADER</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Recommendation 5 (establish treatment goals and care plan at inherited-patient first visit); ASAM/ACMT 2025 (pretaper assessment framework)</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CONTROLLED SUBSTANCE PRESCRIBING AGREEMENT</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This agreement is entered into between [PROVIDER NAME], [TITLE], of Crystal Run Healthcare, and [PATIENT NAME] (Date of Birth: [DOB]) on [DATE]. This agreement covers the following medication(s): [MEDICATION, DOSE, FREQUENCY].</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This agreement is a clinical document establishing shared expectations for the prescribing relationship. It is advisory in nature; experienced providers retain clinical discretion. Nothing in this agreement limits the provider's ability to exercise independent clinical judgment.</w:t>
      </w:r>
    </w:p>
    <w:p>
      <w:pPr>
        <w:pStyle w:val="Heading2"/>
        <w:keepNext/>
      </w:pPr>
      <w:r>
        <w:t xml:space="preserve">Indication — established</w:t>
      </w:r>
    </w:p>
    <w:p>
      <w:pPr>
        <w:spacing w:after="20"/>
      </w:pPr>
      <w:r>
        <w:rPr>
          <w:b/>
          <w:bCs/>
          <w:color w:val="555B63"/>
          <w:sz w:val="18"/>
          <w:szCs w:val="18"/>
        </w:rPr>
        <w:t xml:space="preserve">Block ID: </w:t>
      </w:r>
      <w:r>
        <w:rPr>
          <w:color w:val="555B63"/>
          <w:sz w:val="18"/>
          <w:szCs w:val="18"/>
        </w:rPr>
        <w:t xml:space="preserve">S1-VAR-INDICATION-ESTABLISHED</w:t>
      </w:r>
    </w:p>
    <w:p>
      <w:pPr>
        <w:spacing w:after="20"/>
      </w:pPr>
      <w:r>
        <w:rPr>
          <w:b/>
          <w:bCs/>
          <w:color w:val="555B63"/>
          <w:sz w:val="18"/>
          <w:szCs w:val="18"/>
        </w:rPr>
        <w:t xml:space="preserve">Inclusion rule: </w:t>
      </w:r>
      <w:r>
        <w:rPr>
          <w:color w:val="555B63"/>
          <w:sz w:val="18"/>
          <w:szCs w:val="18"/>
        </w:rPr>
        <w:t xml:space="preserve">Included when Indication status = established</w:t>
      </w:r>
    </w:p>
    <w:p>
      <w:pPr>
        <w:spacing w:after="20"/>
      </w:pPr>
      <w:r>
        <w:rPr>
          <w:b/>
          <w:bCs/>
          <w:color w:val="555B63"/>
          <w:sz w:val="18"/>
          <w:szCs w:val="18"/>
        </w:rPr>
        <w:t xml:space="preserve">Authority: </w:t>
      </w:r>
      <w:r>
        <w:rPr>
          <w:color w:val="555B63"/>
          <w:sz w:val="18"/>
          <w:szCs w:val="18"/>
        </w:rPr>
        <w:t xml:space="preserve">Standard documentation practice</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This agreement covers [MEDICATION] prescribed for the management of [DIAGNOSED CONDITION], documented in the medical record.</w:t>
      </w:r>
    </w:p>
    <w:p>
      <w:pPr>
        <w:pStyle w:val="Heading2"/>
        <w:keepNext/>
      </w:pPr>
      <w:r>
        <w:t xml:space="preserve">Indication — inherited / presumptive</w:t>
      </w:r>
    </w:p>
    <w:p>
      <w:pPr>
        <w:spacing w:after="20"/>
      </w:pPr>
      <w:r>
        <w:rPr>
          <w:b/>
          <w:bCs/>
          <w:color w:val="555B63"/>
          <w:sz w:val="18"/>
          <w:szCs w:val="18"/>
        </w:rPr>
        <w:t xml:space="preserve">Block ID: </w:t>
      </w:r>
      <w:r>
        <w:rPr>
          <w:color w:val="555B63"/>
          <w:sz w:val="18"/>
          <w:szCs w:val="18"/>
        </w:rPr>
        <w:t xml:space="preserve">S1-VAR-INDICATION-INHERITED</w:t>
      </w:r>
    </w:p>
    <w:p>
      <w:pPr>
        <w:spacing w:after="20"/>
      </w:pPr>
      <w:r>
        <w:rPr>
          <w:b/>
          <w:bCs/>
          <w:color w:val="555B63"/>
          <w:sz w:val="18"/>
          <w:szCs w:val="18"/>
        </w:rPr>
        <w:t xml:space="preserve">Inclusion rule: </w:t>
      </w:r>
      <w:r>
        <w:rPr>
          <w:color w:val="555B63"/>
          <w:sz w:val="18"/>
          <w:szCs w:val="18"/>
        </w:rPr>
        <w:t xml:space="preserve">Included when Indication status = inherited-presumptive</w:t>
      </w:r>
    </w:p>
    <w:p>
      <w:pPr>
        <w:spacing w:after="20"/>
      </w:pPr>
      <w:r>
        <w:rPr>
          <w:b/>
          <w:bCs/>
          <w:color w:val="555B63"/>
          <w:sz w:val="18"/>
          <w:szCs w:val="18"/>
        </w:rPr>
        <w:t xml:space="preserve">Authority: </w:t>
      </w:r>
      <w:r>
        <w:rPr>
          <w:color w:val="555B63"/>
          <w:sz w:val="18"/>
          <w:szCs w:val="18"/>
        </w:rPr>
        <w:t xml:space="preserve">CDC 2022 Recommendation 5; ASAM/ACMT 2025 Section on Inherited Patients</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This agreement covers [MEDICATION] as an inherited prescription. A clinical assessment to formally establish the indication is planned within [N] visits. Continuation at this time is to prevent precipitated withdrawal or abrupt discontinuation harm pending that assessment. This continuation does not constitute endorsement of the prior prescribing provider's clinical decisions.</w:t>
      </w:r>
    </w:p>
    <w:p>
      <w:pPr>
        <w:pStyle w:val="Heading2"/>
        <w:keepNext/>
      </w:pPr>
      <w:r>
        <w:t xml:space="preserve">Indication — none, bridge supply</w:t>
      </w:r>
    </w:p>
    <w:p>
      <w:pPr>
        <w:spacing w:after="20"/>
      </w:pPr>
      <w:r>
        <w:rPr>
          <w:b/>
          <w:bCs/>
          <w:color w:val="555B63"/>
          <w:sz w:val="18"/>
          <w:szCs w:val="18"/>
        </w:rPr>
        <w:t xml:space="preserve">Block ID: </w:t>
      </w:r>
      <w:r>
        <w:rPr>
          <w:color w:val="555B63"/>
          <w:sz w:val="18"/>
          <w:szCs w:val="18"/>
        </w:rPr>
        <w:t xml:space="preserve">S1-VAR-INDICATION-NONE</w:t>
      </w:r>
    </w:p>
    <w:p>
      <w:pPr>
        <w:spacing w:after="20"/>
      </w:pPr>
      <w:r>
        <w:rPr>
          <w:b/>
          <w:bCs/>
          <w:color w:val="555B63"/>
          <w:sz w:val="18"/>
          <w:szCs w:val="18"/>
        </w:rPr>
        <w:t xml:space="preserve">Inclusion rule: </w:t>
      </w:r>
      <w:r>
        <w:rPr>
          <w:color w:val="555B63"/>
          <w:sz w:val="18"/>
          <w:szCs w:val="18"/>
        </w:rPr>
        <w:t xml:space="preserve">Included when Indication status = none-pending-assessment</w:t>
      </w:r>
    </w:p>
    <w:p>
      <w:pPr>
        <w:spacing w:after="20"/>
      </w:pPr>
      <w:r>
        <w:rPr>
          <w:b/>
          <w:bCs/>
          <w:color w:val="555B63"/>
          <w:sz w:val="18"/>
          <w:szCs w:val="18"/>
        </w:rPr>
        <w:t xml:space="preserve">Authority: </w:t>
      </w:r>
      <w:r>
        <w:rPr>
          <w:color w:val="555B63"/>
          <w:sz w:val="18"/>
          <w:szCs w:val="18"/>
        </w:rPr>
        <w:t xml:space="preserve">ASAM/ACMT 2025; institutional risk management</w:t>
      </w:r>
      <w:r>
        <w:rPr>
          <w:color w:val="1F4E79"/>
          <w:sz w:val="18"/>
          <w:szCs w:val="18"/>
        </w:rPr>
        <w:t xml:space="preserve">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Indication: No documented clinical indication has been established for [MEDICATION] at this time. This agreement covers a bridge supply only, issued to prevent precipitated withdrawal while a full clinical assessment is completed within [N] visits. Continuation beyond that assessment requires an established indication.</w:t>
      </w:r>
    </w:p>
    <w:p>
      <w:pPr>
        <w:pStyle w:val="Heading1"/>
        <w:keepNext/>
      </w:pPr>
      <w:r>
        <w:t xml:space="preserve">Section 2 — Patient Obligations</w:t>
      </w:r>
    </w:p>
    <w:p>
      <w:pPr>
        <w:spacing w:after="120"/>
        <w:rPr>
          <w:i/>
          <w:iCs/>
        </w:rPr>
      </w:pPr>
      <w:r>
        <w:rPr>
          <w:i/>
          <w:iCs/>
        </w:rPr>
        <w:t xml:space="preserve">What the patient agrees to. Core obligations are identical for everyone; monitoring intensity, PDMP wording, and SUD-aware formulation language are modular.</w:t>
      </w:r>
    </w:p>
    <w:p>
      <w:pPr>
        <w:pStyle w:val="Heading2"/>
        <w:keepNext/>
      </w:pPr>
      <w:r>
        <w:t xml:space="preserve">Single prescriber</w:t>
      </w:r>
    </w:p>
    <w:p>
      <w:pPr>
        <w:spacing w:after="20"/>
      </w:pPr>
      <w:r>
        <w:rPr>
          <w:b/>
          <w:bCs/>
          <w:color w:val="555B63"/>
          <w:sz w:val="18"/>
          <w:szCs w:val="18"/>
        </w:rPr>
        <w:t xml:space="preserve">Block ID: </w:t>
      </w:r>
      <w:r>
        <w:rPr>
          <w:color w:val="555B63"/>
          <w:sz w:val="18"/>
          <w:szCs w:val="18"/>
        </w:rPr>
        <w:t xml:space="preserve">S2-FIXED-SINGLE-PRESCRIBER</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§1306.04 (legitimate medical purpose standard); standard of care convention</w:t>
      </w:r>
      <w:r>
        <w:rPr>
          <w:color w:val="1F4E79"/>
          <w:sz w:val="18"/>
          <w:szCs w:val="18"/>
        </w:rPr>
        <w:t xml:space="preserve">  [17]</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Single prescriber: I agree to obtain [MEDICATION CLASS] prescriptions from a single prescriber — the provider named in this agreement. I will not seek prescriptions for [MEDICATION CLASS] from any other provider without the knowledge and documented coordination of my prescribing provider.</w:t>
      </w:r>
    </w:p>
    <w:p>
      <w:pPr>
        <w:pStyle w:val="Heading2"/>
        <w:keepNext/>
      </w:pPr>
      <w:r>
        <w:t xml:space="preserve">Single pharmacy</w:t>
      </w:r>
    </w:p>
    <w:p>
      <w:pPr>
        <w:spacing w:after="20"/>
      </w:pPr>
      <w:r>
        <w:rPr>
          <w:b/>
          <w:bCs/>
          <w:color w:val="555B63"/>
          <w:sz w:val="18"/>
          <w:szCs w:val="18"/>
        </w:rPr>
        <w:t xml:space="preserve">Block ID: </w:t>
      </w:r>
      <w:r>
        <w:rPr>
          <w:color w:val="555B63"/>
          <w:sz w:val="18"/>
          <w:szCs w:val="18"/>
        </w:rPr>
        <w:t xml:space="preserve">S2-FIXED-SINGLE-PHARMACY</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risk management</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Single pharmacy: I agree to fill all prescriptions for [MEDICATION] at a single pharmacy: [PHARMACY NAME AND LOCATION]. I will notify my provider in advance if I need to use a different pharmacy due to supply issues, travel, or insurance requirements, and will document the reason.</w:t>
      </w:r>
    </w:p>
    <w:p>
      <w:pPr>
        <w:pStyle w:val="Heading2"/>
        <w:keepNext/>
      </w:pPr>
      <w:r>
        <w:t xml:space="preserve">Use as prescribed</w:t>
      </w:r>
    </w:p>
    <w:p>
      <w:pPr>
        <w:spacing w:after="20"/>
      </w:pPr>
      <w:r>
        <w:rPr>
          <w:b/>
          <w:bCs/>
          <w:color w:val="555B63"/>
          <w:sz w:val="18"/>
          <w:szCs w:val="18"/>
        </w:rPr>
        <w:t xml:space="preserve">Block ID: </w:t>
      </w:r>
      <w:r>
        <w:rPr>
          <w:color w:val="555B63"/>
          <w:sz w:val="18"/>
          <w:szCs w:val="18"/>
        </w:rPr>
        <w:t xml:space="preserve">S2-FIXED-AS-PRESCRIBED</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Standard prescribing agreement element; CDC 2022</w:t>
      </w:r>
      <w:r>
        <w:rPr>
          <w:color w:val="1F4E79"/>
          <w:sz w:val="18"/>
          <w:szCs w:val="18"/>
        </w:rPr>
        <w:t xml:space="preserve">  [1]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Use as prescribed: I agree to take [MEDICATION] only as prescribed — at the prescribed dose, frequency, and for the prescribed indication. I will not adjust my dose without discussing it with my provider first.</w:t>
      </w:r>
    </w:p>
    <w:p>
      <w:pPr>
        <w:pStyle w:val="Heading2"/>
        <w:keepNext/>
      </w:pPr>
      <w:r>
        <w:t xml:space="preserve">No sharing or transfer</w:t>
      </w:r>
    </w:p>
    <w:p>
      <w:pPr>
        <w:spacing w:after="20"/>
      </w:pPr>
      <w:r>
        <w:rPr>
          <w:b/>
          <w:bCs/>
          <w:color w:val="555B63"/>
          <w:sz w:val="18"/>
          <w:szCs w:val="18"/>
        </w:rPr>
        <w:t xml:space="preserve">Block ID: </w:t>
      </w:r>
      <w:r>
        <w:rPr>
          <w:color w:val="555B63"/>
          <w:sz w:val="18"/>
          <w:szCs w:val="18"/>
        </w:rPr>
        <w:t xml:space="preserve">S2-FIXED-NO-SHARING</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USC §841</w:t>
      </w:r>
      <w:r>
        <w:rPr>
          <w:color w:val="1F4E79"/>
          <w:sz w:val="18"/>
          <w:szCs w:val="18"/>
        </w:rPr>
        <w:t xml:space="preserve">  [19]</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No sharing or transfer: I understand that sharing, selling, or otherwise transferring my controlled substance prescription to another person is a federal felony under 21 USC §841. I agree not to do so.</w:t>
      </w:r>
    </w:p>
    <w:p>
      <w:pPr>
        <w:pStyle w:val="Heading2"/>
        <w:keepNext/>
      </w:pPr>
      <w:r>
        <w:t xml:space="preserve">Safe storage</w:t>
      </w:r>
    </w:p>
    <w:p>
      <w:pPr>
        <w:spacing w:after="20"/>
      </w:pPr>
      <w:r>
        <w:rPr>
          <w:b/>
          <w:bCs/>
          <w:color w:val="555B63"/>
          <w:sz w:val="18"/>
          <w:szCs w:val="18"/>
        </w:rPr>
        <w:t xml:space="preserve">Block ID: </w:t>
      </w:r>
      <w:r>
        <w:rPr>
          <w:color w:val="555B63"/>
          <w:sz w:val="18"/>
          <w:szCs w:val="18"/>
        </w:rPr>
        <w:t xml:space="preserve">S2-FIXED-SAFE-STORAGE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DEA guidance on safe medication storage</w:t>
      </w:r>
      <w:r>
        <w:rPr>
          <w:color w:val="1F4E79"/>
          <w:sz w:val="18"/>
          <w:szCs w:val="18"/>
        </w:rPr>
        <w:t xml:space="preserve">  [1, 22]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Safe storage: I agree to store [MEDICATION] in a secure location, out of reach of children and visitors. I understand that proper storage is my responsibility.</w:t>
      </w:r>
    </w:p>
    <w:p>
      <w:pPr>
        <w:pStyle w:val="Heading2"/>
        <w:keepNext/>
      </w:pPr>
      <w:r>
        <w:t xml:space="preserve">Disclosure of other substances</w:t>
      </w:r>
    </w:p>
    <w:p>
      <w:pPr>
        <w:spacing w:after="20"/>
      </w:pPr>
      <w:r>
        <w:rPr>
          <w:b/>
          <w:bCs/>
          <w:color w:val="555B63"/>
          <w:sz w:val="18"/>
          <w:szCs w:val="18"/>
        </w:rPr>
        <w:t xml:space="preserve">Block ID: </w:t>
      </w:r>
      <w:r>
        <w:rPr>
          <w:color w:val="555B63"/>
          <w:sz w:val="18"/>
          <w:szCs w:val="18"/>
        </w:rPr>
        <w:t xml:space="preserve">S2-FIXED-DISCLOSURE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Standard safety monitoring practice</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Disclosure: I agree to inform my provider of all other medications, supplements, and substances I am using, including over-the-counter medications, alcohol, cannabis, and any controlled substances prescribed by other providers.</w:t>
      </w:r>
    </w:p>
    <w:p>
      <w:pPr>
        <w:pStyle w:val="Heading2"/>
        <w:keepNext/>
      </w:pPr>
      <w:r>
        <w:t xml:space="preserve">PDMP consent — New York (I-STOP)</w:t>
      </w:r>
    </w:p>
    <w:p>
      <w:pPr>
        <w:spacing w:after="20"/>
      </w:pPr>
      <w:r>
        <w:rPr>
          <w:b/>
          <w:bCs/>
          <w:color w:val="555B63"/>
          <w:sz w:val="18"/>
          <w:szCs w:val="18"/>
        </w:rPr>
        <w:t xml:space="preserve">Block ID: </w:t>
      </w:r>
      <w:r>
        <w:rPr>
          <w:color w:val="555B63"/>
          <w:sz w:val="18"/>
          <w:szCs w:val="18"/>
        </w:rPr>
        <w:t xml:space="preserve">S2-VAR-PDMP-NY</w:t>
      </w:r>
    </w:p>
    <w:p>
      <w:pPr>
        <w:spacing w:after="20"/>
      </w:pPr>
      <w:r>
        <w:rPr>
          <w:b/>
          <w:bCs/>
          <w:color w:val="555B63"/>
          <w:sz w:val="18"/>
          <w:szCs w:val="18"/>
        </w:rPr>
        <w:t xml:space="preserve">Inclusion rule: </w:t>
      </w:r>
      <w:r>
        <w:rPr>
          <w:color w:val="555B63"/>
          <w:sz w:val="18"/>
          <w:szCs w:val="18"/>
        </w:rPr>
        <w:t xml:space="preserve">Included when State = NY</w:t>
      </w:r>
    </w:p>
    <w:p>
      <w:pPr>
        <w:spacing w:after="20"/>
      </w:pPr>
      <w:r>
        <w:rPr>
          <w:b/>
          <w:bCs/>
          <w:color w:val="555B63"/>
          <w:sz w:val="18"/>
          <w:szCs w:val="18"/>
        </w:rPr>
        <w:t xml:space="preserve">Authority: </w:t>
      </w:r>
      <w:r>
        <w:rPr>
          <w:color w:val="555B63"/>
          <w:sz w:val="18"/>
          <w:szCs w:val="18"/>
        </w:rPr>
        <w:t xml:space="preserve">NY Public Health Law §3343-a</w:t>
      </w:r>
      <w:r>
        <w:rPr>
          <w:color w:val="1F4E79"/>
          <w:sz w:val="18"/>
          <w:szCs w:val="18"/>
        </w:rPr>
        <w:t xml:space="preserve">  [20]</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Prescription monitoring: I understand that my provider is required by New York Public Health Law §3343-a (I-STOP) to review the New York State Prescription Monitoring Program registry before every prescription of this controlled substance. I consent to this review.</w:t>
      </w:r>
    </w:p>
    <w:p>
      <w:pPr>
        <w:pStyle w:val="Heading2"/>
        <w:keepNext/>
      </w:pPr>
      <w:r>
        <w:t xml:space="preserve">PDMP consent — New Jersey</w:t>
      </w:r>
    </w:p>
    <w:p>
      <w:pPr>
        <w:spacing w:after="20"/>
      </w:pPr>
      <w:r>
        <w:rPr>
          <w:b/>
          <w:bCs/>
          <w:color w:val="555B63"/>
          <w:sz w:val="18"/>
          <w:szCs w:val="18"/>
        </w:rPr>
        <w:t xml:space="preserve">Block ID: </w:t>
      </w:r>
      <w:r>
        <w:rPr>
          <w:color w:val="555B63"/>
          <w:sz w:val="18"/>
          <w:szCs w:val="18"/>
        </w:rPr>
        <w:t xml:space="preserve">S2-VAR-PDMP-NJ</w:t>
      </w:r>
    </w:p>
    <w:p>
      <w:pPr>
        <w:spacing w:after="20"/>
      </w:pPr>
      <w:r>
        <w:rPr>
          <w:b/>
          <w:bCs/>
          <w:color w:val="555B63"/>
          <w:sz w:val="18"/>
          <w:szCs w:val="18"/>
        </w:rPr>
        <w:t xml:space="preserve">Inclusion rule: </w:t>
      </w:r>
      <w:r>
        <w:rPr>
          <w:color w:val="555B63"/>
          <w:sz w:val="18"/>
          <w:szCs w:val="18"/>
        </w:rPr>
        <w:t xml:space="preserve">Included when State = NJ</w:t>
      </w:r>
    </w:p>
    <w:p>
      <w:pPr>
        <w:spacing w:after="20"/>
      </w:pPr>
      <w:r>
        <w:rPr>
          <w:b/>
          <w:bCs/>
          <w:color w:val="555B63"/>
          <w:sz w:val="18"/>
          <w:szCs w:val="18"/>
        </w:rPr>
        <w:t xml:space="preserve">Authority: </w:t>
      </w:r>
      <w:r>
        <w:rPr>
          <w:color w:val="555B63"/>
          <w:sz w:val="18"/>
          <w:szCs w:val="18"/>
        </w:rPr>
        <w:t xml:space="preserve">NJSA 45:1-46.1 (P.L.2017 c.341)</w:t>
      </w:r>
      <w:r>
        <w:rPr>
          <w:color w:val="1F4E79"/>
          <w:sz w:val="18"/>
          <w:szCs w:val="18"/>
        </w:rPr>
        <w:t xml:space="preserve">  [21]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Prescription monitoring: I understand that my provider is required by NJSA 45:1-46.1 to review the New Jersey Prescription Monitoring Program at my first visit and quarterly during ongoing therapy. I consent to this review.</w:t>
      </w:r>
    </w:p>
    <w:p>
      <w:pPr>
        <w:pStyle w:val="Heading2"/>
        <w:keepNext/>
      </w:pPr>
      <w:r>
        <w:t xml:space="preserve">Drug screening — every 6–12 months</w:t>
      </w:r>
    </w:p>
    <w:p>
      <w:pPr>
        <w:spacing w:after="20"/>
      </w:pPr>
      <w:r>
        <w:rPr>
          <w:b/>
          <w:bCs/>
          <w:color w:val="555B63"/>
          <w:sz w:val="18"/>
          <w:szCs w:val="18"/>
        </w:rPr>
        <w:t xml:space="preserve">Block ID: </w:t>
      </w:r>
      <w:r>
        <w:rPr>
          <w:color w:val="555B63"/>
          <w:sz w:val="18"/>
          <w:szCs w:val="18"/>
        </w:rPr>
        <w:t xml:space="preserve">S2-VAR-UDS-STANDARD</w:t>
      </w:r>
    </w:p>
    <w:p>
      <w:pPr>
        <w:spacing w:after="20"/>
      </w:pPr>
      <w:r>
        <w:rPr>
          <w:b/>
          <w:bCs/>
          <w:color w:val="555B63"/>
          <w:sz w:val="18"/>
          <w:szCs w:val="18"/>
        </w:rPr>
        <w:t xml:space="preserve">Inclusion rule: </w:t>
      </w:r>
      <w:r>
        <w:rPr>
          <w:color w:val="555B63"/>
          <w:sz w:val="18"/>
          <w:szCs w:val="18"/>
        </w:rPr>
        <w:t xml:space="preserve">Included when Risk tier = standard</w:t>
      </w:r>
    </w:p>
    <w:p>
      <w:pPr>
        <w:spacing w:after="20"/>
      </w:pPr>
      <w:r>
        <w:rPr>
          <w:b/>
          <w:bCs/>
          <w:color w:val="555B63"/>
          <w:sz w:val="18"/>
          <w:szCs w:val="18"/>
        </w:rPr>
        <w:t xml:space="preserve">Authority: </w:t>
      </w:r>
      <w:r>
        <w:rPr>
          <w:color w:val="555B63"/>
          <w:sz w:val="18"/>
          <w:szCs w:val="18"/>
        </w:rPr>
        <w:t xml:space="preserve">AAPM/APS expert consensus; CDC 2022 (at least annually)</w:t>
      </w:r>
      <w:r>
        <w:rPr>
          <w:color w:val="1F4E79"/>
          <w:sz w:val="18"/>
          <w:szCs w:val="18"/>
        </w:rPr>
        <w:t xml:space="preserve">  [1,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when requested by my provider, at a frequency of approximately every 6–12 months or as clinically indicated. I understand that the purpose of this screening is to support safe prescribing, not to punish me.</w:t>
      </w:r>
    </w:p>
    <w:p>
      <w:pPr>
        <w:pStyle w:val="Heading2"/>
        <w:keepNext/>
      </w:pPr>
      <w:r>
        <w:t xml:space="preserve">Drug screening — about every 3 months</w:t>
      </w:r>
    </w:p>
    <w:p>
      <w:pPr>
        <w:spacing w:after="20"/>
      </w:pPr>
      <w:r>
        <w:rPr>
          <w:b/>
          <w:bCs/>
          <w:color w:val="555B63"/>
          <w:sz w:val="18"/>
          <w:szCs w:val="18"/>
        </w:rPr>
        <w:t xml:space="preserve">Block ID: </w:t>
      </w:r>
      <w:r>
        <w:rPr>
          <w:color w:val="555B63"/>
          <w:sz w:val="18"/>
          <w:szCs w:val="18"/>
        </w:rPr>
        <w:t xml:space="preserve">S2-VAR-UDS-ENHANCED</w:t>
      </w:r>
    </w:p>
    <w:p>
      <w:pPr>
        <w:spacing w:after="20"/>
      </w:pPr>
      <w:r>
        <w:rPr>
          <w:b/>
          <w:bCs/>
          <w:color w:val="555B63"/>
          <w:sz w:val="18"/>
          <w:szCs w:val="18"/>
        </w:rPr>
        <w:t xml:space="preserve">Inclusion rule: </w:t>
      </w:r>
      <w:r>
        <w:rPr>
          <w:color w:val="555B63"/>
          <w:sz w:val="18"/>
          <w:szCs w:val="18"/>
        </w:rPr>
        <w:t xml:space="preserve">Included when Risk tier = enhanced</w:t>
      </w:r>
    </w:p>
    <w:p>
      <w:pPr>
        <w:spacing w:after="20"/>
      </w:pPr>
      <w:r>
        <w:rPr>
          <w:b/>
          <w:bCs/>
          <w:color w:val="555B63"/>
          <w:sz w:val="18"/>
          <w:szCs w:val="18"/>
        </w:rPr>
        <w:t xml:space="preserve">Authority: </w:t>
      </w:r>
      <w:r>
        <w:rPr>
          <w:color w:val="555B63"/>
          <w:sz w:val="18"/>
          <w:szCs w:val="18"/>
        </w:rPr>
        <w:t xml:space="preserve">AAPM/APS expert consensus (1–3 times/year for moderate risk)</w:t>
      </w:r>
      <w:r>
        <w:rPr>
          <w:color w:val="1F4E79"/>
          <w:sz w:val="18"/>
          <w:szCs w:val="18"/>
        </w:rPr>
        <w:t xml:space="preserve">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when requested by my provider, at a frequency of approximately every 3 months or as clinically indicated. I understand that the purpose of this screening is to support safe prescribing, not to punish me.</w:t>
      </w:r>
    </w:p>
    <w:p>
      <w:pPr>
        <w:pStyle w:val="Heading2"/>
        <w:keepNext/>
      </w:pPr>
      <w:r>
        <w:t xml:space="preserve">Drug screening — every visit</w:t>
      </w:r>
    </w:p>
    <w:p>
      <w:pPr>
        <w:spacing w:after="20"/>
      </w:pPr>
      <w:r>
        <w:rPr>
          <w:b/>
          <w:bCs/>
          <w:color w:val="555B63"/>
          <w:sz w:val="18"/>
          <w:szCs w:val="18"/>
        </w:rPr>
        <w:t xml:space="preserve">Block ID: </w:t>
      </w:r>
      <w:r>
        <w:rPr>
          <w:color w:val="555B63"/>
          <w:sz w:val="18"/>
          <w:szCs w:val="18"/>
        </w:rPr>
        <w:t xml:space="preserve">S2-VAR-UDS-HIGHRISK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AAPM/APS expert consensus; institutional high-risk monitoring standard</w:t>
      </w:r>
      <w:r>
        <w:rPr>
          <w:color w:val="1F4E79"/>
          <w:sz w:val="18"/>
          <w:szCs w:val="18"/>
        </w:rPr>
        <w:t xml:space="preserve">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Drug screening: I agree to provide urine samples for drug screening at every visit or as requested by my provider. I understand that the purpose of this screening is to support safe prescribing and my safety, not to punish me.</w:t>
      </w:r>
    </w:p>
    <w:p>
      <w:pPr>
        <w:pStyle w:val="Heading2"/>
        <w:keepNext/>
      </w:pPr>
      <w:r>
        <w:t xml:space="preserve">Refill timing</w:t>
      </w:r>
    </w:p>
    <w:p>
      <w:pPr>
        <w:spacing w:after="20"/>
      </w:pPr>
      <w:r>
        <w:rPr>
          <w:b/>
          <w:bCs/>
          <w:color w:val="555B63"/>
          <w:sz w:val="18"/>
          <w:szCs w:val="18"/>
        </w:rPr>
        <w:t xml:space="preserve">Block ID: </w:t>
      </w:r>
      <w:r>
        <w:rPr>
          <w:color w:val="555B63"/>
          <w:sz w:val="18"/>
          <w:szCs w:val="18"/>
        </w:rPr>
        <w:t xml:space="preserve">S2-VAR-NO-EARLY-REFILLS</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§1306.12; CDC 2022</w:t>
      </w:r>
      <w:r>
        <w:rPr>
          <w:color w:val="1F4E79"/>
          <w:sz w:val="18"/>
          <w:szCs w:val="18"/>
        </w:rPr>
        <w:t xml:space="preserve">  [1, 18]</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Refill timing: I understand that my medication will be prescribed on a set schedule. I agree not to request early refills except in advance for documented travel or documented supply-chain issues. I understand that federal law (21 CFR §1306.12) permits multiple sequential prescriptions with earliest fill dates for up to 90 days of supply when clinically appropriate.</w:t>
      </w:r>
    </w:p>
    <w:p>
      <w:pPr>
        <w:pStyle w:val="Heading2"/>
        <w:keepNext/>
      </w:pPr>
      <w:r>
        <w:t xml:space="preserve">Lost or stolen medication</w:t>
      </w:r>
    </w:p>
    <w:p>
      <w:pPr>
        <w:spacing w:after="20"/>
      </w:pPr>
      <w:r>
        <w:rPr>
          <w:b/>
          <w:bCs/>
          <w:color w:val="555B63"/>
          <w:sz w:val="18"/>
          <w:szCs w:val="18"/>
        </w:rPr>
        <w:t xml:space="preserve">Block ID: </w:t>
      </w:r>
      <w:r>
        <w:rPr>
          <w:color w:val="555B63"/>
          <w:sz w:val="18"/>
          <w:szCs w:val="18"/>
        </w:rPr>
        <w:t xml:space="preserve">S2-VAR-NO-REPLACEMENT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21 CFR §1306.04; ACOEM Opioid Treatment Contract template; institutional policy</w:t>
      </w:r>
      <w:r>
        <w:rPr>
          <w:color w:val="1F4E79"/>
          <w:sz w:val="18"/>
          <w:szCs w:val="18"/>
        </w:rPr>
        <w:t xml:space="preserve">  [16, 17]</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Lost or stolen medication: I understand that Crystal Run Healthcare's policy is not to replace lost or stolen controlled substance prescriptions. I understand that this is an institutional policy; federal law does not categorically prohibit replacement. If my medication is lost or stolen, I agree to report the loss to my provider and, if stolen, to file a police report.</w:t>
      </w:r>
    </w:p>
    <w:p>
      <w:pPr>
        <w:pStyle w:val="Heading2"/>
        <w:keepNext/>
      </w:pPr>
      <w:r>
        <w:t xml:space="preserve">Extended-release / prodrug formulation</w:t>
      </w:r>
    </w:p>
    <w:p>
      <w:pPr>
        <w:spacing w:after="20"/>
      </w:pPr>
      <w:r>
        <w:rPr>
          <w:b/>
          <w:bCs/>
          <w:color w:val="555B63"/>
          <w:sz w:val="18"/>
          <w:szCs w:val="18"/>
        </w:rPr>
        <w:t xml:space="preserve">Block ID: </w:t>
      </w:r>
      <w:r>
        <w:rPr>
          <w:color w:val="555B63"/>
          <w:sz w:val="18"/>
          <w:szCs w:val="18"/>
        </w:rPr>
        <w:t xml:space="preserve">S2-VAR-ER-FORMULATION</w:t>
      </w:r>
    </w:p>
    <w:p>
      <w:pPr>
        <w:spacing w:after="20"/>
      </w:pPr>
      <w:r>
        <w:rPr>
          <w:b/>
          <w:bCs/>
          <w:color w:val="555B63"/>
          <w:sz w:val="18"/>
          <w:szCs w:val="18"/>
        </w:rPr>
        <w:t xml:space="preserve">Inclusion rule: </w:t>
      </w:r>
      <w:r>
        <w:rPr>
          <w:color w:val="555B63"/>
          <w:sz w:val="18"/>
          <w:szCs w:val="18"/>
        </w:rPr>
        <w:t xml:space="preserve">Included when SUD history = past or active</w:t>
      </w:r>
    </w:p>
    <w:p>
      <w:pPr>
        <w:spacing w:after="20"/>
      </w:pPr>
      <w:r>
        <w:rPr>
          <w:b/>
          <w:bCs/>
          <w:color w:val="555B63"/>
          <w:sz w:val="18"/>
          <w:szCs w:val="18"/>
        </w:rPr>
        <w:t xml:space="preserve">Authority: </w:t>
      </w:r>
      <w:r>
        <w:rPr>
          <w:color w:val="555B63"/>
          <w:sz w:val="18"/>
          <w:szCs w:val="18"/>
        </w:rPr>
        <w:t xml:space="preserve">ASAM/AAAP 2024 (stimulants); ASAM/ACMT 2025 (benzodiazepines); institutional SUD-aware prescribing standard</w:t>
      </w:r>
      <w:r>
        <w:rPr>
          <w:color w:val="1F4E79"/>
          <w:sz w:val="18"/>
          <w:szCs w:val="18"/>
        </w:rPr>
        <w:t xml:space="preserve">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Formulation: I understand that my provider has prescribed an extended-release or prodrug formulation of [MEDICATION] because of my history of substance use. I agree not to request a change to an immediate-release formulation without discussing this with my provider.</w:t>
      </w:r>
    </w:p>
    <w:p>
      <w:pPr>
        <w:pStyle w:val="Heading2"/>
        <w:keepNext/>
      </w:pPr>
      <w:r>
        <w:t xml:space="preserve">Pill counts</w:t>
      </w:r>
    </w:p>
    <w:p>
      <w:pPr>
        <w:spacing w:after="20"/>
      </w:pPr>
      <w:r>
        <w:rPr>
          <w:b/>
          <w:bCs/>
          <w:color w:val="555B63"/>
          <w:sz w:val="18"/>
          <w:szCs w:val="18"/>
        </w:rPr>
        <w:t xml:space="preserve">Block ID: </w:t>
      </w:r>
      <w:r>
        <w:rPr>
          <w:color w:val="555B63"/>
          <w:sz w:val="18"/>
          <w:szCs w:val="18"/>
        </w:rPr>
        <w:t xml:space="preserve">S2-VAR-PILL-COUNT-ENHANCED</w:t>
      </w:r>
    </w:p>
    <w:p>
      <w:pPr>
        <w:spacing w:after="20"/>
      </w:pPr>
      <w:r>
        <w:rPr>
          <w:b/>
          <w:bCs/>
          <w:color w:val="555B63"/>
          <w:sz w:val="18"/>
          <w:szCs w:val="18"/>
        </w:rPr>
        <w:t xml:space="preserve">Inclusion rule: </w:t>
      </w:r>
      <w:r>
        <w:rPr>
          <w:color w:val="555B63"/>
          <w:sz w:val="18"/>
          <w:szCs w:val="18"/>
        </w:rPr>
        <w:t xml:space="preserve">Included when Risk tier = enhanced or high-risk</w:t>
      </w:r>
    </w:p>
    <w:p>
      <w:pPr>
        <w:spacing w:after="20"/>
      </w:pPr>
      <w:r>
        <w:rPr>
          <w:b/>
          <w:bCs/>
          <w:color w:val="555B63"/>
          <w:sz w:val="18"/>
          <w:szCs w:val="18"/>
        </w:rPr>
        <w:t xml:space="preserve">Authority: </w:t>
      </w:r>
      <w:r>
        <w:rPr>
          <w:color w:val="555B63"/>
          <w:sz w:val="18"/>
          <w:szCs w:val="18"/>
        </w:rPr>
        <w:t xml:space="preserve">ASAM/AAAP 2024; ASAM/ACMT 2025; institutional enhanced monitoring standard</w:t>
      </w:r>
      <w:r>
        <w:rPr>
          <w:color w:val="1F4E79"/>
          <w:sz w:val="18"/>
          <w:szCs w:val="18"/>
        </w:rPr>
        <w:t xml:space="preserve">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Pill counts: I agree to bring my medication to any appointment when requested for a pill count. I understand that pill counts may be requested without advance notice.</w:t>
      </w:r>
    </w:p>
    <w:p>
      <w:pPr>
        <w:pStyle w:val="Heading2"/>
        <w:keepNext/>
      </w:pPr>
      <w:r>
        <w:t xml:space="preserve">Treatment goals (function)</w:t>
      </w:r>
    </w:p>
    <w:p>
      <w:pPr>
        <w:spacing w:after="20"/>
      </w:pPr>
      <w:r>
        <w:rPr>
          <w:b/>
          <w:bCs/>
          <w:color w:val="555B63"/>
          <w:sz w:val="18"/>
          <w:szCs w:val="18"/>
        </w:rPr>
        <w:t xml:space="preserve">Block ID: </w:t>
      </w:r>
      <w:r>
        <w:rPr>
          <w:color w:val="555B63"/>
          <w:sz w:val="18"/>
          <w:szCs w:val="18"/>
        </w:rPr>
        <w:t xml:space="preserve">S2-VAR-FUNCTIONAL-GOAL</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(functional improvement as primary goal; PEG scale); ASAM/ACMT 2025</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Treatment goals: I understand that the goal of this medication is to support my daily function — my ability to work, maintain relationships, and carry out daily activities — and to manage [CONDITION]. I understand that improvement in function, even if pain or symptoms are not fully eliminated, is a meaningful treatment outcome. I agree to discuss my functional status at each visit.</w:t>
      </w:r>
    </w:p>
    <w:p>
      <w:pPr>
        <w:pStyle w:val="Heading1"/>
        <w:keepNext/>
      </w:pPr>
      <w:r>
        <w:t xml:space="preserve">Section 3 — Provider Obligations</w:t>
      </w:r>
    </w:p>
    <w:p>
      <w:pPr>
        <w:spacing w:after="120"/>
        <w:rPr>
          <w:i/>
          <w:iCs/>
        </w:rPr>
      </w:pPr>
      <w:r>
        <w:rPr>
          <w:i/>
          <w:iCs/>
        </w:rPr>
        <w:t xml:space="preserve">What the prescriber commits to in return: PDMP review, functional assessment, reassessment cadence, and — when indicated — naloxone and specialist involvement.</w:t>
      </w:r>
    </w:p>
    <w:p>
      <w:pPr>
        <w:pStyle w:val="Heading2"/>
        <w:keepNext/>
      </w:pPr>
      <w:r>
        <w:t xml:space="preserve">Provider PDMP review — New York</w:t>
      </w:r>
    </w:p>
    <w:p>
      <w:pPr>
        <w:spacing w:after="20"/>
      </w:pPr>
      <w:r>
        <w:rPr>
          <w:b/>
          <w:bCs/>
          <w:color w:val="555B63"/>
          <w:sz w:val="18"/>
          <w:szCs w:val="18"/>
        </w:rPr>
        <w:t xml:space="preserve">Block ID: </w:t>
      </w:r>
      <w:r>
        <w:rPr>
          <w:color w:val="555B63"/>
          <w:sz w:val="18"/>
          <w:szCs w:val="18"/>
        </w:rPr>
        <w:t xml:space="preserve">S3-FIXED-PDMP-NY</w:t>
      </w:r>
    </w:p>
    <w:p>
      <w:pPr>
        <w:spacing w:after="20"/>
      </w:pPr>
      <w:r>
        <w:rPr>
          <w:b/>
          <w:bCs/>
          <w:color w:val="555B63"/>
          <w:sz w:val="18"/>
          <w:szCs w:val="18"/>
        </w:rPr>
        <w:t xml:space="preserve">Inclusion rule: </w:t>
      </w:r>
      <w:r>
        <w:rPr>
          <w:color w:val="555B63"/>
          <w:sz w:val="18"/>
          <w:szCs w:val="18"/>
        </w:rPr>
        <w:t xml:space="preserve">Included when State = NY</w:t>
      </w:r>
    </w:p>
    <w:p>
      <w:pPr>
        <w:spacing w:after="20"/>
      </w:pPr>
      <w:r>
        <w:rPr>
          <w:b/>
          <w:bCs/>
          <w:color w:val="555B63"/>
          <w:sz w:val="18"/>
          <w:szCs w:val="18"/>
        </w:rPr>
        <w:t xml:space="preserve">Authority: </w:t>
      </w:r>
      <w:r>
        <w:rPr>
          <w:color w:val="555B63"/>
          <w:sz w:val="18"/>
          <w:szCs w:val="18"/>
        </w:rPr>
        <w:t xml:space="preserve">NY Public Health Law §3343-a</w:t>
      </w:r>
      <w:r>
        <w:rPr>
          <w:color w:val="1F4E79"/>
          <w:sz w:val="18"/>
          <w:szCs w:val="18"/>
        </w:rPr>
        <w:t xml:space="preserve">  [20]</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PDMP review: My provider will review the New York State Prescription Monitoring Program registry before every prescription of this controlled substance, as required by NY Public Health Law §3343-a.</w:t>
      </w:r>
    </w:p>
    <w:p>
      <w:pPr>
        <w:pStyle w:val="Heading2"/>
        <w:keepNext/>
      </w:pPr>
      <w:r>
        <w:t xml:space="preserve">Provider PDMP review — New Jersey</w:t>
      </w:r>
    </w:p>
    <w:p>
      <w:pPr>
        <w:spacing w:after="20"/>
      </w:pPr>
      <w:r>
        <w:rPr>
          <w:b/>
          <w:bCs/>
          <w:color w:val="555B63"/>
          <w:sz w:val="18"/>
          <w:szCs w:val="18"/>
        </w:rPr>
        <w:t xml:space="preserve">Block ID: </w:t>
      </w:r>
      <w:r>
        <w:rPr>
          <w:color w:val="555B63"/>
          <w:sz w:val="18"/>
          <w:szCs w:val="18"/>
        </w:rPr>
        <w:t xml:space="preserve">S3-FIXED-PDMP-NJ</w:t>
      </w:r>
    </w:p>
    <w:p>
      <w:pPr>
        <w:spacing w:after="20"/>
      </w:pPr>
      <w:r>
        <w:rPr>
          <w:b/>
          <w:bCs/>
          <w:color w:val="555B63"/>
          <w:sz w:val="18"/>
          <w:szCs w:val="18"/>
        </w:rPr>
        <w:t xml:space="preserve">Inclusion rule: </w:t>
      </w:r>
      <w:r>
        <w:rPr>
          <w:color w:val="555B63"/>
          <w:sz w:val="18"/>
          <w:szCs w:val="18"/>
        </w:rPr>
        <w:t xml:space="preserve">Included when State = NJ</w:t>
      </w:r>
    </w:p>
    <w:p>
      <w:pPr>
        <w:spacing w:after="20"/>
      </w:pPr>
      <w:r>
        <w:rPr>
          <w:b/>
          <w:bCs/>
          <w:color w:val="555B63"/>
          <w:sz w:val="18"/>
          <w:szCs w:val="18"/>
        </w:rPr>
        <w:t xml:space="preserve">Authority: </w:t>
      </w:r>
      <w:r>
        <w:rPr>
          <w:color w:val="555B63"/>
          <w:sz w:val="18"/>
          <w:szCs w:val="18"/>
        </w:rPr>
        <w:t xml:space="preserve">NJSA 45:1-46.1</w:t>
      </w:r>
      <w:r>
        <w:rPr>
          <w:color w:val="1F4E79"/>
          <w:sz w:val="18"/>
          <w:szCs w:val="18"/>
        </w:rPr>
        <w:t xml:space="preserve">  [21]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PDMP review: My provider will review the New Jersey Prescription Monitoring Program at my first visit and quarterly during ongoing therapy, as required by NJSA 45:1-46.1.</w:t>
      </w:r>
    </w:p>
    <w:p>
      <w:pPr>
        <w:pStyle w:val="Heading2"/>
        <w:keepNext/>
      </w:pPr>
      <w:r>
        <w:t xml:space="preserve">Functional assessment each visit</w:t>
      </w:r>
    </w:p>
    <w:p>
      <w:pPr>
        <w:spacing w:after="20"/>
      </w:pPr>
      <w:r>
        <w:rPr>
          <w:b/>
          <w:bCs/>
          <w:color w:val="555B63"/>
          <w:sz w:val="18"/>
          <w:szCs w:val="18"/>
        </w:rPr>
        <w:t xml:space="preserve">Block ID: </w:t>
      </w:r>
      <w:r>
        <w:rPr>
          <w:color w:val="555B63"/>
          <w:sz w:val="18"/>
          <w:szCs w:val="18"/>
        </w:rPr>
        <w:t xml:space="preserve">S3-FIXED-FUNCTIONAL-ASSESSMENT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VA/DoD 2022</w:t>
      </w:r>
      <w:r>
        <w:rPr>
          <w:color w:val="1F4E79"/>
          <w:sz w:val="18"/>
          <w:szCs w:val="18"/>
        </w:rPr>
        <w:t xml:space="preserve">  [1, 5]</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Functional assessment: My provider will assess my functional status — including my ability to work, maintain relationships, carry out daily activities, and drive safely — at each visit.</w:t>
      </w:r>
    </w:p>
    <w:p>
      <w:pPr>
        <w:pStyle w:val="Heading2"/>
        <w:keepNext/>
      </w:pPr>
      <w:r>
        <w:t xml:space="preserve">Naloxone offer &amp; education</w:t>
      </w:r>
    </w:p>
    <w:p>
      <w:pPr>
        <w:spacing w:after="20"/>
      </w:pPr>
      <w:r>
        <w:rPr>
          <w:b/>
          <w:bCs/>
          <w:color w:val="555B63"/>
          <w:sz w:val="18"/>
          <w:szCs w:val="18"/>
        </w:rPr>
        <w:t xml:space="preserve">Block ID: </w:t>
      </w:r>
      <w:r>
        <w:rPr>
          <w:color w:val="555B63"/>
          <w:sz w:val="18"/>
          <w:szCs w:val="18"/>
        </w:rPr>
        <w:t xml:space="preserve">S3-VAR-NALOXONE</w:t>
      </w:r>
    </w:p>
    <w:p>
      <w:pPr>
        <w:spacing w:after="20"/>
      </w:pPr>
      <w:r>
        <w:rPr>
          <w:b/>
          <w:bCs/>
          <w:color w:val="555B63"/>
          <w:sz w:val="18"/>
          <w:szCs w:val="18"/>
        </w:rPr>
        <w:t xml:space="preserve">Inclusion rule: </w:t>
      </w:r>
      <w:r>
        <w:rPr>
          <w:color w:val="555B63"/>
          <w:sz w:val="18"/>
          <w:szCs w:val="18"/>
        </w:rPr>
        <w:t xml:space="preserve">Included when Naloxone = on</w:t>
      </w:r>
    </w:p>
    <w:p>
      <w:pPr>
        <w:spacing w:after="20"/>
      </w:pPr>
      <w:r>
        <w:rPr>
          <w:b/>
          <w:bCs/>
          <w:color w:val="555B63"/>
          <w:sz w:val="18"/>
          <w:szCs w:val="18"/>
        </w:rPr>
        <w:t xml:space="preserve">Authority: </w:t>
      </w:r>
      <w:r>
        <w:rPr>
          <w:color w:val="555B63"/>
          <w:sz w:val="18"/>
          <w:szCs w:val="18"/>
        </w:rPr>
        <w:t xml:space="preserve">CDC 2022 (offer naloxone when: &gt;=50 MME, concurrent benzo, SUD history, sleep-disordered breathing, post-taper/post-incarceration); ASAM/ACMT 2025 (strong recommendation for opioid+benzo)</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Naloxone: My provider will offer to prescribe naloxone (overdose reversal medication) and will provide education on its use. I understand why naloxone has been recommended in my situation.</w:t>
      </w:r>
    </w:p>
    <w:p>
      <w:pPr>
        <w:pStyle w:val="Heading2"/>
        <w:keepNext/>
      </w:pPr>
      <w:r>
        <w:t xml:space="preserve">Specialist involvement</w:t>
      </w:r>
    </w:p>
    <w:p>
      <w:pPr>
        <w:spacing w:after="20"/>
      </w:pPr>
      <w:r>
        <w:rPr>
          <w:b/>
          <w:bCs/>
          <w:color w:val="555B63"/>
          <w:sz w:val="18"/>
          <w:szCs w:val="18"/>
        </w:rPr>
        <w:t xml:space="preserve">Block ID: </w:t>
      </w:r>
      <w:r>
        <w:rPr>
          <w:color w:val="555B63"/>
          <w:sz w:val="18"/>
          <w:szCs w:val="18"/>
        </w:rPr>
        <w:t xml:space="preserve">S3-VAR-SPECIALIST-HIGHRISK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ASAM/AAAP 2024; ASAM/ACMT 2025; CDC 2022</w:t>
      </w:r>
      <w:r>
        <w:rPr>
          <w:color w:val="1F4E79"/>
          <w:sz w:val="18"/>
          <w:szCs w:val="18"/>
        </w:rPr>
        <w:t xml:space="preserve">  [1, 2, 3]</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Specialist involvement: My provider will arrange consultation with a specialist — addiction medicine, addiction psychiatry, pain management, or medical toxicology as appropriate — before or alongside continuing this prescription. My provider will coordinate my care and will not simply transfer my care without ensuring continuity.</w:t>
      </w:r>
    </w:p>
    <w:p>
      <w:pPr>
        <w:pStyle w:val="Heading2"/>
        <w:keepNext/>
      </w:pPr>
      <w:r>
        <w:t xml:space="preserve">Reassessment — at least annually</w:t>
      </w:r>
    </w:p>
    <w:p>
      <w:pPr>
        <w:spacing w:after="20"/>
      </w:pPr>
      <w:r>
        <w:rPr>
          <w:b/>
          <w:bCs/>
          <w:color w:val="555B63"/>
          <w:sz w:val="18"/>
          <w:szCs w:val="18"/>
        </w:rPr>
        <w:t xml:space="preserve">Block ID: </w:t>
      </w:r>
      <w:r>
        <w:rPr>
          <w:color w:val="555B63"/>
          <w:sz w:val="18"/>
          <w:szCs w:val="18"/>
        </w:rPr>
        <w:t xml:space="preserve">S3-VAR-REASSESSMENT-STANDARD</w:t>
      </w:r>
    </w:p>
    <w:p>
      <w:pPr>
        <w:spacing w:after="20"/>
      </w:pPr>
      <w:r>
        <w:rPr>
          <w:b/>
          <w:bCs/>
          <w:color w:val="555B63"/>
          <w:sz w:val="18"/>
          <w:szCs w:val="18"/>
        </w:rPr>
        <w:t xml:space="preserve">Inclusion rule: </w:t>
      </w:r>
      <w:r>
        <w:rPr>
          <w:color w:val="555B63"/>
          <w:sz w:val="18"/>
          <w:szCs w:val="18"/>
        </w:rPr>
        <w:t xml:space="preserve">Included when Risk tier = standard</w:t>
      </w:r>
    </w:p>
    <w:p>
      <w:pPr>
        <w:spacing w:after="20"/>
      </w:pPr>
      <w:r>
        <w:rPr>
          <w:b/>
          <w:bCs/>
          <w:color w:val="555B63"/>
          <w:sz w:val="18"/>
          <w:szCs w:val="18"/>
        </w:rPr>
        <w:t xml:space="preserve">Authority: </w:t>
      </w:r>
      <w:r>
        <w:rPr>
          <w:color w:val="555B63"/>
          <w:sz w:val="18"/>
          <w:szCs w:val="18"/>
        </w:rPr>
        <w:t xml:space="preserve">CDC 2022; AAFP 2024; institutional standard</w:t>
      </w:r>
      <w:r>
        <w:rPr>
          <w:color w:val="1F4E79"/>
          <w:sz w:val="18"/>
          <w:szCs w:val="18"/>
        </w:rPr>
        <w:t xml:space="preserve">  [1, 6]</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least annually, or sooner if my functional status changes, new concerns emerge, or I request a reassessment.</w:t>
      </w:r>
    </w:p>
    <w:p>
      <w:pPr>
        <w:pStyle w:val="Heading2"/>
        <w:keepNext/>
      </w:pPr>
      <w:r>
        <w:t xml:space="preserve">Reassessment — at least every 6 months</w:t>
      </w:r>
    </w:p>
    <w:p>
      <w:pPr>
        <w:spacing w:after="20"/>
      </w:pPr>
      <w:r>
        <w:rPr>
          <w:b/>
          <w:bCs/>
          <w:color w:val="555B63"/>
          <w:sz w:val="18"/>
          <w:szCs w:val="18"/>
        </w:rPr>
        <w:t xml:space="preserve">Block ID: </w:t>
      </w:r>
      <w:r>
        <w:rPr>
          <w:color w:val="555B63"/>
          <w:sz w:val="18"/>
          <w:szCs w:val="18"/>
        </w:rPr>
        <w:t xml:space="preserve">S3-VAR-REASSESSMENT-ENHANCED</w:t>
      </w:r>
    </w:p>
    <w:p>
      <w:pPr>
        <w:spacing w:after="20"/>
      </w:pPr>
      <w:r>
        <w:rPr>
          <w:b/>
          <w:bCs/>
          <w:color w:val="555B63"/>
          <w:sz w:val="18"/>
          <w:szCs w:val="18"/>
        </w:rPr>
        <w:t xml:space="preserve">Inclusion rule: </w:t>
      </w:r>
      <w:r>
        <w:rPr>
          <w:color w:val="555B63"/>
          <w:sz w:val="18"/>
          <w:szCs w:val="18"/>
        </w:rPr>
        <w:t xml:space="preserve">Included when Risk tier = enhanced</w:t>
      </w:r>
    </w:p>
    <w:p>
      <w:pPr>
        <w:spacing w:after="20"/>
      </w:pPr>
      <w:r>
        <w:rPr>
          <w:b/>
          <w:bCs/>
          <w:color w:val="555B63"/>
          <w:sz w:val="18"/>
          <w:szCs w:val="18"/>
        </w:rPr>
        <w:t xml:space="preserve">Authority: </w:t>
      </w:r>
      <w:r>
        <w:rPr>
          <w:color w:val="555B63"/>
          <w:sz w:val="18"/>
          <w:szCs w:val="18"/>
        </w:rPr>
        <w:t xml:space="preserve">CDC 2022; AAPM/APS consensus; institutional enhanced monitoring standard</w:t>
      </w:r>
      <w:r>
        <w:rPr>
          <w:color w:val="1F4E79"/>
          <w:sz w:val="18"/>
          <w:szCs w:val="18"/>
        </w:rPr>
        <w:t xml:space="preserve">  [1, 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least every 6 months, or sooner if concerns emerge.</w:t>
      </w:r>
    </w:p>
    <w:p>
      <w:pPr>
        <w:pStyle w:val="Heading2"/>
        <w:keepNext/>
      </w:pPr>
      <w:r>
        <w:t xml:space="preserve">Reassessment — every visit / ≤3 months</w:t>
      </w:r>
    </w:p>
    <w:p>
      <w:pPr>
        <w:spacing w:after="20"/>
      </w:pPr>
      <w:r>
        <w:rPr>
          <w:b/>
          <w:bCs/>
          <w:color w:val="555B63"/>
          <w:sz w:val="18"/>
          <w:szCs w:val="18"/>
        </w:rPr>
        <w:t xml:space="preserve">Block ID: </w:t>
      </w:r>
      <w:r>
        <w:rPr>
          <w:color w:val="555B63"/>
          <w:sz w:val="18"/>
          <w:szCs w:val="18"/>
        </w:rPr>
        <w:t xml:space="preserve">S3-VAR-REASSESSMENT-HIGHRISK</w:t>
      </w:r>
    </w:p>
    <w:p>
      <w:pPr>
        <w:spacing w:after="20"/>
      </w:pPr>
      <w:r>
        <w:rPr>
          <w:b/>
          <w:bCs/>
          <w:color w:val="555B63"/>
          <w:sz w:val="18"/>
          <w:szCs w:val="18"/>
        </w:rPr>
        <w:t xml:space="preserve">Inclusion rule: </w:t>
      </w:r>
      <w:r>
        <w:rPr>
          <w:color w:val="555B63"/>
          <w:sz w:val="18"/>
          <w:szCs w:val="18"/>
        </w:rPr>
        <w:t xml:space="preserve">Included when Risk tier = high-risk</w:t>
      </w:r>
    </w:p>
    <w:p>
      <w:pPr>
        <w:spacing w:after="20"/>
      </w:pPr>
      <w:r>
        <w:rPr>
          <w:b/>
          <w:bCs/>
          <w:color w:val="555B63"/>
          <w:sz w:val="18"/>
          <w:szCs w:val="18"/>
        </w:rPr>
        <w:t xml:space="preserve">Authority: </w:t>
      </w:r>
      <w:r>
        <w:rPr>
          <w:color w:val="555B63"/>
          <w:sz w:val="18"/>
          <w:szCs w:val="18"/>
        </w:rPr>
        <w:t xml:space="preserve">ASAM/ACMT 2025 (opioid+benzo: every 3 months or every encounter); institutional high-risk standard</w:t>
      </w:r>
      <w:r>
        <w:rPr>
          <w:color w:val="1F4E79"/>
          <w:sz w:val="18"/>
          <w:szCs w:val="18"/>
        </w:rPr>
        <w:t xml:space="preserve">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Reassessment: My provider will reassess the benefit and risk of continuing this medication at every visit, and at minimum every 3 months.</w:t>
      </w:r>
    </w:p>
    <w:p>
      <w:pPr>
        <w:pStyle w:val="Heading1"/>
        <w:keepNext/>
      </w:pPr>
      <w:r>
        <w:t xml:space="preserve">Section 4 — Monitoring and Graduated Response</w:t>
      </w:r>
    </w:p>
    <w:p>
      <w:pPr>
        <w:spacing w:after="120"/>
        <w:rPr>
          <w:i/>
          <w:iCs/>
        </w:rPr>
      </w:pPr>
      <w:r>
        <w:rPr>
          <w:i/>
          <w:iCs/>
        </w:rPr>
        <w:t xml:space="preserve">How monitoring findings are handled (graduated, non-punitive), plus situation-specific risk counseling that only appears when it applies.</w:t>
      </w:r>
    </w:p>
    <w:p>
      <w:pPr>
        <w:pStyle w:val="Heading2"/>
        <w:keepNext/>
      </w:pPr>
      <w:r>
        <w:t xml:space="preserve">Monitoring is a safety tool, not punishment</w:t>
      </w:r>
    </w:p>
    <w:p>
      <w:pPr>
        <w:spacing w:after="20"/>
      </w:pPr>
      <w:r>
        <w:rPr>
          <w:b/>
          <w:bCs/>
          <w:color w:val="555B63"/>
          <w:sz w:val="18"/>
          <w:szCs w:val="18"/>
        </w:rPr>
        <w:t xml:space="preserve">Block ID: </w:t>
      </w:r>
      <w:r>
        <w:rPr>
          <w:color w:val="555B63"/>
          <w:sz w:val="18"/>
          <w:szCs w:val="18"/>
        </w:rPr>
        <w:t xml:space="preserve">S4-FIXED-MONITORING-FRAMING</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(should not dismiss patients from care on the basis of toxicology results or PDMP information); ASAM/ACMT 2025</w:t>
      </w:r>
      <w:r>
        <w:rPr>
          <w:color w:val="1F4E79"/>
          <w:sz w:val="18"/>
          <w:szCs w:val="18"/>
        </w:rPr>
        <w:t xml:space="preserve">  [1, 2]</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Monitoring purpose: The monitoring activities described in this agreement — PDMP review, urine drug screening, pill counts, functional assessment — are safety tools, not punitive measures. Unexpected monitoring findings will be discussed with me directly before any clinical decisions are made. My provider will apply clinical judgment to each finding and will not dismiss me from care on the basis of a single monitoring result.</w:t>
      </w:r>
    </w:p>
    <w:p>
      <w:pPr>
        <w:pStyle w:val="Heading2"/>
        <w:keepNext/>
      </w:pPr>
      <w:r>
        <w:t xml:space="preserve">Graduated response to concerns</w:t>
      </w:r>
    </w:p>
    <w:p>
      <w:pPr>
        <w:spacing w:after="20"/>
      </w:pPr>
      <w:r>
        <w:rPr>
          <w:b/>
          <w:bCs/>
          <w:color w:val="555B63"/>
          <w:sz w:val="18"/>
          <w:szCs w:val="18"/>
        </w:rPr>
        <w:t xml:space="preserve">Block ID: </w:t>
      </w:r>
      <w:r>
        <w:rPr>
          <w:color w:val="555B63"/>
          <w:sz w:val="18"/>
          <w:szCs w:val="18"/>
        </w:rPr>
        <w:t xml:space="preserve">S4-FIXED-GRADUATED-RESPONSE</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CDC 2022; ASAM/ACMT 2025; AAFP (avoid dismissing patients); APS/AAPM 2009 (graduated response to aberrant behaviors)</w:t>
      </w:r>
      <w:r>
        <w:rPr>
          <w:color w:val="1F4E79"/>
          <w:sz w:val="18"/>
          <w:szCs w:val="18"/>
        </w:rPr>
        <w:t xml:space="preserve">  [1, 2, 4, 6]</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Response to concerns: If a monitoring finding, pattern of requests, or clinical concern arises, my provider will follow a graduated approach:</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(1) First concern: Direct conversation, documentation, and reassessment of the monitoring plan. No automatic change to the prescription.</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(2) Repeated or escalating concern: Formal review within the controlled substance agreement framework, urine drug screen if not already done, PDMP review, and discussion of whether the current management plan remains appropriate. Specialist input may be sought.</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(3) Significant or unresolved concern: Specialist consultation before continuing. Continuation may not be appropriate without specialist co-management. If I am not able to continue in this practice, my provider will ensure I receive a referral or bridge plan — I will not be abruptly abandoned.</w:t>
      </w:r>
    </w:p>
    <w:p>
      <w:pPr>
        <w:pStyle w:val="Heading2"/>
        <w:keepNext/>
      </w:pPr>
      <w:r>
        <w:t xml:space="preserve">Driving &amp; safety-sensitive work</w:t>
      </w:r>
    </w:p>
    <w:p>
      <w:pPr>
        <w:spacing w:after="20"/>
      </w:pPr>
      <w:r>
        <w:rPr>
          <w:b/>
          <w:bCs/>
          <w:color w:val="555B63"/>
          <w:sz w:val="18"/>
          <w:szCs w:val="18"/>
        </w:rPr>
        <w:t xml:space="preserve">Block ID: </w:t>
      </w:r>
      <w:r>
        <w:rPr>
          <w:color w:val="555B63"/>
          <w:sz w:val="18"/>
          <w:szCs w:val="18"/>
        </w:rPr>
        <w:t xml:space="preserve">S4-VAR-DRIVING</w:t>
      </w:r>
    </w:p>
    <w:p>
      <w:pPr>
        <w:spacing w:after="20"/>
      </w:pPr>
      <w:r>
        <w:rPr>
          <w:b/>
          <w:bCs/>
          <w:color w:val="555B63"/>
          <w:sz w:val="18"/>
          <w:szCs w:val="18"/>
        </w:rPr>
        <w:t xml:space="preserve">Inclusion rule: </w:t>
      </w:r>
      <w:r>
        <w:rPr>
          <w:color w:val="555B63"/>
          <w:sz w:val="18"/>
          <w:szCs w:val="18"/>
        </w:rPr>
        <w:t xml:space="preserve">Included when Driving / safety-sensitive = on</w:t>
      </w:r>
    </w:p>
    <w:p>
      <w:pPr>
        <w:spacing w:after="20"/>
      </w:pPr>
      <w:r>
        <w:rPr>
          <w:b/>
          <w:bCs/>
          <w:color w:val="555B63"/>
          <w:sz w:val="18"/>
          <w:szCs w:val="18"/>
        </w:rPr>
        <w:t xml:space="preserve">Authority: </w:t>
      </w:r>
      <w:r>
        <w:rPr>
          <w:color w:val="555B63"/>
          <w:sz w:val="18"/>
          <w:szCs w:val="18"/>
        </w:rPr>
        <w:t xml:space="preserve">Dassanayake meta-analysis (driving risk); Tran JAMA Network Open 2024 (reporting obligations by state); FAA/FMCSA regulations for safety-sensitive occupations</w:t>
      </w:r>
      <w:r>
        <w:rPr>
          <w:color w:val="1F4E79"/>
          <w:sz w:val="18"/>
          <w:szCs w:val="18"/>
        </w:rPr>
        <w:t xml:space="preserve">  [12, 13, 14]</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Driving and safety-sensitive activities: My provider has counseled me that [MEDICATION CLASS] may impair driving and the operation of heavy machinery. I acknowledge this counseling. [IF SAFETY-SENSITIVE OCCUPATION: I understand that my occupation as [OCCUPATION] may have specific regulatory requirements regarding controlled substance use, and I agree to comply with applicable reporting obligations.]</w:t>
      </w:r>
    </w:p>
    <w:p>
      <w:pPr>
        <w:pStyle w:val="Heading2"/>
        <w:keepNext/>
      </w:pPr>
      <w:r>
        <w:t xml:space="preserve">Age-related risks (65+)</w:t>
      </w:r>
    </w:p>
    <w:p>
      <w:pPr>
        <w:spacing w:after="20"/>
      </w:pPr>
      <w:r>
        <w:rPr>
          <w:b/>
          <w:bCs/>
          <w:color w:val="555B63"/>
          <w:sz w:val="18"/>
          <w:szCs w:val="18"/>
        </w:rPr>
        <w:t xml:space="preserve">Block ID: </w:t>
      </w:r>
      <w:r>
        <w:rPr>
          <w:color w:val="555B63"/>
          <w:sz w:val="18"/>
          <w:szCs w:val="18"/>
        </w:rPr>
        <w:t xml:space="preserve">S4-VAR-AGE-65</w:t>
      </w:r>
    </w:p>
    <w:p>
      <w:pPr>
        <w:spacing w:after="20"/>
      </w:pPr>
      <w:r>
        <w:rPr>
          <w:b/>
          <w:bCs/>
          <w:color w:val="555B63"/>
          <w:sz w:val="18"/>
          <w:szCs w:val="18"/>
        </w:rPr>
        <w:t xml:space="preserve">Inclusion rule: </w:t>
      </w:r>
      <w:r>
        <w:rPr>
          <w:color w:val="555B63"/>
          <w:sz w:val="18"/>
          <w:szCs w:val="18"/>
        </w:rPr>
        <w:t xml:space="preserve">Included when Age ≥ 65 = on</w:t>
      </w:r>
    </w:p>
    <w:p>
      <w:pPr>
        <w:spacing w:after="20"/>
      </w:pPr>
      <w:r>
        <w:rPr>
          <w:b/>
          <w:bCs/>
          <w:color w:val="555B63"/>
          <w:sz w:val="18"/>
          <w:szCs w:val="18"/>
        </w:rPr>
        <w:t xml:space="preserve">Authority: </w:t>
      </w:r>
      <w:r>
        <w:rPr>
          <w:color w:val="555B63"/>
          <w:sz w:val="18"/>
          <w:szCs w:val="18"/>
        </w:rPr>
        <w:t xml:space="preserve">AGS Beers Criteria 2023; Donnelly PLoS One 2017 (fracture risk); Crowe Arch Clin Neuropsychol 2018 (cognitive effects)</w:t>
      </w:r>
      <w:r>
        <w:rPr>
          <w:color w:val="1F4E79"/>
          <w:sz w:val="18"/>
          <w:szCs w:val="18"/>
        </w:rPr>
        <w:t xml:space="preserve">  [7, 8, 9]</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Age-related risks: My provider has discussed with me that benzodiazepines and sedating medications carry increased risks of falls, fractures, and cognitive effects in adults over 65, as noted in the American Geriatrics Society Beers Criteria. I understand these risks and have discussed them with my provider. My provider and I have agreed on the clinical rationale for continuing this medication at this time, and will reassess annually or sooner if my functional status changes.</w:t>
      </w:r>
    </w:p>
    <w:p>
      <w:pPr>
        <w:pStyle w:val="Heading2"/>
        <w:keepNext/>
      </w:pPr>
      <w:r>
        <w:t xml:space="preserve">Opioid + benzodiazepine combination</w:t>
      </w:r>
    </w:p>
    <w:p>
      <w:pPr>
        <w:spacing w:after="20"/>
      </w:pPr>
      <w:r>
        <w:rPr>
          <w:b/>
          <w:bCs/>
          <w:color w:val="555B63"/>
          <w:sz w:val="18"/>
          <w:szCs w:val="18"/>
        </w:rPr>
        <w:t xml:space="preserve">Block ID: </w:t>
      </w:r>
      <w:r>
        <w:rPr>
          <w:color w:val="555B63"/>
          <w:sz w:val="18"/>
          <w:szCs w:val="18"/>
        </w:rPr>
        <w:t xml:space="preserve">S4-VAR-COMBO-OPIOID-BENZO</w:t>
      </w:r>
    </w:p>
    <w:p>
      <w:pPr>
        <w:spacing w:after="20"/>
      </w:pPr>
      <w:r>
        <w:rPr>
          <w:b/>
          <w:bCs/>
          <w:color w:val="555B63"/>
          <w:sz w:val="18"/>
          <w:szCs w:val="18"/>
        </w:rPr>
        <w:t xml:space="preserve">Inclusion rule: </w:t>
      </w:r>
      <w:r>
        <w:rPr>
          <w:color w:val="555B63"/>
          <w:sz w:val="18"/>
          <w:szCs w:val="18"/>
        </w:rPr>
        <w:t xml:space="preserve">Included when Opioid + benzodiazepine = on</w:t>
      </w:r>
    </w:p>
    <w:p>
      <w:pPr>
        <w:spacing w:after="20"/>
      </w:pPr>
      <w:r>
        <w:rPr>
          <w:b/>
          <w:bCs/>
          <w:color w:val="555B63"/>
          <w:sz w:val="18"/>
          <w:szCs w:val="18"/>
        </w:rPr>
        <w:t xml:space="preserve">Authority: </w:t>
      </w:r>
      <w:r>
        <w:rPr>
          <w:color w:val="555B63"/>
          <w:sz w:val="18"/>
          <w:szCs w:val="18"/>
        </w:rPr>
        <w:t xml:space="preserve">FDA boxed warning (2016); CDC 2022 Recommendation 11 (Category B); ASAM/ACMT 2025 (naloxone strong recommendation); Hernandez JAMA Network Open 2018 (time-dependent risk)</w:t>
      </w:r>
      <w:r>
        <w:rPr>
          <w:color w:val="1F4E79"/>
          <w:sz w:val="18"/>
          <w:szCs w:val="18"/>
        </w:rPr>
        <w:t xml:space="preserve">  [1, 2, 10, 11]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Opioid + benzodiazepine combination: My provider has informed me that I am prescribed both an opioid and a benzodiazepine. I understand that this combination carries an elevated risk of serious adverse outcomes including overdose. My provider has prescribed naloxone and has counseled my household on its use. I understand that the long-term goal is to reduce the overall burden of these medications, and that specialist input will be sought to plan any changes safely.</w:t>
      </w:r>
    </w:p>
    <w:p>
      <w:pPr>
        <w:pStyle w:val="Heading2"/>
        <w:keepNext/>
      </w:pPr>
      <w:r>
        <w:t xml:space="preserve">Substance-use history</w:t>
      </w:r>
    </w:p>
    <w:p>
      <w:pPr>
        <w:spacing w:after="20"/>
      </w:pPr>
      <w:r>
        <w:rPr>
          <w:b/>
          <w:bCs/>
          <w:color w:val="555B63"/>
          <w:sz w:val="18"/>
          <w:szCs w:val="18"/>
        </w:rPr>
        <w:t xml:space="preserve">Block ID: </w:t>
      </w:r>
      <w:r>
        <w:rPr>
          <w:color w:val="555B63"/>
          <w:sz w:val="18"/>
          <w:szCs w:val="18"/>
        </w:rPr>
        <w:t xml:space="preserve">S4-VAR-SUD-AWARE</w:t>
      </w:r>
    </w:p>
    <w:p>
      <w:pPr>
        <w:spacing w:after="20"/>
      </w:pPr>
      <w:r>
        <w:rPr>
          <w:b/>
          <w:bCs/>
          <w:color w:val="555B63"/>
          <w:sz w:val="18"/>
          <w:szCs w:val="18"/>
        </w:rPr>
        <w:t xml:space="preserve">Inclusion rule: </w:t>
      </w:r>
      <w:r>
        <w:rPr>
          <w:color w:val="555B63"/>
          <w:sz w:val="18"/>
          <w:szCs w:val="18"/>
        </w:rPr>
        <w:t xml:space="preserve">Included when SUD history = past or active</w:t>
      </w:r>
    </w:p>
    <w:p>
      <w:pPr>
        <w:spacing w:after="20"/>
      </w:pPr>
      <w:r>
        <w:rPr>
          <w:b/>
          <w:bCs/>
          <w:color w:val="555B63"/>
          <w:sz w:val="18"/>
          <w:szCs w:val="18"/>
        </w:rPr>
        <w:t xml:space="preserve">Authority: </w:t>
      </w:r>
      <w:r>
        <w:rPr>
          <w:color w:val="555B63"/>
          <w:sz w:val="18"/>
          <w:szCs w:val="18"/>
        </w:rPr>
        <w:t xml:space="preserve">ASAM/AAAP 2024; ASAM/ACMT 2025; Baweja JAACAP 2025 (outcomes data)</w:t>
      </w:r>
      <w:r>
        <w:rPr>
          <w:color w:val="1F4E79"/>
          <w:sz w:val="18"/>
          <w:szCs w:val="18"/>
        </w:rPr>
        <w:t xml:space="preserve">  [2, 3, 15]</w:t>
      </w:r>
    </w:p>
    <w:p>
      <w:pPr>
        <w:spacing w:after="20"/>
      </w:pPr>
      <w:r>
        <w:rPr>
          <w:b/>
          <w:bCs/>
          <w:color w:val="555B63"/>
          <w:sz w:val="18"/>
          <w:szCs w:val="18"/>
        </w:rPr>
        <w:t xml:space="preserve">Status: </w:t>
      </w:r>
      <w:r>
        <w:rPr>
          <w:color w:val="555B63"/>
          <w:sz w:val="18"/>
          <w:szCs w:val="18"/>
        </w:rPr>
        <w:t xml:space="preserve">Proposed institutional standard — no national mandate</w:t>
      </w:r>
    </w:p>
    <w:p>
      <w:pPr>
        <w:pBdr>
          <w:left w:val="single" w:color="1F4E79" w:sz="18" w:space="8"/>
        </w:pBdr>
        <w:shd w:fill="F5F3EE" w:color="auto" w:val="clear"/>
        <w:spacing w:after="160" w:before="80" w:line="288"/>
        <w:ind w:left="160" w:right="160"/>
      </w:pPr>
      <w:r>
        <w:rPr>
          <w:rFonts w:ascii="Cambria" w:cs="Cambria" w:eastAsia="Cambria" w:hAnsi="Cambria"/>
          <w:sz w:val="21"/>
          <w:szCs w:val="21"/>
        </w:rPr>
        <w:t xml:space="preserve">Substance use history: My provider is aware of my history of substance use and has considered it in prescribing this medication. I understand that my provider has chosen to use [extended-release / prodrug formulation] to reduce misuse risk. I agree to the enhanced monitoring plan described in this agreement. I understand that this agreement reflects my provider's care for my health, not a judgment about my character.</w:t>
      </w:r>
    </w:p>
    <w:p>
      <w:pPr>
        <w:pStyle w:val="Heading1"/>
        <w:keepNext/>
      </w:pPr>
      <w:r>
        <w:t xml:space="preserve">Section 5 — Acknowledgment and Signatures</w:t>
      </w:r>
    </w:p>
    <w:p>
      <w:pPr>
        <w:spacing w:after="120"/>
        <w:rPr>
          <w:i/>
          <w:iCs/>
        </w:rPr>
      </w:pPr>
      <w:r>
        <w:rPr>
          <w:i/>
          <w:iCs/>
        </w:rPr>
        <w:t xml:space="preserve">Acknowledgment that this is a clinical agreement, not a legal contract, and signatures stamped with the library version.</w:t>
      </w:r>
    </w:p>
    <w:p>
      <w:pPr>
        <w:pStyle w:val="Heading2"/>
        <w:keepNext/>
      </w:pPr>
      <w:r>
        <w:t xml:space="preserve">Acknowledgment</w:t>
      </w:r>
    </w:p>
    <w:p>
      <w:pPr>
        <w:spacing w:after="20"/>
      </w:pPr>
      <w:r>
        <w:rPr>
          <w:b/>
          <w:bCs/>
          <w:color w:val="555B63"/>
          <w:sz w:val="18"/>
          <w:szCs w:val="18"/>
        </w:rPr>
        <w:t xml:space="preserve">Block ID: </w:t>
      </w:r>
      <w:r>
        <w:rPr>
          <w:color w:val="555B63"/>
          <w:sz w:val="18"/>
          <w:szCs w:val="18"/>
        </w:rPr>
        <w:t xml:space="preserve">S5-FIXED-ACKNOWLEDGMENT</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standard; CDC 2022</w:t>
      </w:r>
      <w:r>
        <w:rPr>
          <w:color w:val="1F4E79"/>
          <w:sz w:val="18"/>
          <w:szCs w:val="18"/>
        </w:rPr>
        <w:t xml:space="preserve">  [1]</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I have read this agreement and have had the opportunity to ask questions. I understand its contents and agree to its terms. I understand that this agreement may be updated at any time with my participation, and that I will be given a copy of any updated agreement to review before signing.</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I understand that this agreement is a clinical document, not a legal contract, and that my provider retains clinical discretion at all times.</w:t>
      </w:r>
    </w:p>
    <w:p>
      <w:pPr>
        <w:pStyle w:val="Heading2"/>
        <w:keepNext/>
      </w:pPr>
      <w:r>
        <w:t xml:space="preserve">Signatures &amp; version stamp</w:t>
      </w:r>
    </w:p>
    <w:p>
      <w:pPr>
        <w:spacing w:after="20"/>
      </w:pPr>
      <w:r>
        <w:rPr>
          <w:b/>
          <w:bCs/>
          <w:color w:val="555B63"/>
          <w:sz w:val="18"/>
          <w:szCs w:val="18"/>
        </w:rPr>
        <w:t xml:space="preserve">Block ID: </w:t>
      </w:r>
      <w:r>
        <w:rPr>
          <w:color w:val="555B63"/>
          <w:sz w:val="18"/>
          <w:szCs w:val="18"/>
        </w:rPr>
        <w:t xml:space="preserve">S5-FIXED-SIGNATURES</w:t>
      </w:r>
    </w:p>
    <w:p>
      <w:pPr>
        <w:spacing w:after="20"/>
      </w:pPr>
      <w:r>
        <w:rPr>
          <w:b/>
          <w:bCs/>
          <w:color w:val="555B63"/>
          <w:sz w:val="18"/>
          <w:szCs w:val="18"/>
        </w:rPr>
        <w:t xml:space="preserve">Inclusion rule: </w:t>
      </w:r>
      <w:r>
        <w:rPr>
          <w:color w:val="555B63"/>
          <w:sz w:val="18"/>
          <w:szCs w:val="18"/>
        </w:rPr>
        <w:t xml:space="preserve">Always included</w:t>
      </w:r>
    </w:p>
    <w:p>
      <w:pPr>
        <w:spacing w:after="20"/>
      </w:pPr>
      <w:r>
        <w:rPr>
          <w:b/>
          <w:bCs/>
          <w:color w:val="555B63"/>
          <w:sz w:val="18"/>
          <w:szCs w:val="18"/>
        </w:rPr>
        <w:t xml:space="preserve">Authority: </w:t>
      </w:r>
      <w:r>
        <w:rPr>
          <w:color w:val="555B63"/>
          <w:sz w:val="18"/>
          <w:szCs w:val="18"/>
        </w:rPr>
        <w:t xml:space="preserve">Institutional standard</w:t>
      </w:r>
    </w:p>
    <w:p>
      <w:pPr>
        <w:spacing w:after="20"/>
      </w:pPr>
      <w:r>
        <w:rPr>
          <w:b/>
          <w:bCs/>
          <w:color w:val="555B63"/>
          <w:sz w:val="18"/>
          <w:szCs w:val="18"/>
        </w:rPr>
        <w:t xml:space="preserve">Status: </w:t>
      </w:r>
      <w:r>
        <w:rPr>
          <w:color w:val="555B63"/>
          <w:sz w:val="18"/>
          <w:szCs w:val="18"/>
        </w:rPr>
        <w:t xml:space="preserve">Grounded in statute / guideline</w:t>
      </w:r>
    </w:p>
    <w:p>
      <w:pPr>
        <w:pBdr>
          <w:left w:val="single" w:color="1F4E79" w:sz="18" w:space="8"/>
        </w:pBdr>
        <w:shd w:fill="F5F3EE" w:color="auto" w:val="clear"/>
        <w:spacing w:after="0" w:before="80" w:line="288"/>
        <w:ind w:left="160" w:right="160"/>
      </w:pPr>
      <w:r>
        <w:rPr>
          <w:rFonts w:ascii="Cambria" w:cs="Cambria" w:eastAsia="Cambria" w:hAnsi="Cambria"/>
          <w:sz w:val="21"/>
          <w:szCs w:val="21"/>
        </w:rPr>
        <w:t xml:space="preserve">Patient signature: _________________________ Date: 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Printed name: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Provider signature: _________________________ Date: 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Provider name and title: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Next scheduled review: _________________________</w:t>
      </w:r>
    </w:p>
    <w:p>
      <w:pPr>
        <w:pBdr>
          <w:left w:val="single" w:color="1F4E79" w:sz="18" w:space="8"/>
        </w:pBdr>
        <w:shd w:fill="F5F3EE" w:color="auto" w:val="clear"/>
        <w:spacing w:after="0" w:before="0" w:line="288"/>
        <w:ind w:left="160" w:right="160"/>
      </w:pPr>
      <w:r>
        <w:rPr>
          <w:rFonts w:ascii="Cambria" w:cs="Cambria" w:eastAsia="Cambria" w:hAnsi="Cambria"/>
          <w:sz w:val="21"/>
          <w:szCs w:val="21"/>
        </w:rPr>
        <w:t xml:space="preserve"> </w:t>
      </w:r>
    </w:p>
    <w:p>
      <w:pPr>
        <w:pBdr>
          <w:left w:val="single" w:color="1F4E79" w:sz="18" w:space="8"/>
        </w:pBdr>
        <w:shd w:fill="F5F3EE" w:color="auto" w:val="clear"/>
        <w:spacing w:after="160" w:before="0" w:line="288"/>
        <w:ind w:left="160" w:right="160"/>
      </w:pPr>
      <w:r>
        <w:rPr>
          <w:rFonts w:ascii="Cambria" w:cs="Cambria" w:eastAsia="Cambria" w:hAnsi="Cambria"/>
          <w:sz w:val="21"/>
          <w:szCs w:val="21"/>
        </w:rPr>
        <w:t xml:space="preserve">Contract version: v1.0.0 (2026-05-25) | Crystal Run Healthcare / Optum NY/NJ</w:t>
      </w:r>
    </w:p>
    <w:p>
      <w:pPr>
        <w:pStyle w:val="Heading1"/>
        <w:pageBreakBefore/>
      </w:pPr>
      <w:r>
        <w:t xml:space="preserve">References</w:t>
      </w:r>
    </w:p>
    <w:p>
      <w:pPr>
        <w:spacing w:after="100"/>
        <w:ind w:left="440" w:hanging="440"/>
      </w:pPr>
      <w:r>
        <w:rPr>
          <w:sz w:val="20"/>
          <w:szCs w:val="20"/>
        </w:rPr>
        <w:t xml:space="preserve">1.	Dowell D, Ragan KR, Jones CM, Baldwin GT, Chou R. CDC Clinical Practice Guideline for Prescribing Opioids for Pain — United States, 2022. MMWR Recomm Rep 2022;71(No. RR-3):1–95.</w:t>
      </w:r>
      <w:r>
        <w:rPr>
          <w:sz w:val="20"/>
          <w:szCs w:val="20"/>
        </w:rPr>
        <w:t xml:space="preserve"> </w:t>
      </w:r>
      <w:hyperlink w:history="1" r:id="rIdoabt4lzyuhjhaunb0hh61">
        <w:r>
          <w:rPr>
            <w:rStyle w:val="Hyperlink"/>
            <w:sz w:val="18"/>
            <w:szCs w:val="18"/>
          </w:rPr>
          <w:t xml:space="preserve">https://www.cdc.gov/mmwr/volumes/71/rr/rr7103a1.htm</w:t>
        </w:r>
      </w:hyperlink>
    </w:p>
    <w:p>
      <w:pPr>
        <w:spacing w:after="100"/>
        <w:ind w:left="440" w:hanging="440"/>
      </w:pPr>
      <w:r>
        <w:rPr>
          <w:sz w:val="20"/>
          <w:szCs w:val="20"/>
        </w:rPr>
        <w:t xml:space="preserve">2.	ASAM and partner societies (incl. ACMT). Joint Clinical Practice Guideline on Benzodiazepine Tapering, 2025.</w:t>
      </w:r>
      <w:r>
        <w:rPr>
          <w:sz w:val="20"/>
          <w:szCs w:val="20"/>
        </w:rPr>
        <w:t xml:space="preserve"> </w:t>
      </w:r>
      <w:hyperlink w:history="1" r:id="rIduwyowmxxqvjvuv4pkyioi">
        <w:r>
          <w:rPr>
            <w:rStyle w:val="Hyperlink"/>
            <w:sz w:val="18"/>
            <w:szCs w:val="18"/>
          </w:rPr>
          <w:t xml:space="preserve">https://www.asam.org/quality-care/clinical-guidelines</w:t>
        </w:r>
      </w:hyperlink>
    </w:p>
    <w:p>
      <w:pPr>
        <w:spacing w:after="100"/>
        <w:ind w:left="440" w:hanging="440"/>
      </w:pPr>
      <w:r>
        <w:rPr>
          <w:sz w:val="20"/>
          <w:szCs w:val="20"/>
        </w:rPr>
        <w:t xml:space="preserve">3.	ASAM / AAAP. Clinical Practice Guideline on the Management of Stimulant Use Disorder, 2024.</w:t>
      </w:r>
      <w:r>
        <w:rPr>
          <w:sz w:val="20"/>
          <w:szCs w:val="20"/>
        </w:rPr>
        <w:t xml:space="preserve"> </w:t>
      </w:r>
      <w:hyperlink w:history="1" r:id="rIderfejw12mxvjyoutryx4j">
        <w:r>
          <w:rPr>
            <w:rStyle w:val="Hyperlink"/>
            <w:sz w:val="18"/>
            <w:szCs w:val="18"/>
          </w:rPr>
          <w:t xml:space="preserve">https://www.asam.org/quality-care/clinical-guidelines</w:t>
        </w:r>
      </w:hyperlink>
    </w:p>
    <w:p>
      <w:pPr>
        <w:spacing w:after="100"/>
        <w:ind w:left="440" w:hanging="440"/>
      </w:pPr>
      <w:r>
        <w:rPr>
          <w:sz w:val="20"/>
          <w:szCs w:val="20"/>
        </w:rPr>
        <w:t xml:space="preserve">4.	Chou R, Fanciullo GJ, Fine PG, et al. Clinical guidelines for the use of chronic opioid therapy in chronic noncancer pain (APS/AAPM). J Pain 2009;10(2):113–130.</w:t>
      </w:r>
      <w:r>
        <w:rPr>
          <w:sz w:val="20"/>
          <w:szCs w:val="20"/>
        </w:rPr>
        <w:t xml:space="preserve"> </w:t>
      </w:r>
      <w:hyperlink w:history="1" r:id="rIdt3ht4lgacwlvutfmm1_ta">
        <w:r>
          <w:rPr>
            <w:rStyle w:val="Hyperlink"/>
            <w:sz w:val="18"/>
            <w:szCs w:val="18"/>
          </w:rPr>
          <w:t xml:space="preserve">https://doi.org/10.1016/j.jpain.2008.10.008</w:t>
        </w:r>
      </w:hyperlink>
    </w:p>
    <w:p>
      <w:pPr>
        <w:spacing w:after="100"/>
        <w:ind w:left="440" w:hanging="440"/>
      </w:pPr>
      <w:r>
        <w:rPr>
          <w:sz w:val="20"/>
          <w:szCs w:val="20"/>
        </w:rPr>
        <w:t xml:space="preserve">5.	VA/DoD Clinical Practice Guideline for the Use of Opioids in the Management of Chronic Pain, 2022.</w:t>
      </w:r>
      <w:r>
        <w:rPr>
          <w:sz w:val="20"/>
          <w:szCs w:val="20"/>
        </w:rPr>
        <w:t xml:space="preserve"> </w:t>
      </w:r>
      <w:hyperlink w:history="1" r:id="rIdmpbhpbnk8ztprphdeam0_">
        <w:r>
          <w:rPr>
            <w:rStyle w:val="Hyperlink"/>
            <w:sz w:val="18"/>
            <w:szCs w:val="18"/>
          </w:rPr>
          <w:t xml:space="preserve">https://www.healthquality.va.gov/guidelines/pain/cot/</w:t>
        </w:r>
      </w:hyperlink>
    </w:p>
    <w:p>
      <w:pPr>
        <w:spacing w:after="100"/>
        <w:ind w:left="440" w:hanging="440"/>
      </w:pPr>
      <w:r>
        <w:rPr>
          <w:sz w:val="20"/>
          <w:szCs w:val="20"/>
        </w:rPr>
        <w:t xml:space="preserve">6.	American Academy of Family Physicians — guidance on chronic opioid therapy and avoiding patient dismissal (as cited in the module).</w:t>
      </w:r>
    </w:p>
    <w:p>
      <w:pPr>
        <w:spacing w:after="100"/>
        <w:ind w:left="440" w:hanging="440"/>
      </w:pPr>
      <w:r>
        <w:rPr>
          <w:sz w:val="20"/>
          <w:szCs w:val="20"/>
        </w:rPr>
        <w:t xml:space="preserve">7.	2023 American Geriatrics Society Beers Criteria® Update Expert Panel. American Geriatrics Society 2023 updated AGS Beers Criteria® for potentially inappropriate medication use in older adults. J Am Geriatr Soc 2023;71(7):2052–2081.</w:t>
      </w:r>
      <w:r>
        <w:rPr>
          <w:sz w:val="20"/>
          <w:szCs w:val="20"/>
        </w:rPr>
        <w:t xml:space="preserve"> </w:t>
      </w:r>
      <w:hyperlink w:history="1" r:id="rIdvi3nmteybpp4lsjcqhewt">
        <w:r>
          <w:rPr>
            <w:rStyle w:val="Hyperlink"/>
            <w:sz w:val="18"/>
            <w:szCs w:val="18"/>
          </w:rPr>
          <w:t xml:space="preserve">https://doi.org/10.1111/jgs.18372</w:t>
        </w:r>
      </w:hyperlink>
    </w:p>
    <w:p>
      <w:pPr>
        <w:spacing w:after="100"/>
        <w:ind w:left="440" w:hanging="440"/>
      </w:pPr>
      <w:r>
        <w:rPr>
          <w:sz w:val="20"/>
          <w:szCs w:val="20"/>
        </w:rPr>
        <w:t xml:space="preserve">8.	Donnelly K, et al. Benzodiazepines, Z-drugs and the risk of hip fracture: a systematic review and meta-analysis. PLoS One 2017.</w:t>
      </w:r>
    </w:p>
    <w:p>
      <w:pPr>
        <w:spacing w:after="100"/>
        <w:ind w:left="440" w:hanging="440"/>
      </w:pPr>
      <w:r>
        <w:rPr>
          <w:sz w:val="20"/>
          <w:szCs w:val="20"/>
        </w:rPr>
        <w:t xml:space="preserve">9.	Crowe SF, Stranks EK. The residual medium and long-term cognitive effects of benzodiazepine use: an updated meta-analysis. Arch Clin Neuropsychol 2018;33(7):901–911.</w:t>
      </w:r>
    </w:p>
    <w:p>
      <w:pPr>
        <w:spacing w:after="100"/>
        <w:ind w:left="440" w:hanging="440"/>
      </w:pPr>
      <w:r>
        <w:rPr>
          <w:sz w:val="20"/>
          <w:szCs w:val="20"/>
        </w:rPr>
        <w:t xml:space="preserve">10.	US FDA Drug Safety Communication (Aug 2016): FDA warns about serious risks and death when combining opioid pain or cough medicines with benzodiazepines; requires its strongest warning.</w:t>
      </w:r>
      <w:r>
        <w:rPr>
          <w:sz w:val="20"/>
          <w:szCs w:val="20"/>
        </w:rPr>
        <w:t xml:space="preserve"> </w:t>
      </w:r>
      <w:hyperlink w:history="1" r:id="rIdmv0307bz-nogu5ddqyobs">
        <w:r>
          <w:rPr>
            <w:rStyle w:val="Hyperlink"/>
            <w:sz w:val="18"/>
            <w:szCs w:val="18"/>
          </w:rPr>
          <w:t xml:space="preserve">https://www.fda.gov/drugs/drug-safety-and-availability/fda-drug-safety-communication-fda-warns-about-serious-risks-and-death-when-combining-opioid-pain-or</w:t>
        </w:r>
      </w:hyperlink>
    </w:p>
    <w:p>
      <w:pPr>
        <w:spacing w:after="100"/>
        <w:ind w:left="440" w:hanging="440"/>
      </w:pPr>
      <w:r>
        <w:rPr>
          <w:sz w:val="20"/>
          <w:szCs w:val="20"/>
        </w:rPr>
        <w:t xml:space="preserve">11.	Hernandez I, He M, Brooks MM, Zhang Y. Exposure-response association between concurrent opioid and benzodiazepine use and risk of opioid-related overdose in Medicare Part D beneficiaries. JAMA Netw Open 2018;1(2):e180919.</w:t>
      </w:r>
      <w:r>
        <w:rPr>
          <w:sz w:val="20"/>
          <w:szCs w:val="20"/>
        </w:rPr>
        <w:t xml:space="preserve"> </w:t>
      </w:r>
      <w:hyperlink w:history="1" r:id="rIdhmn2heogvctr7iggwlshf">
        <w:r>
          <w:rPr>
            <w:rStyle w:val="Hyperlink"/>
            <w:sz w:val="18"/>
            <w:szCs w:val="18"/>
          </w:rPr>
          <w:t xml:space="preserve">https://doi.org/10.1001/jamanetworkopen.2018.0919</w:t>
        </w:r>
      </w:hyperlink>
    </w:p>
    <w:p>
      <w:pPr>
        <w:spacing w:after="100"/>
        <w:ind w:left="440" w:hanging="440"/>
      </w:pPr>
      <w:r>
        <w:rPr>
          <w:sz w:val="20"/>
          <w:szCs w:val="20"/>
        </w:rPr>
        <w:t xml:space="preserve">12.	Dassanayake T, Michie P, Carter G, Jones A. Effects of benzodiazepines, antidepressants and opioids on driving: a systematic review and meta-analysis of epidemiological and experimental evidence. Drug Saf 2011;34(2):125–156.</w:t>
      </w:r>
    </w:p>
    <w:p>
      <w:pPr>
        <w:spacing w:after="100"/>
        <w:ind w:left="440" w:hanging="440"/>
      </w:pPr>
      <w:r>
        <w:rPr>
          <w:sz w:val="20"/>
          <w:szCs w:val="20"/>
        </w:rPr>
        <w:t xml:space="preserve">13.	Tran et al. JAMA Network Open 2024 — state-by-state driver medical reporting obligations (as cited in the module).</w:t>
      </w:r>
    </w:p>
    <w:p>
      <w:pPr>
        <w:spacing w:after="100"/>
        <w:ind w:left="440" w:hanging="440"/>
      </w:pPr>
      <w:r>
        <w:rPr>
          <w:sz w:val="20"/>
          <w:szCs w:val="20"/>
        </w:rPr>
        <w:t xml:space="preserve">14.	FAA (14 CFR Part 67) and FMCSA (49 CFR Part 391) medical standards for safety-sensitive occupations.</w:t>
      </w:r>
    </w:p>
    <w:p>
      <w:pPr>
        <w:spacing w:after="100"/>
        <w:ind w:left="440" w:hanging="440"/>
      </w:pPr>
      <w:r>
        <w:rPr>
          <w:sz w:val="20"/>
          <w:szCs w:val="20"/>
        </w:rPr>
        <w:t xml:space="preserve">15.	Baweja et al. J Am Acad Child Adolesc Psychiatry 2025 — outcomes data on stimulant prescribing with SUD history (as cited in the module).</w:t>
      </w:r>
    </w:p>
    <w:p>
      <w:pPr>
        <w:spacing w:after="100"/>
        <w:ind w:left="440" w:hanging="440"/>
      </w:pPr>
      <w:r>
        <w:rPr>
          <w:sz w:val="20"/>
          <w:szCs w:val="20"/>
        </w:rPr>
        <w:t xml:space="preserve">16.	American College of Occupational and Environmental Medicine — Opioid Treatment Agreement template.</w:t>
      </w:r>
    </w:p>
    <w:p>
      <w:pPr>
        <w:spacing w:after="100"/>
        <w:ind w:left="440" w:hanging="440"/>
      </w:pPr>
      <w:r>
        <w:rPr>
          <w:sz w:val="20"/>
          <w:szCs w:val="20"/>
        </w:rPr>
        <w:t xml:space="preserve">17.	21 CFR §1306.04 — Purpose of issue of prescription (legitimate medical purpose).</w:t>
      </w:r>
      <w:r>
        <w:rPr>
          <w:sz w:val="20"/>
          <w:szCs w:val="20"/>
        </w:rPr>
        <w:t xml:space="preserve"> </w:t>
      </w:r>
      <w:hyperlink w:history="1" r:id="rIdogxiboknwc71g0jbs8tzy">
        <w:r>
          <w:rPr>
            <w:rStyle w:val="Hyperlink"/>
            <w:sz w:val="18"/>
            <w:szCs w:val="18"/>
          </w:rPr>
          <w:t xml:space="preserve">https://www.law.cornell.edu/cfr/text/21/1306.04</w:t>
        </w:r>
      </w:hyperlink>
    </w:p>
    <w:p>
      <w:pPr>
        <w:spacing w:after="100"/>
        <w:ind w:left="440" w:hanging="440"/>
      </w:pPr>
      <w:r>
        <w:rPr>
          <w:sz w:val="20"/>
          <w:szCs w:val="20"/>
        </w:rPr>
        <w:t xml:space="preserve">18.	21 CFR §1306.12 — Refilling prescriptions; issuance of multiple prescriptions (up to 90-day supply).</w:t>
      </w:r>
      <w:r>
        <w:rPr>
          <w:sz w:val="20"/>
          <w:szCs w:val="20"/>
        </w:rPr>
        <w:t xml:space="preserve"> </w:t>
      </w:r>
      <w:hyperlink w:history="1" r:id="rIdx5vgto4wrovoaiugaqa7s">
        <w:r>
          <w:rPr>
            <w:rStyle w:val="Hyperlink"/>
            <w:sz w:val="18"/>
            <w:szCs w:val="18"/>
          </w:rPr>
          <w:t xml:space="preserve">https://www.law.cornell.edu/cfr/text/21/1306.12</w:t>
        </w:r>
      </w:hyperlink>
    </w:p>
    <w:p>
      <w:pPr>
        <w:spacing w:after="100"/>
        <w:ind w:left="440" w:hanging="440"/>
      </w:pPr>
      <w:r>
        <w:rPr>
          <w:sz w:val="20"/>
          <w:szCs w:val="20"/>
        </w:rPr>
        <w:t xml:space="preserve">19.	21 USC §841 — Prohibited acts A (unlawful distribution).</w:t>
      </w:r>
      <w:r>
        <w:rPr>
          <w:sz w:val="20"/>
          <w:szCs w:val="20"/>
        </w:rPr>
        <w:t xml:space="preserve"> </w:t>
      </w:r>
      <w:hyperlink w:history="1" r:id="rIdzvmssnimdkgmybhf4zw-k">
        <w:r>
          <w:rPr>
            <w:rStyle w:val="Hyperlink"/>
            <w:sz w:val="18"/>
            <w:szCs w:val="18"/>
          </w:rPr>
          <w:t xml:space="preserve">https://www.law.cornell.edu/uscode/text/21/841</w:t>
        </w:r>
      </w:hyperlink>
    </w:p>
    <w:p>
      <w:pPr>
        <w:spacing w:after="100"/>
        <w:ind w:left="440" w:hanging="440"/>
      </w:pPr>
      <w:r>
        <w:rPr>
          <w:sz w:val="20"/>
          <w:szCs w:val="20"/>
        </w:rPr>
        <w:t xml:space="preserve">20.	New York Public Health Law §3343-a — Prescription Monitoring Program registry; duty to consult (I-STOP).</w:t>
      </w:r>
      <w:r>
        <w:rPr>
          <w:sz w:val="20"/>
          <w:szCs w:val="20"/>
        </w:rPr>
        <w:t xml:space="preserve"> </w:t>
      </w:r>
      <w:hyperlink w:history="1" r:id="rIdmvcxwlqeiqfx339fmjaue">
        <w:r>
          <w:rPr>
            <w:rStyle w:val="Hyperlink"/>
            <w:sz w:val="18"/>
            <w:szCs w:val="18"/>
          </w:rPr>
          <w:t xml:space="preserve">https://www.nysenate.gov/legislation/laws/PBH/3343-A</w:t>
        </w:r>
      </w:hyperlink>
    </w:p>
    <w:p>
      <w:pPr>
        <w:spacing w:after="100"/>
        <w:ind w:left="440" w:hanging="440"/>
      </w:pPr>
      <w:r>
        <w:rPr>
          <w:sz w:val="20"/>
          <w:szCs w:val="20"/>
        </w:rPr>
        <w:t xml:space="preserve">21.	N.J.S.A. 45:1-46.1 (P.L.2017, c.341) — PMP access requirements for practitioners.</w:t>
      </w:r>
      <w:r>
        <w:rPr>
          <w:sz w:val="20"/>
          <w:szCs w:val="20"/>
        </w:rPr>
        <w:t xml:space="preserve"> </w:t>
      </w:r>
      <w:hyperlink w:history="1" r:id="rId2geahaf1l3b4179kg5or9">
        <w:r>
          <w:rPr>
            <w:rStyle w:val="Hyperlink"/>
            <w:sz w:val="18"/>
            <w:szCs w:val="18"/>
          </w:rPr>
          <w:t xml:space="preserve">https://law.justia.com/codes/new-jersey/title-45/section-45-1-46-1/</w:t>
        </w:r>
      </w:hyperlink>
    </w:p>
    <w:p>
      <w:pPr>
        <w:spacing w:after="100"/>
        <w:ind w:left="440" w:hanging="440"/>
      </w:pPr>
      <w:r>
        <w:rPr>
          <w:sz w:val="20"/>
          <w:szCs w:val="20"/>
        </w:rPr>
        <w:t xml:space="preserve">22.	DEA consumer guidance on safe storage and disposal of controlled-substance medications.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Clause library v1.0.0 (2026-05-25)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mbria" w:cs="Cambria" w:eastAsia="Cambria" w:hAnsi="Cambria"/>
      <w:b/>
      <w:bCs/>
      <w:color w:val="1D232B"/>
      <w:sz w:val="44"/>
      <w:szCs w:val="44"/>
    </w:rPr>
  </w:style>
  <w:style w:type="paragraph" w:styleId="Heading1">
    <w:name w:val="Heading 1"/>
    <w:basedOn w:val="Normal"/>
    <w:next w:val="Normal"/>
    <w:qFormat/>
    <w:pPr>
      <w:spacing w:after="120" w:before="240"/>
      <w:outlineLvl w:val="0"/>
    </w:pPr>
    <w:rPr>
      <w:rFonts w:ascii="Cambria" w:cs="Cambria" w:eastAsia="Cambria" w:hAnsi="Cambria"/>
      <w:b/>
      <w:bCs/>
      <w:color w:val="1F4E79"/>
      <w:sz w:val="32"/>
      <w:szCs w:val="32"/>
    </w:rPr>
  </w:style>
  <w:style w:type="paragraph" w:styleId="Heading2">
    <w:name w:val="Heading 2"/>
    <w:basedOn w:val="Normal"/>
    <w:next w:val="Normal"/>
    <w:qFormat/>
    <w:pPr>
      <w:spacing w:after="60" w:before="240"/>
      <w:outlineLvl w:val="1"/>
    </w:pPr>
    <w:rPr>
      <w:b/>
      <w:bCs/>
      <w:color w:val="1D232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abt4lzyuhjhaunb0hh61" Type="http://schemas.openxmlformats.org/officeDocument/2006/relationships/hyperlink" Target="https://www.cdc.gov/mmwr/volumes/71/rr/rr7103a1.htm" TargetMode="External"/><Relationship Id="rIduwyowmxxqvjvuv4pkyioi" Type="http://schemas.openxmlformats.org/officeDocument/2006/relationships/hyperlink" Target="https://www.asam.org/quality-care/clinical-guidelines" TargetMode="External"/><Relationship Id="rIderfejw12mxvjyoutryx4j" Type="http://schemas.openxmlformats.org/officeDocument/2006/relationships/hyperlink" Target="https://www.asam.org/quality-care/clinical-guidelines" TargetMode="External"/><Relationship Id="rIdt3ht4lgacwlvutfmm1_ta" Type="http://schemas.openxmlformats.org/officeDocument/2006/relationships/hyperlink" Target="https://doi.org/10.1016/j.jpain.2008.10.008" TargetMode="External"/><Relationship Id="rIdmpbhpbnk8ztprphdeam0_" Type="http://schemas.openxmlformats.org/officeDocument/2006/relationships/hyperlink" Target="https://www.healthquality.va.gov/guidelines/pain/cot/" TargetMode="External"/><Relationship Id="rIdvi3nmteybpp4lsjcqhewt" Type="http://schemas.openxmlformats.org/officeDocument/2006/relationships/hyperlink" Target="https://doi.org/10.1111/jgs.18372" TargetMode="External"/><Relationship Id="rIdmv0307bz-nogu5ddqyobs" Type="http://schemas.openxmlformats.org/officeDocument/2006/relationships/hyperlink" Target="https://www.fda.gov/drugs/drug-safety-and-availability/fda-drug-safety-communication-fda-warns-about-serious-risks-and-death-when-combining-opioid-pain-or" TargetMode="External"/><Relationship Id="rIdhmn2heogvctr7iggwlshf" Type="http://schemas.openxmlformats.org/officeDocument/2006/relationships/hyperlink" Target="https://doi.org/10.1001/jamanetworkopen.2018.0919" TargetMode="External"/><Relationship Id="rIdogxiboknwc71g0jbs8tzy" Type="http://schemas.openxmlformats.org/officeDocument/2006/relationships/hyperlink" Target="https://www.law.cornell.edu/cfr/text/21/1306.04" TargetMode="External"/><Relationship Id="rIdx5vgto4wrovoaiugaqa7s" Type="http://schemas.openxmlformats.org/officeDocument/2006/relationships/hyperlink" Target="https://www.law.cornell.edu/cfr/text/21/1306.12" TargetMode="External"/><Relationship Id="rIdzvmssnimdkgmybhf4zw-k" Type="http://schemas.openxmlformats.org/officeDocument/2006/relationships/hyperlink" Target="https://www.law.cornell.edu/uscode/text/21/841" TargetMode="External"/><Relationship Id="rIdmvcxwlqeiqfx339fmjaue" Type="http://schemas.openxmlformats.org/officeDocument/2006/relationships/hyperlink" Target="https://www.nysenate.gov/legislation/laws/PBH/3343-A" TargetMode="External"/><Relationship Id="rId2geahaf1l3b4179kg5or9" Type="http://schemas.openxmlformats.org/officeDocument/2006/relationships/hyperlink" Target="https://law.justia.com/codes/new-jersey/title-45/section-45-1-46-1/"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Modular Controlled-Substance Prescribing Agreement — Clause Library</dc:title>
  <dc:creator>CS Agreement Builder</dc:creator>
  <cp:lastModifiedBy>Un-named</cp:lastModifiedBy>
  <cp:revision>1</cp:revision>
  <dcterms:created xsi:type="dcterms:W3CDTF">2026-10-20T21:10:33.145Z</dcterms:created>
  <dcterms:modified xsi:type="dcterms:W3CDTF">2026-10-20T21:10:33.146Z</dcterms:modified>
</cp:coreProperties>
</file>

<file path=docProps/custom.xml><?xml version="1.0" encoding="utf-8"?>
<Properties xmlns="http://schemas.openxmlformats.org/officeDocument/2006/custom-properties" xmlns:vt="http://schemas.openxmlformats.org/officeDocument/2006/docPropsVTypes"/>
</file>