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Chronic Opiates — Inherited Patient</w:t>
      </w:r>
    </w:p>
    <w:p>
      <w:pPr>
        <w:spacing w:after="80" w:before="40"/>
      </w:pPr>
      <w:r>
        <w:rPr>
          <w:i/>
          <w:color w:val="999999"/>
          <w:sz w:val="18"/>
        </w:rPr>
        <w:t>&gt;&gt;&gt; TEMPLATE FORMAT RULES — Do not delete or reorder section headings. Lines starting with "&gt;&gt;&gt;" are instructions and will be stripped on upload. Item IDs in [brackets] must be unique within the module. Keep IDs lowercase, hyphenated, no spaces (e.g., [pdmp], [high-dose]).</w:t>
      </w:r>
    </w:p>
    <w:p>
      <w:pPr>
        <w:pStyle w:val="Heading2"/>
      </w:pPr>
      <w:r>
        <w:t>Introduction</w:t>
      </w:r>
    </w:p>
    <w:p>
      <w:pPr>
        <w:spacing w:after="80" w:before="40"/>
      </w:pPr>
      <w:r>
        <w:rPr>
          <w:i/>
          <w:color w:val="999999"/>
          <w:sz w:val="18"/>
        </w:rPr>
        <w:t>&gt;&gt;&gt; One paragraph of introductory context for the clinician. This appears at the top of the module in italics.</w:t>
      </w:r>
    </w:p>
    <w:p>
      <w:r>
        <w:t>A patient is transferring to your panel on a chronic opiate regimen. This is one of the highest-anxiety handoffs in primary care — and one of the most common. Your job at the first visit is not to solve the problem. It is to establish the relationship, complete a structured assessment, and determine whether you can continue, need to modify, or need to escalate. Do not discontinue at the first visit without a safety plan in place.</w:t>
      </w:r>
    </w:p>
    <w:p>
      <w:pPr>
        <w:pStyle w:val="Heading2"/>
      </w:pPr>
      <w:r>
        <w:t>Checklist Items</w:t>
      </w:r>
    </w:p>
    <w:p>
      <w:pPr>
        <w:spacing w:after="80" w:before="40"/>
      </w:pPr>
      <w:r>
        <w:rPr>
          <w:i/>
          <w:color w:val="999999"/>
          <w:sz w:val="18"/>
        </w:rPr>
        <w:t>&gt;&gt;&gt; Exactly 4 items required. Each item is a Heading 3 with the format: [item-id] Statement text. The item-id must match a FAQ entry ID below.</w:t>
      </w:r>
    </w:p>
    <w:p>
      <w:pPr>
        <w:pStyle w:val="Heading3"/>
      </w:pPr>
      <w:r>
        <w:t>[opiates-pdmp] PDMP reviewed — single prescriber, single pharmacy, consistent quantities, no concurrent controlled substances of concern</w:t>
      </w:r>
    </w:p>
    <w:p>
      <w:pPr>
        <w:pStyle w:val="Heading3"/>
      </w:pPr>
      <w:r>
        <w:t>[opiates-agreement] Controlled substance agreement on file or completed at this visit — patient understands monitoring expectations</w:t>
      </w:r>
    </w:p>
    <w:p>
      <w:pPr>
        <w:pStyle w:val="Heading3"/>
      </w:pPr>
      <w:r>
        <w:t>[opiates-uds] Urine drug screen obtained at intake — results reviewed and documented</w:t>
      </w:r>
    </w:p>
    <w:p>
      <w:pPr>
        <w:pStyle w:val="Heading3"/>
      </w:pPr>
      <w:r>
        <w:t>[opiates-mme] Current MME calculated — dose is documented and clinical rationale is present for doses above 50 MME/day</w:t>
      </w:r>
    </w:p>
    <w:p>
      <w:pPr>
        <w:pStyle w:val="Heading2"/>
      </w:pPr>
      <w:r>
        <w:t>Green Zone</w:t>
      </w:r>
    </w:p>
    <w:p>
      <w:pPr>
        <w:spacing w:after="80" w:before="40"/>
      </w:pPr>
      <w:r>
        <w:rPr>
          <w:i/>
          <w:color w:val="999999"/>
          <w:sz w:val="18"/>
        </w:rPr>
        <w:t>&gt;&gt;&gt; The success state shown when all checklist items are checked. Three fields required: Label, Narrative, SmartPhrase.</w:t>
      </w:r>
    </w:p>
    <w:p>
      <w:pPr>
        <w:spacing w:after="120"/>
      </w:pPr>
      <w:r>
        <w:rPr>
          <w:b/>
          <w:color w:val="1C1A16"/>
          <w:sz w:val="22"/>
        </w:rPr>
        <w:t xml:space="preserve">Label: </w:t>
      </w:r>
      <w:r>
        <w:rPr>
          <w:color w:val="1C1A16"/>
          <w:sz w:val="22"/>
        </w:rPr>
        <w:t>All boxes checked — Continue with monitoring</w:t>
      </w:r>
    </w:p>
    <w:p>
      <w:pPr>
        <w:spacing w:after="120"/>
      </w:pPr>
      <w:r>
        <w:rPr>
          <w:b/>
          <w:color w:val="1C1A16"/>
          <w:sz w:val="22"/>
        </w:rPr>
        <w:t xml:space="preserve">Narrative: </w:t>
      </w:r>
      <w:r>
        <w:rPr>
          <w:color w:val="1C1A16"/>
          <w:sz w:val="22"/>
        </w:rPr>
        <w:t>Reasonable basis to continue current regimen at this visit. Document using SmartPhrase below. Schedule follow-up at 90 days or sooner if any concerns emerge. Monitoring is ongoing — this is not a one-time clearance. You are institutionally supported.</w:t>
      </w:r>
    </w:p>
    <w:p>
      <w:pPr>
        <w:spacing w:after="120"/>
      </w:pPr>
      <w:r>
        <w:rPr>
          <w:b/>
          <w:color w:val="1C1A16"/>
          <w:sz w:val="22"/>
        </w:rPr>
        <w:t xml:space="preserve">SmartPhrase: </w:t>
      </w:r>
      <w:r>
        <w:rPr>
          <w:color w:val="1C1A16"/>
          <w:sz w:val="22"/>
        </w:rPr>
        <w:t>.OPIATES-CONT</w:t>
      </w:r>
    </w:p>
    <w:p>
      <w:pPr>
        <w:pStyle w:val="Heading2"/>
      </w:pPr>
      <w:r>
        <w:t>Escalation Items</w:t>
      </w:r>
    </w:p>
    <w:p>
      <w:pPr>
        <w:spacing w:after="80" w:before="40"/>
      </w:pPr>
      <w:r>
        <w:rPr>
          <w:i/>
          <w:color w:val="999999"/>
          <w:sz w:val="18"/>
        </w:rPr>
        <w:t>&gt;&gt;&gt; Up to 10 items. Each item is a Heading 3 with the format: [item-id] Statement text. The item-id must match a FAQ entry ID below.</w:t>
      </w:r>
    </w:p>
    <w:p>
      <w:pPr>
        <w:pStyle w:val="Heading3"/>
      </w:pPr>
      <w:r>
        <w:t>[opiates-highdose] Current dose ≥ 90 MME/day without documented pain management specialist involvement</w:t>
      </w:r>
    </w:p>
    <w:p>
      <w:pPr>
        <w:pStyle w:val="Heading3"/>
      </w:pPr>
      <w:r>
        <w:t>[opiates-combo] Concurrent benzodiazepine prescription — any dose, any indication</w:t>
      </w:r>
    </w:p>
    <w:p>
      <w:pPr>
        <w:pStyle w:val="Heading3"/>
      </w:pPr>
      <w:r>
        <w:t>[opiates-uds-fail] UDS positive for non-prescribed controlled substance, or negative for prescribed opiate</w:t>
      </w:r>
    </w:p>
    <w:p>
      <w:pPr>
        <w:pStyle w:val="Heading3"/>
      </w:pPr>
      <w:r>
        <w:t>[opiates-pdmp-concern] PDMP shows multiple prescribers, multiple pharmacies, or overlapping fills</w:t>
      </w:r>
    </w:p>
    <w:p>
      <w:pPr>
        <w:pStyle w:val="Heading3"/>
      </w:pPr>
      <w:r>
        <w:t>[opiates-behavior] Repeated early refill requests, lost medications, or escalating contact between visits</w:t>
      </w:r>
    </w:p>
    <w:p>
      <w:pPr>
        <w:pStyle w:val="Heading3"/>
      </w:pPr>
      <w:r>
        <w:t>[opiates-oud] Any clinical concern for opioid use disorder — consider MOUD rather than taper or discontinuation</w:t>
      </w:r>
    </w:p>
    <w:p>
      <w:pPr>
        <w:pStyle w:val="Heading2"/>
      </w:pPr>
      <w:r>
        <w:t>Context</w:t>
      </w:r>
    </w:p>
    <w:p>
      <w:pPr>
        <w:spacing w:after="80" w:before="40"/>
      </w:pPr>
      <w:r>
        <w:rPr>
          <w:i/>
          <w:color w:val="999999"/>
          <w:sz w:val="18"/>
        </w:rPr>
        <w:t>&gt;&gt;&gt; Optional. A brief contextual note displayed at the bottom of the module. Delete this section if not needed. Two fields: Label and Text.</w:t>
      </w:r>
    </w:p>
    <w:p>
      <w:pPr>
        <w:spacing w:after="120"/>
      </w:pPr>
      <w:r>
        <w:rPr>
          <w:b/>
          <w:color w:val="1C1A16"/>
          <w:sz w:val="22"/>
        </w:rPr>
        <w:t xml:space="preserve">Label: </w:t>
      </w:r>
      <w:r>
        <w:rPr>
          <w:color w:val="1C1A16"/>
          <w:sz w:val="22"/>
        </w:rPr>
      </w:r>
    </w:p>
    <w:p>
      <w:pPr>
        <w:spacing w:after="120"/>
      </w:pPr>
      <w:r>
        <w:rPr>
          <w:b/>
          <w:color w:val="1C1A16"/>
          <w:sz w:val="22"/>
        </w:rPr>
        <w:t xml:space="preserve">Text: </w:t>
      </w:r>
      <w:r>
        <w:rPr>
          <w:color w:val="1C1A16"/>
          <w:sz w:val="22"/>
        </w:rPr>
      </w:r>
    </w:p>
    <w:p>
      <w:pPr>
        <w:pStyle w:val="Heading2"/>
      </w:pPr>
      <w:r>
        <w:t>Footer</w:t>
      </w:r>
    </w:p>
    <w:p>
      <w:pPr>
        <w:spacing w:after="80" w:before="40"/>
      </w:pPr>
      <w:r>
        <w:rPr>
          <w:i/>
          <w:color w:val="999999"/>
          <w:sz w:val="18"/>
        </w:rPr>
        <w:t>&gt;&gt;&gt; One line of footer text displayed at the bottom of the module.</w:t>
      </w:r>
    </w:p>
    <w:p>
      <w:r>
        <w:t>For internal use only. This is a viable first pathway, not the only pathway. Experienced providers retain clinical discretion.</w:t>
      </w:r>
    </w:p>
    <w:p>
      <w:pPr>
        <w:pStyle w:val="Heading2"/>
      </w:pPr>
      <w:r>
        <w:t>FAQ Reference</w:t>
      </w:r>
    </w:p>
    <w:p>
      <w:pPr>
        <w:spacing w:after="80" w:before="40"/>
      </w:pPr>
      <w:r>
        <w:rPr>
          <w:i/>
          <w:color w:val="999999"/>
          <w:sz w:val="18"/>
        </w:rPr>
        <w:t>&gt;&gt;&gt; One entry per checklist or escalation item. Each entry starts with a Heading 3: [item-id] Topic Name. The item-id must match an item above. Then "FAQ Title:" followed by the display title. Then pairs of "Question:" and answer paragraphs. Answer text can use bold and italic formatting — it will be preserved.</w:t>
      </w:r>
    </w:p>
    <w:p>
      <w:pPr>
        <w:spacing w:before="80" w:after="80"/>
      </w:pPr>
      <w:r>
        <w:rPr>
          <w:color w:val="999999"/>
          <w:sz w:val="16"/>
        </w:rPr>
        <w:t>────────────────────────────────────────────────────────────</w:t>
      </w:r>
    </w:p>
    <w:p>
      <w:pPr>
        <w:pStyle w:val="Heading3"/>
      </w:pPr>
      <w:r>
        <w:t>[opiates-pdmp] PDMP Review</w:t>
      </w:r>
    </w:p>
    <w:p>
      <w:pPr>
        <w:spacing w:after="120"/>
      </w:pPr>
      <w:r>
        <w:rPr>
          <w:b/>
          <w:color w:val="1C1A16"/>
          <w:sz w:val="22"/>
        </w:rPr>
        <w:t xml:space="preserve">FAQ Title: </w:t>
      </w:r>
      <w:r>
        <w:rPr>
          <w:color w:val="1C1A16"/>
          <w:sz w:val="22"/>
        </w:rPr>
        <w:t>What am I looking for in the PDMP for opiate patients?</w:t>
      </w:r>
    </w:p>
    <w:p/>
    <w:p>
      <w:pPr>
        <w:spacing w:after="120"/>
      </w:pPr>
      <w:r>
        <w:rPr>
          <w:b/>
          <w:color w:val="1C1A16"/>
          <w:sz w:val="22"/>
        </w:rPr>
        <w:t xml:space="preserve">Question: </w:t>
      </w:r>
      <w:r>
        <w:rPr>
          <w:color w:val="1C1A16"/>
          <w:sz w:val="22"/>
        </w:rPr>
        <w:t>How is the opiate PDMP review different from stimulants?</w:t>
      </w:r>
    </w:p>
    <w:p>
      <w:pPr>
        <w:spacing w:after="160"/>
        <w:ind w:left="360"/>
      </w:pPr>
      <w:r>
        <w:rPr>
          <w:color w:val="6B6560"/>
          <w:sz w:val="20"/>
        </w:rPr>
        <w:t>The stakes are higher and the patterns are more specific. For opiates you are looking for: overlapping fills from any prescriber (suggests double-doctoring), concurrent benzodiazepine prescriptions (this is your most important safety flag — the combination dramatically increases overdose mortality), fill frequency relative to days supply (filling a 30-day supply every 20 days is a pattern), and cash-pay fills which bypass insurance tracking and may not appear on PDMP in all states.</w:t>
        <w:br/>
        <w:br/>
        <w:t>New York requires PDMP review prior to every opiate prescription — not just at intake.</w:t>
      </w:r>
    </w:p>
    <w:p/>
    <w:p>
      <w:pPr>
        <w:spacing w:after="120"/>
      </w:pPr>
      <w:r>
        <w:rPr>
          <w:b/>
          <w:color w:val="1C1A16"/>
          <w:sz w:val="22"/>
        </w:rPr>
        <w:t xml:space="preserve">Question: </w:t>
      </w:r>
      <w:r>
        <w:rPr>
          <w:color w:val="1C1A16"/>
          <w:sz w:val="22"/>
        </w:rPr>
        <w:t>I see a second prescriber in the PDMP. Is that automatically a problem?</w:t>
      </w:r>
    </w:p>
    <w:p>
      <w:pPr>
        <w:spacing w:after="160"/>
        <w:ind w:left="360"/>
      </w:pPr>
      <w:r>
        <w:rPr>
          <w:color w:val="6B6560"/>
          <w:sz w:val="20"/>
        </w:rPr>
        <w:t>Not automatically — but it requires an explanation you can document. A patient seeing both a PCP and a pain management specialist may have legitimate dual prescribing if it is coordinated. An ER prescription for an acute injury is different from a pattern of monthly fills from two separate primary care offices.</w:t>
        <w:br/>
        <w:br/>
        <w:t>Ask the patient directly, document what they tell you, and contact the other prescriber if the answer is unclear.</w:t>
      </w:r>
    </w:p>
    <w:p/>
    <w:p>
      <w:pPr>
        <w:spacing w:after="120"/>
      </w:pPr>
      <w:r>
        <w:rPr>
          <w:b/>
          <w:color w:val="1C1A16"/>
          <w:sz w:val="22"/>
        </w:rPr>
        <w:t xml:space="preserve">Question: </w:t>
      </w:r>
      <w:r>
        <w:rPr>
          <w:color w:val="1C1A16"/>
          <w:sz w:val="22"/>
        </w:rPr>
        <w:t>What do I do if I find a concurrent benzo prescription?</w:t>
      </w:r>
    </w:p>
    <w:p>
      <w:pPr>
        <w:spacing w:after="160"/>
        <w:ind w:left="360"/>
      </w:pPr>
      <w:r>
        <w:rPr>
          <w:color w:val="6B6560"/>
          <w:sz w:val="20"/>
        </w:rPr>
        <w:t>Do not prescribe the opiate at this visit without a safety plan. The opiate-benzodiazepine combination is the leading driver of prescription overdose mortality. This is not a reason to cut the patient off — it is a reason to have a direct conversation, understand who is managing the benzo, and develop a coordinated plan.</w:t>
        <w:br/>
        <w:br/>
        <w:t>See the escalation FAQ for next steps.</w:t>
      </w:r>
    </w:p>
    <w:p>
      <w:pPr>
        <w:spacing w:before="80" w:after="80"/>
      </w:pPr>
      <w:r>
        <w:rPr>
          <w:color w:val="999999"/>
          <w:sz w:val="16"/>
        </w:rPr>
        <w:t>────────────────────────────────────────────────────────────</w:t>
      </w:r>
    </w:p>
    <w:p>
      <w:pPr>
        <w:pStyle w:val="Heading3"/>
      </w:pPr>
      <w:r>
        <w:t>[opiates-agreement] Controlled Substance Agreement</w:t>
      </w:r>
    </w:p>
    <w:p>
      <w:pPr>
        <w:spacing w:after="120"/>
      </w:pPr>
      <w:r>
        <w:rPr>
          <w:b/>
          <w:color w:val="1C1A16"/>
          <w:sz w:val="22"/>
        </w:rPr>
        <w:t xml:space="preserve">FAQ Title: </w:t>
      </w:r>
      <w:r>
        <w:rPr>
          <w:color w:val="1C1A16"/>
          <w:sz w:val="22"/>
        </w:rPr>
        <w:t>The CS agreement — what it is and what it isn't</w:t>
      </w:r>
    </w:p>
    <w:p/>
    <w:p>
      <w:pPr>
        <w:spacing w:after="120"/>
      </w:pPr>
      <w:r>
        <w:rPr>
          <w:b/>
          <w:color w:val="1C1A16"/>
          <w:sz w:val="22"/>
        </w:rPr>
        <w:t xml:space="preserve">Question: </w:t>
      </w:r>
      <w:r>
        <w:rPr>
          <w:color w:val="1C1A16"/>
          <w:sz w:val="22"/>
        </w:rPr>
        <w:t>Do I need a new agreement if the prior provider had one on file?</w:t>
      </w:r>
    </w:p>
    <w:p>
      <w:pPr>
        <w:spacing w:after="160"/>
        <w:ind w:left="360"/>
      </w:pPr>
      <w:r>
        <w:rPr>
          <w:color w:val="6B6560"/>
          <w:sz w:val="20"/>
        </w:rPr>
        <w:t>Yes. When you become the prescriber of record, a new agreement should be completed. This is both a documentation standard and a clinical moment — reviewing the agreement with the patient at the first visit establishes expectations, gives you an opportunity to assess their understanding, and signals that this is a managed relationship, not an automatic continuation.</w:t>
      </w:r>
    </w:p>
    <w:p/>
    <w:p>
      <w:pPr>
        <w:spacing w:after="120"/>
      </w:pPr>
      <w:r>
        <w:rPr>
          <w:b/>
          <w:color w:val="1C1A16"/>
          <w:sz w:val="22"/>
        </w:rPr>
        <w:t xml:space="preserve">Question: </w:t>
      </w:r>
      <w:r>
        <w:rPr>
          <w:color w:val="1C1A16"/>
          <w:sz w:val="22"/>
        </w:rPr>
        <w:t>What should the agreement cover?</w:t>
      </w:r>
    </w:p>
    <w:p>
      <w:pPr>
        <w:spacing w:after="160"/>
        <w:ind w:left="360"/>
      </w:pPr>
      <w:r>
        <w:rPr>
          <w:color w:val="6B6560"/>
          <w:sz w:val="20"/>
        </w:rPr>
        <w:t>At minimum: single prescriber and single pharmacy requirements, agreement to UDS monitoring, no early refills policy, no replacement for lost or stolen medications, expectations around dose changes (patient does not self-adjust), and acknowledgment that the goal of therapy is functional improvement, not pain elimination.</w:t>
        <w:br/>
        <w:br/>
        <w:t>SmartPhrase .CSAGREE populates the standard institutional template.</w:t>
      </w:r>
    </w:p>
    <w:p/>
    <w:p>
      <w:pPr>
        <w:spacing w:after="120"/>
      </w:pPr>
      <w:r>
        <w:rPr>
          <w:b/>
          <w:color w:val="1C1A16"/>
          <w:sz w:val="22"/>
        </w:rPr>
        <w:t xml:space="preserve">Question: </w:t>
      </w:r>
      <w:r>
        <w:rPr>
          <w:color w:val="1C1A16"/>
          <w:sz w:val="22"/>
        </w:rPr>
        <w:t>The patient refuses to sign. What do I do?</w:t>
      </w:r>
    </w:p>
    <w:p>
      <w:pPr>
        <w:spacing w:after="160"/>
        <w:ind w:left="360"/>
      </w:pPr>
      <w:r>
        <w:rPr>
          <w:color w:val="6B6560"/>
          <w:sz w:val="20"/>
        </w:rPr>
        <w:t>A patient who refuses to sign a CS agreement is communicating something worth understanding before you respond. Ask why — occasionally there is a literacy or language barrier, or a prior negative experience with how the agreement was presented.</w:t>
        <w:br/>
        <w:br/>
        <w:t>If refusal is categorical and the patient cannot articulate a reason, document the refusal and the conversation. You are not obligated to prescribe without a signed agreement, and the institutional framework supports that position.</w:t>
      </w:r>
    </w:p>
    <w:p>
      <w:pPr>
        <w:spacing w:before="80" w:after="80"/>
      </w:pPr>
      <w:r>
        <w:rPr>
          <w:color w:val="999999"/>
          <w:sz w:val="16"/>
        </w:rPr>
        <w:t>────────────────────────────────────────────────────────────</w:t>
      </w:r>
    </w:p>
    <w:p>
      <w:pPr>
        <w:pStyle w:val="Heading3"/>
      </w:pPr>
      <w:r>
        <w:t>[opiates-uds] Urine Drug Screen</w:t>
      </w:r>
    </w:p>
    <w:p>
      <w:pPr>
        <w:spacing w:after="120"/>
      </w:pPr>
      <w:r>
        <w:rPr>
          <w:b/>
          <w:color w:val="1C1A16"/>
          <w:sz w:val="22"/>
        </w:rPr>
        <w:t xml:space="preserve">FAQ Title: </w:t>
      </w:r>
      <w:r>
        <w:rPr>
          <w:color w:val="1C1A16"/>
          <w:sz w:val="22"/>
        </w:rPr>
        <w:t>UDS at intake — interpreting and acting on results</w:t>
      </w:r>
    </w:p>
    <w:p/>
    <w:p>
      <w:pPr>
        <w:spacing w:after="120"/>
      </w:pPr>
      <w:r>
        <w:rPr>
          <w:b/>
          <w:color w:val="1C1A16"/>
          <w:sz w:val="22"/>
        </w:rPr>
        <w:t xml:space="preserve">Question: </w:t>
      </w:r>
      <w:r>
        <w:rPr>
          <w:color w:val="1C1A16"/>
          <w:sz w:val="22"/>
        </w:rPr>
        <w:t>What is the difference between a screening UDS and a confirmatory test?</w:t>
      </w:r>
    </w:p>
    <w:p>
      <w:pPr>
        <w:spacing w:after="160"/>
        <w:ind w:left="360"/>
      </w:pPr>
      <w:r>
        <w:rPr>
          <w:color w:val="6B6560"/>
          <w:sz w:val="20"/>
        </w:rPr>
        <w:t>The point-of-care immunoassay (the cup test) is a screen — it is fast and useful but has meaningful false positive and false negative rates. A positive screen for an unexpected substance, or a negative screen for the prescribed opiate, should be confirmed with GC-MS or LC-MS/MS before you act on it clinically or document it as a confirmed finding.</w:t>
        <w:br/>
        <w:br/>
        <w:t>Do not discharge a patient based on a screen alone.</w:t>
      </w:r>
    </w:p>
    <w:p/>
    <w:p>
      <w:pPr>
        <w:spacing w:after="120"/>
      </w:pPr>
      <w:r>
        <w:rPr>
          <w:b/>
          <w:color w:val="1C1A16"/>
          <w:sz w:val="22"/>
        </w:rPr>
        <w:t xml:space="preserve">Question: </w:t>
      </w:r>
      <w:r>
        <w:rPr>
          <w:color w:val="1C1A16"/>
          <w:sz w:val="22"/>
        </w:rPr>
        <w:t>The UDS is negative for the prescribed opiate. What does that mean?</w:t>
      </w:r>
    </w:p>
    <w:p>
      <w:pPr>
        <w:spacing w:after="160"/>
        <w:ind w:left="360"/>
      </w:pPr>
      <w:r>
        <w:rPr>
          <w:color w:val="6B6560"/>
          <w:sz w:val="20"/>
        </w:rPr>
        <w:t>Several possibilities: the patient did not take the medication as prescribed (most concerning — suggests diversion or stockpiling), the patient took it but timing of the dose relative to collection caused a false negative (less common with chronic dosing), or there is a metabolic variant affecting detection.</w:t>
        <w:br/>
        <w:br/>
        <w:t>Confirm with send-out testing. Have a non-accusatory conversation: "I want to make sure we understand this result together before drawing any conclusions." Document the conversation and the plan for follow-up testing.</w:t>
      </w:r>
    </w:p>
    <w:p/>
    <w:p>
      <w:pPr>
        <w:spacing w:after="120"/>
      </w:pPr>
      <w:r>
        <w:rPr>
          <w:b/>
          <w:color w:val="1C1A16"/>
          <w:sz w:val="22"/>
        </w:rPr>
        <w:t xml:space="preserve">Question: </w:t>
      </w:r>
      <w:r>
        <w:rPr>
          <w:color w:val="1C1A16"/>
          <w:sz w:val="22"/>
        </w:rPr>
        <w:t>How often should UDS be repeated after intake?</w:t>
      </w:r>
    </w:p>
    <w:p>
      <w:pPr>
        <w:spacing w:after="160"/>
        <w:ind w:left="360"/>
      </w:pPr>
      <w:r>
        <w:rPr>
          <w:color w:val="6B6560"/>
          <w:sz w:val="20"/>
        </w:rPr>
        <w:t>Risk-stratified. A stable patient with a clean PDMP, signed agreement, and no behavioral concerns: every 6–12 months is a defensible standard. A patient with any yellow flags: every 3 months. A patient with active concerns or recent escalation: at every visit until stable.</w:t>
        <w:br/>
        <w:br/>
        <w:t>Document your reasoning for the interval chosen.</w:t>
      </w:r>
    </w:p>
    <w:p>
      <w:pPr>
        <w:spacing w:before="80" w:after="80"/>
      </w:pPr>
      <w:r>
        <w:rPr>
          <w:color w:val="999999"/>
          <w:sz w:val="16"/>
        </w:rPr>
        <w:t>────────────────────────────────────────────────────────────</w:t>
      </w:r>
    </w:p>
    <w:p>
      <w:pPr>
        <w:pStyle w:val="Heading3"/>
      </w:pPr>
      <w:r>
        <w:t>[opiates-mme] MME Calculation</w:t>
      </w:r>
    </w:p>
    <w:p>
      <w:pPr>
        <w:spacing w:after="120"/>
      </w:pPr>
      <w:r>
        <w:rPr>
          <w:b/>
          <w:color w:val="1C1A16"/>
          <w:sz w:val="22"/>
        </w:rPr>
        <w:t xml:space="preserve">FAQ Title: </w:t>
      </w:r>
      <w:r>
        <w:rPr>
          <w:color w:val="1C1A16"/>
          <w:sz w:val="22"/>
        </w:rPr>
        <w:t>Morphine milligram equivalents — calculating and contextualizing</w:t>
      </w:r>
    </w:p>
    <w:p/>
    <w:p>
      <w:pPr>
        <w:spacing w:after="120"/>
      </w:pPr>
      <w:r>
        <w:rPr>
          <w:b/>
          <w:color w:val="1C1A16"/>
          <w:sz w:val="22"/>
        </w:rPr>
        <w:t xml:space="preserve">Question: </w:t>
      </w:r>
      <w:r>
        <w:rPr>
          <w:color w:val="1C1A16"/>
          <w:sz w:val="22"/>
        </w:rPr>
        <w:t>How do I calculate MME?</w:t>
      </w:r>
    </w:p>
    <w:p>
      <w:pPr>
        <w:spacing w:after="160"/>
        <w:ind w:left="360"/>
      </w:pPr>
      <w:r>
        <w:rPr>
          <w:color w:val="6B6560"/>
          <w:sz w:val="20"/>
        </w:rPr>
        <w:t>Multiply the daily dose by the conversion factor for that opioid:</w:t>
        <w:br/>
        <w:br/>
        <w:t>Morphine — 1:1 (30 mg morphine = 30 MME)</w:t>
        <w:br/>
        <w:br/>
        <w:t>Oxycodone — × 1.5 (30 mg oxycodone = 45 MME)</w:t>
        <w:br/>
        <w:br/>
        <w:t>Hydrocodone — × 1 (30 mg hydrocodone = 30 MME)</w:t>
        <w:br/>
        <w:br/>
        <w:t>Hydromorphone — × 5 (8 mg hydromorphone = 40 MME)</w:t>
        <w:br/>
        <w:br/>
        <w:t>Fentanyl patch — mcg/hr × 2.4 (25 mcg/hr patch = 60 MME/day)</w:t>
        <w:br/>
        <w:br/>
        <w:t>Tramadol — × 0.1 (200 mg tramadol = 20 MME)</w:t>
        <w:br/>
        <w:br/>
        <w:t>For patients on multiple opiates, sum the MME of all agents.</w:t>
      </w:r>
    </w:p>
    <w:p/>
    <w:p>
      <w:pPr>
        <w:spacing w:after="120"/>
      </w:pPr>
      <w:r>
        <w:rPr>
          <w:b/>
          <w:color w:val="1C1A16"/>
          <w:sz w:val="22"/>
        </w:rPr>
        <w:t xml:space="preserve">Question: </w:t>
      </w:r>
      <w:r>
        <w:rPr>
          <w:color w:val="1C1A16"/>
          <w:sz w:val="22"/>
        </w:rPr>
        <w:t>What are the thresholds I should know?</w:t>
      </w:r>
    </w:p>
    <w:p>
      <w:pPr>
        <w:spacing w:after="160"/>
        <w:ind w:left="360"/>
      </w:pPr>
      <w:r>
        <w:rPr>
          <w:color w:val="6B6560"/>
          <w:sz w:val="20"/>
        </w:rPr>
        <w:t>CDC guidance identifies key inflection points:</w:t>
        <w:br/>
        <w:br/>
        <w:t>50 MME/day — increased overdose risk begins; reassess benefit/risk, ensure naloxone is prescribed and patient and household are trained.</w:t>
        <w:br/>
        <w:br/>
        <w:t>90 MME/day — avoid prescribing above this threshold without documented specialist involvement and clear clinical rationale. This is not a hard ceiling but a high-scrutiny zone. Above 90 MME without pain management co-management is an escalation indicator in this framework.</w:t>
      </w:r>
    </w:p>
    <w:p/>
    <w:p>
      <w:pPr>
        <w:spacing w:after="120"/>
      </w:pPr>
      <w:r>
        <w:rPr>
          <w:b/>
          <w:color w:val="1C1A16"/>
          <w:sz w:val="22"/>
        </w:rPr>
        <w:t xml:space="preserve">Question: </w:t>
      </w:r>
      <w:r>
        <w:rPr>
          <w:color w:val="1C1A16"/>
          <w:sz w:val="22"/>
        </w:rPr>
        <w:t>The patient is on 120 MME/day and has been stable for years. Do I taper them?</w:t>
      </w:r>
    </w:p>
    <w:p>
      <w:pPr>
        <w:spacing w:after="160"/>
        <w:ind w:left="360"/>
      </w:pPr>
      <w:r>
        <w:rPr>
          <w:color w:val="6B6560"/>
          <w:sz w:val="20"/>
        </w:rPr>
        <w:t>Stability is meaningful clinical information. Abrupt taper of a long-stable high-dose patient causes harm — undertreated pain, withdrawal, loss of function, and in some cases drives patients to illicit opioids. Do not taper at the first visit.</w:t>
        <w:br/>
        <w:br/>
        <w:t>Complete the intake assessment, establish the relationship, prescribe with full documentation of your awareness of the dose and your clinical rationale for continuation, and use the e-consult to get pain management eyes on the chart. The question for the consult is: "Patient stable on X MME/day for Y years. Please review and advise on whether current plan is appropriate or whether structured taper is indicated."</w:t>
      </w:r>
    </w:p>
    <w:p/>
    <w:p>
      <w:pPr>
        <w:spacing w:after="120"/>
      </w:pPr>
      <w:r>
        <w:rPr>
          <w:b/>
          <w:color w:val="1C1A16"/>
          <w:sz w:val="22"/>
        </w:rPr>
        <w:t xml:space="preserve">Question: </w:t>
      </w:r>
      <w:r>
        <w:rPr>
          <w:color w:val="1C1A16"/>
          <w:sz w:val="22"/>
        </w:rPr>
        <w:t>Should I prescribe naloxone?</w:t>
      </w:r>
    </w:p>
    <w:p>
      <w:pPr>
        <w:spacing w:after="160"/>
        <w:ind w:left="360"/>
      </w:pPr>
      <w:r>
        <w:rPr>
          <w:color w:val="6B6560"/>
          <w:sz w:val="20"/>
        </w:rPr>
        <w:t>Yes — for any patient on ≥ 50 MME/day, any patient on opiates plus any CNS depressant, any patient with a history of SUD or overdose, and any patient whose household includes children or others at risk of accidental exposure.</w:t>
        <w:br/>
        <w:br/>
        <w:t>Document that you prescribed it, that you counseled on administration, and that the household has access to it. This is now a standard of care expectation, not an optional add-on.</w:t>
      </w:r>
    </w:p>
    <w:p>
      <w:pPr>
        <w:spacing w:before="80" w:after="80"/>
      </w:pPr>
      <w:r>
        <w:rPr>
          <w:color w:val="999999"/>
          <w:sz w:val="16"/>
        </w:rPr>
        <w:t>────────────────────────────────────────────────────────────</w:t>
      </w:r>
    </w:p>
    <w:p>
      <w:pPr>
        <w:pStyle w:val="Heading3"/>
      </w:pPr>
      <w:r>
        <w:t>[opiates-highdose] High Dose Threshold</w:t>
      </w:r>
    </w:p>
    <w:p>
      <w:pPr>
        <w:spacing w:after="120"/>
      </w:pPr>
      <w:r>
        <w:rPr>
          <w:b/>
          <w:color w:val="1C1A16"/>
          <w:sz w:val="22"/>
        </w:rPr>
        <w:t xml:space="preserve">FAQ Title: </w:t>
      </w:r>
      <w:r>
        <w:rPr>
          <w:color w:val="1C1A16"/>
          <w:sz w:val="22"/>
        </w:rPr>
        <w:t>≥ 90 MME/day — what to do when you inherit a high-dose patient</w:t>
      </w:r>
    </w:p>
    <w:p/>
    <w:p>
      <w:pPr>
        <w:spacing w:after="120"/>
      </w:pPr>
      <w:r>
        <w:rPr>
          <w:b/>
          <w:color w:val="1C1A16"/>
          <w:sz w:val="22"/>
        </w:rPr>
        <w:t xml:space="preserve">Question: </w:t>
      </w:r>
      <w:r>
        <w:rPr>
          <w:color w:val="1C1A16"/>
          <w:sz w:val="22"/>
        </w:rPr>
        <w:t>Can I continue prescribing at this dose while I arrange the e-consult?</w:t>
      </w:r>
    </w:p>
    <w:p>
      <w:pPr>
        <w:spacing w:after="160"/>
        <w:ind w:left="360"/>
      </w:pPr>
      <w:r>
        <w:rPr>
          <w:color w:val="6B6560"/>
          <w:sz w:val="20"/>
        </w:rPr>
        <w:t>Yes — do not abruptly discontinue or reduce at the first visit while awaiting specialist input. Continuity of an established regimen while arranging appropriate oversight is clinically and ethically defensible.</w:t>
        <w:br/>
        <w:br/>
        <w:t>Document your dose calculation, your awareness of the threshold, your safety measures (naloxone prescribed, UDS obtained, PDMP reviewed), and that e-consult to pain management is pending.</w:t>
      </w:r>
    </w:p>
    <w:p/>
    <w:p>
      <w:pPr>
        <w:spacing w:after="120"/>
      </w:pPr>
      <w:r>
        <w:rPr>
          <w:b/>
          <w:color w:val="1C1A16"/>
          <w:sz w:val="22"/>
        </w:rPr>
        <w:t xml:space="preserve">Question: </w:t>
      </w:r>
      <w:r>
        <w:rPr>
          <w:color w:val="1C1A16"/>
          <w:sz w:val="22"/>
        </w:rPr>
        <w:t>What is the e-consult ask at high dose?</w:t>
      </w:r>
    </w:p>
    <w:p>
      <w:pPr>
        <w:spacing w:after="160"/>
        <w:ind w:left="360"/>
      </w:pPr>
      <w:r>
        <w:rPr>
          <w:color w:val="6B6560"/>
          <w:sz w:val="20"/>
        </w:rPr>
        <w:t>Be specific: "Patient inherited on [X] MME/day of [agent] for [indication]. No prior pain management documentation in chart. PDMP clean, UDS confirms prescribed medication, patient reports functional stability. Please review current regimen and advise: (1) whether dose is appropriate for indication, (2) whether structured taper is recommended, and (3) whether ongoing co-management is indicated."</w:t>
      </w:r>
    </w:p>
    <w:p/>
    <w:p>
      <w:pPr>
        <w:spacing w:after="120"/>
      </w:pPr>
      <w:r>
        <w:rPr>
          <w:b/>
          <w:color w:val="1C1A16"/>
          <w:sz w:val="22"/>
        </w:rPr>
        <w:t xml:space="preserve">Question: </w:t>
      </w:r>
      <w:r>
        <w:rPr>
          <w:color w:val="1C1A16"/>
          <w:sz w:val="22"/>
        </w:rPr>
        <w:t>The patient tells me their prior doctor "always" prescribed this and they'll go elsewhere if I change anything.</w:t>
      </w:r>
    </w:p>
    <w:p>
      <w:pPr>
        <w:spacing w:after="160"/>
        <w:ind w:left="360"/>
      </w:pPr>
      <w:r>
        <w:rPr>
          <w:color w:val="6B6560"/>
          <w:sz w:val="20"/>
        </w:rPr>
        <w:t>Acknowledge the anxiety without making promises you can't keep: "I understand this medication has been important to your quality of life and I'm not here to take anything away from you today. I do need to complete my own assessment as your new provider, and I want to make sure we're doing this in a way that protects you."</w:t>
        <w:br/>
        <w:br/>
        <w:t>Do not let the threat of patient departure drive clinical decisions. Document the conversation.</w:t>
      </w:r>
    </w:p>
    <w:p>
      <w:pPr>
        <w:spacing w:before="80" w:after="80"/>
      </w:pPr>
      <w:r>
        <w:rPr>
          <w:color w:val="999999"/>
          <w:sz w:val="16"/>
        </w:rPr>
        <w:t>────────────────────────────────────────────────────────────</w:t>
      </w:r>
    </w:p>
    <w:p>
      <w:pPr>
        <w:pStyle w:val="Heading3"/>
      </w:pPr>
      <w:r>
        <w:t>[opiates-combo] Opiate-Benzo Combination</w:t>
      </w:r>
    </w:p>
    <w:p>
      <w:pPr>
        <w:spacing w:after="120"/>
      </w:pPr>
      <w:r>
        <w:rPr>
          <w:b/>
          <w:color w:val="1C1A16"/>
          <w:sz w:val="22"/>
        </w:rPr>
        <w:t xml:space="preserve">FAQ Title: </w:t>
      </w:r>
      <w:r>
        <w:rPr>
          <w:color w:val="1C1A16"/>
          <w:sz w:val="22"/>
        </w:rPr>
        <w:t>Concurrent opiates and benzodiazepines — the highest-risk scenario</w:t>
      </w:r>
    </w:p>
    <w:p/>
    <w:p>
      <w:pPr>
        <w:spacing w:after="120"/>
      </w:pPr>
      <w:r>
        <w:rPr>
          <w:b/>
          <w:color w:val="1C1A16"/>
          <w:sz w:val="22"/>
        </w:rPr>
        <w:t xml:space="preserve">Question: </w:t>
      </w:r>
      <w:r>
        <w:rPr>
          <w:color w:val="1C1A16"/>
          <w:sz w:val="22"/>
        </w:rPr>
        <w:t>How dangerous is this combination?</w:t>
      </w:r>
    </w:p>
    <w:p>
      <w:pPr>
        <w:spacing w:after="160"/>
        <w:ind w:left="360"/>
      </w:pPr>
      <w:r>
        <w:rPr>
          <w:color w:val="6B6560"/>
          <w:sz w:val="20"/>
        </w:rPr>
        <w:t>It is the most dangerous combination in outpatient prescribing. Concurrent opioid and benzodiazepine use increases overdose mortality risk by a factor of 3–4 compared to opioids alone. Both drug classes cause respiratory depression through different mechanisms — the combination is synergistic, not additive.</w:t>
        <w:br/>
        <w:br/>
        <w:t>The FDA issued a black box warning on this combination in 2016. You cannot inherit this combination and continue it unchanged without a documented safety plan and specialist input.</w:t>
      </w:r>
    </w:p>
    <w:p/>
    <w:p>
      <w:pPr>
        <w:spacing w:after="120"/>
      </w:pPr>
      <w:r>
        <w:rPr>
          <w:b/>
          <w:color w:val="1C1A16"/>
          <w:sz w:val="22"/>
        </w:rPr>
        <w:t xml:space="preserve">Question: </w:t>
      </w:r>
      <w:r>
        <w:rPr>
          <w:color w:val="1C1A16"/>
          <w:sz w:val="22"/>
        </w:rPr>
        <w:t>The patient has legitimate indications for both. What do I do?</w:t>
      </w:r>
    </w:p>
    <w:p>
      <w:pPr>
        <w:spacing w:after="160"/>
        <w:ind w:left="360"/>
      </w:pPr>
      <w:r>
        <w:rPr>
          <w:color w:val="6B6560"/>
          <w:sz w:val="20"/>
        </w:rPr>
        <w:t>This is precisely the e-consult scenario. The question is not whether either medication is individually justified — it is whether the combination is the safest available approach given the full clinical picture. Psychiatry or pain management input, depending on which medication is driving the combination, is required before you own both prescriptions.</w:t>
        <w:br/>
        <w:br/>
        <w:t>At this visit: prescribe whichever is the more immediately necessary (typically the opiate if chronic pain is the primary indication), document the combination as a known risk, prescribe naloxone, and initiate the e-consult urgently.</w:t>
      </w:r>
    </w:p>
    <w:p/>
    <w:p>
      <w:pPr>
        <w:spacing w:after="120"/>
      </w:pPr>
      <w:r>
        <w:rPr>
          <w:b/>
          <w:color w:val="1C1A16"/>
          <w:sz w:val="22"/>
        </w:rPr>
        <w:t xml:space="preserve">Question: </w:t>
      </w:r>
      <w:r>
        <w:rPr>
          <w:color w:val="1C1A16"/>
          <w:sz w:val="22"/>
        </w:rPr>
        <w:t>Can I just taper the benzo?</w:t>
      </w:r>
    </w:p>
    <w:p>
      <w:pPr>
        <w:spacing w:after="160"/>
        <w:ind w:left="360"/>
      </w:pPr>
      <w:r>
        <w:rPr>
          <w:color w:val="6B6560"/>
          <w:sz w:val="20"/>
        </w:rPr>
        <w:t>Benzo taper in the context of chronic use requires its own careful management and is not something to initiate unilaterally at a first visit. A patient on chronic benzodiazepines is physically dependent — abrupt reduction risks withdrawal seizure.</w:t>
        <w:br/>
        <w:br/>
        <w:t>The taper plan should be coordinated, ideally with psychiatry input, and should be separate from the opiate management conversation so the patient is not facing two simultaneous tapers.</w:t>
      </w:r>
    </w:p>
    <w:p>
      <w:pPr>
        <w:spacing w:before="80" w:after="80"/>
      </w:pPr>
      <w:r>
        <w:rPr>
          <w:color w:val="999999"/>
          <w:sz w:val="16"/>
        </w:rPr>
        <w:t>────────────────────────────────────────────────────────────</w:t>
      </w:r>
    </w:p>
    <w:p>
      <w:pPr>
        <w:pStyle w:val="Heading3"/>
      </w:pPr>
      <w:r>
        <w:t>[opiates-uds-fail] Unexpected UDS Results</w:t>
      </w:r>
    </w:p>
    <w:p>
      <w:pPr>
        <w:spacing w:after="120"/>
      </w:pPr>
      <w:r>
        <w:rPr>
          <w:b/>
          <w:color w:val="1C1A16"/>
          <w:sz w:val="22"/>
        </w:rPr>
        <w:t xml:space="preserve">FAQ Title: </w:t>
      </w:r>
      <w:r>
        <w:rPr>
          <w:color w:val="1C1A16"/>
          <w:sz w:val="22"/>
        </w:rPr>
        <w:t>UDS shows something unexpected — next steps</w:t>
      </w:r>
    </w:p>
    <w:p/>
    <w:p>
      <w:pPr>
        <w:spacing w:after="120"/>
      </w:pPr>
      <w:r>
        <w:rPr>
          <w:b/>
          <w:color w:val="1C1A16"/>
          <w:sz w:val="22"/>
        </w:rPr>
        <w:t xml:space="preserve">Question: </w:t>
      </w:r>
      <w:r>
        <w:rPr>
          <w:color w:val="1C1A16"/>
          <w:sz w:val="22"/>
        </w:rPr>
        <w:t>The UDS is positive for cocaine. Do I stop the opiate today?</w:t>
      </w:r>
    </w:p>
    <w:p>
      <w:pPr>
        <w:spacing w:after="160"/>
        <w:ind w:left="360"/>
      </w:pPr>
      <w:r>
        <w:rPr>
          <w:color w:val="6B6560"/>
          <w:sz w:val="20"/>
        </w:rPr>
        <w:t>Confirm with send-out testing before taking action. If confirmed: do not prescribe at this visit. Have a direct, non-punitive conversation focused on safety: "I'm concerned about your safety if we combine these substances." Document the conversation.</w:t>
        <w:br/>
        <w:br/>
        <w:t>This is an OUD evaluation trigger — consider whether what you're seeing is active substance use disorder that warrants MOUD rather than simply discontinuing the opiate. A patient with OUD who is cut off from prescribed opioids without treatment is at significantly elevated overdose risk from illicit opioid use.</w:t>
      </w:r>
    </w:p>
    <w:p/>
    <w:p>
      <w:pPr>
        <w:spacing w:after="120"/>
      </w:pPr>
      <w:r>
        <w:rPr>
          <w:b/>
          <w:color w:val="1C1A16"/>
          <w:sz w:val="22"/>
        </w:rPr>
        <w:t xml:space="preserve">Question: </w:t>
      </w:r>
      <w:r>
        <w:rPr>
          <w:color w:val="1C1A16"/>
          <w:sz w:val="22"/>
        </w:rPr>
        <w:t>The UDS is positive for fentanyl but the patient is not prescribed it.</w:t>
      </w:r>
    </w:p>
    <w:p>
      <w:pPr>
        <w:spacing w:after="160"/>
        <w:ind w:left="360"/>
      </w:pPr>
      <w:r>
        <w:rPr>
          <w:color w:val="6B6560"/>
          <w:sz w:val="20"/>
        </w:rPr>
        <w:t>This is a high-acuity finding. Illicit fentanyl exposure indicates the patient is using street opioids — either supplementing their prescription or substituting for it. This is an OUD evaluation and MOUD conversation, not a straightforward prescription continuation decision.</w:t>
        <w:br/>
        <w:br/>
        <w:t>Do not prescribe additional controlled substances at this visit. Engage with empathy: the patient is at serious overdose risk and needs treatment, not termination from the practice.</w:t>
      </w:r>
    </w:p>
    <w:p>
      <w:pPr>
        <w:spacing w:before="80" w:after="80"/>
      </w:pPr>
      <w:r>
        <w:rPr>
          <w:color w:val="999999"/>
          <w:sz w:val="16"/>
        </w:rPr>
        <w:t>────────────────────────────────────────────────────────────</w:t>
      </w:r>
    </w:p>
    <w:p>
      <w:pPr>
        <w:pStyle w:val="Heading3"/>
      </w:pPr>
      <w:r>
        <w:t>[opiates-pdmp-concern] PDMP Red Flags</w:t>
      </w:r>
    </w:p>
    <w:p>
      <w:pPr>
        <w:spacing w:after="120"/>
      </w:pPr>
      <w:r>
        <w:rPr>
          <w:b/>
          <w:color w:val="1C1A16"/>
          <w:sz w:val="22"/>
        </w:rPr>
        <w:t xml:space="preserve">FAQ Title: </w:t>
      </w:r>
      <w:r>
        <w:rPr>
          <w:color w:val="1C1A16"/>
          <w:sz w:val="22"/>
        </w:rPr>
        <w:t>Concerning PDMP patterns — how to respond</w:t>
      </w:r>
    </w:p>
    <w:p/>
    <w:p>
      <w:pPr>
        <w:spacing w:after="120"/>
      </w:pPr>
      <w:r>
        <w:rPr>
          <w:b/>
          <w:color w:val="1C1A16"/>
          <w:sz w:val="22"/>
        </w:rPr>
        <w:t xml:space="preserve">Question: </w:t>
      </w:r>
      <w:r>
        <w:rPr>
          <w:color w:val="1C1A16"/>
          <w:sz w:val="22"/>
        </w:rPr>
        <w:t>I see fills from three different pharmacies. Is that diversion?</w:t>
      </w:r>
    </w:p>
    <w:p>
      <w:pPr>
        <w:spacing w:after="160"/>
        <w:ind w:left="360"/>
      </w:pPr>
      <w:r>
        <w:rPr>
          <w:color w:val="6B6560"/>
          <w:sz w:val="20"/>
        </w:rPr>
        <w:t>It is a red flag that requires explanation — it is not a confirmed finding. Ask directly and document the answer. Geographic reasons (pharmacy closures, travel, insurance network restrictions) are plausible. A pattern of cash-pay fills at multiple locations without a coherent explanation is more concerning.</w:t>
        <w:br/>
        <w:br/>
        <w:t>Confirm with send-out UDS to establish whether the patient is actually taking the medication. If the pattern is unexplained and confirmed, this is a case for e-consult before continuing.</w:t>
      </w:r>
    </w:p>
    <w:p/>
    <w:p>
      <w:pPr>
        <w:spacing w:after="120"/>
      </w:pPr>
      <w:r>
        <w:rPr>
          <w:b/>
          <w:color w:val="1C1A16"/>
          <w:sz w:val="22"/>
        </w:rPr>
        <w:t xml:space="preserve">Question: </w:t>
      </w:r>
      <w:r>
        <w:rPr>
          <w:color w:val="1C1A16"/>
          <w:sz w:val="22"/>
        </w:rPr>
        <w:t>What do I document when I find a PDMP concern?</w:t>
      </w:r>
    </w:p>
    <w:p>
      <w:pPr>
        <w:spacing w:after="160"/>
        <w:ind w:left="360"/>
      </w:pPr>
      <w:r>
        <w:rPr>
          <w:color w:val="6B6560"/>
          <w:sz w:val="20"/>
        </w:rPr>
        <w:t>Document exactly what you found (dates, prescribers, pharmacies, quantities), what you asked the patient, what they told you, and what your clinical assessment is. This documentation protects you regardless of what you decide.</w:t>
        <w:br/>
        <w:br/>
        <w:t>If you choose to continue prescribing despite a flag, document your reasoning. If you choose not to prescribe, document your safety plan for the patient.</w:t>
      </w:r>
    </w:p>
    <w:p>
      <w:pPr>
        <w:spacing w:before="80" w:after="80"/>
      </w:pPr>
      <w:r>
        <w:rPr>
          <w:color w:val="999999"/>
          <w:sz w:val="16"/>
        </w:rPr>
        <w:t>────────────────────────────────────────────────────────────</w:t>
      </w:r>
    </w:p>
    <w:p>
      <w:pPr>
        <w:pStyle w:val="Heading3"/>
      </w:pPr>
      <w:r>
        <w:t>[opiates-behavior] Behavioral Concerns</w:t>
      </w:r>
    </w:p>
    <w:p>
      <w:pPr>
        <w:spacing w:after="120"/>
      </w:pPr>
      <w:r>
        <w:rPr>
          <w:b/>
          <w:color w:val="1C1A16"/>
          <w:sz w:val="22"/>
        </w:rPr>
        <w:t xml:space="preserve">FAQ Title: </w:t>
      </w:r>
      <w:r>
        <w:rPr>
          <w:color w:val="1C1A16"/>
          <w:sz w:val="22"/>
        </w:rPr>
        <w:t>Early refills, lost medications, escalating contact</w:t>
      </w:r>
    </w:p>
    <w:p/>
    <w:p>
      <w:pPr>
        <w:spacing w:after="120"/>
      </w:pPr>
      <w:r>
        <w:rPr>
          <w:b/>
          <w:color w:val="1C1A16"/>
          <w:sz w:val="22"/>
        </w:rPr>
        <w:t xml:space="preserve">Question: </w:t>
      </w:r>
      <w:r>
        <w:rPr>
          <w:color w:val="1C1A16"/>
          <w:sz w:val="22"/>
        </w:rPr>
        <w:t>How many early refill requests trigger a formal response?</w:t>
      </w:r>
    </w:p>
    <w:p>
      <w:pPr>
        <w:spacing w:after="160"/>
        <w:ind w:left="360"/>
      </w:pPr>
      <w:r>
        <w:rPr>
          <w:color w:val="6B6560"/>
          <w:sz w:val="20"/>
        </w:rPr>
        <w:t>1 request — warrants a conversation and documentation.</w:t>
        <w:br/>
        <w:br/>
        <w:t>2+ in 12 months — warrants a formal written warning within the CS agreement framework, a UDS, and a PDMP review.</w:t>
        <w:br/>
        <w:br/>
        <w:t>3+ in 12 months — a pattern that requires e-consult before continuation.</w:t>
        <w:br/>
        <w:br/>
        <w:t>Document each instance at the time it occurs — patterns are only visible in retrospect if the individual events are in the chart.</w:t>
      </w:r>
    </w:p>
    <w:p/>
    <w:p>
      <w:pPr>
        <w:spacing w:after="120"/>
      </w:pPr>
      <w:r>
        <w:rPr>
          <w:b/>
          <w:color w:val="1C1A16"/>
          <w:sz w:val="22"/>
        </w:rPr>
        <w:t xml:space="preserve">Question: </w:t>
      </w:r>
      <w:r>
        <w:rPr>
          <w:color w:val="1C1A16"/>
          <w:sz w:val="22"/>
        </w:rPr>
        <w:t>The patient calls repeatedly between visits asking for early refills, dose increases, or exceptions. How do I manage this?</w:t>
      </w:r>
    </w:p>
    <w:p>
      <w:pPr>
        <w:spacing w:after="160"/>
        <w:ind w:left="360"/>
      </w:pPr>
      <w:r>
        <w:rPr>
          <w:color w:val="6B6560"/>
          <w:sz w:val="20"/>
        </w:rPr>
        <w:t>Establish a clear protocol and communicate it once, in writing: controlled substance questions are addressed at scheduled visits only, not by phone or portal message. Exceptions are not made between visits. Document that this was communicated.</w:t>
        <w:br/>
        <w:br/>
        <w:t>Frequent between-visit contact around controlled substances is itself a behavioral flag — note it in the chart as part of the monitoring picture.</w:t>
      </w:r>
    </w:p>
    <w:p/>
    <w:p>
      <w:pPr>
        <w:spacing w:after="120"/>
      </w:pPr>
      <w:r>
        <w:rPr>
          <w:b/>
          <w:color w:val="1C1A16"/>
          <w:sz w:val="22"/>
        </w:rPr>
        <w:t xml:space="preserve">Question: </w:t>
      </w:r>
      <w:r>
        <w:rPr>
          <w:color w:val="1C1A16"/>
          <w:sz w:val="22"/>
        </w:rPr>
        <w:t>The patient says their medication was stolen. What are my obligations?</w:t>
      </w:r>
    </w:p>
    <w:p>
      <w:pPr>
        <w:spacing w:after="160"/>
        <w:ind w:left="360"/>
      </w:pPr>
      <w:r>
        <w:rPr>
          <w:color w:val="6B6560"/>
          <w:sz w:val="20"/>
        </w:rPr>
        <w:t>Schedule II opiates are not replaced for loss or theft as a matter of institutional policy. Communicate this clearly and without apology. You may offer to file a police report with the patient if they wish to document the theft — this creates a record and is occasionally relevant.</w:t>
        <w:br/>
        <w:br/>
        <w:t>Document the report in the chart. A single loss event is not disqualifying for future prescribing, but it should be noted and factored into the monitoring picture going forward.</w:t>
      </w:r>
    </w:p>
    <w:p>
      <w:pPr>
        <w:spacing w:before="80" w:after="80"/>
      </w:pPr>
      <w:r>
        <w:rPr>
          <w:color w:val="999999"/>
          <w:sz w:val="16"/>
        </w:rPr>
        <w:t>────────────────────────────────────────────────────────────</w:t>
      </w:r>
    </w:p>
    <w:p>
      <w:pPr>
        <w:pStyle w:val="Heading3"/>
      </w:pPr>
      <w:r>
        <w:t>[opiates-oud] Opioid Use Disorder</w:t>
      </w:r>
    </w:p>
    <w:p>
      <w:pPr>
        <w:spacing w:after="120"/>
      </w:pPr>
      <w:r>
        <w:rPr>
          <w:b/>
          <w:color w:val="1C1A16"/>
          <w:sz w:val="22"/>
        </w:rPr>
        <w:t xml:space="preserve">FAQ Title: </w:t>
      </w:r>
      <w:r>
        <w:rPr>
          <w:color w:val="1C1A16"/>
          <w:sz w:val="22"/>
        </w:rPr>
        <w:t>When chronic pain management becomes OUD — recognizing and responding</w:t>
      </w:r>
    </w:p>
    <w:p/>
    <w:p>
      <w:pPr>
        <w:spacing w:after="120"/>
      </w:pPr>
      <w:r>
        <w:rPr>
          <w:b/>
          <w:color w:val="1C1A16"/>
          <w:sz w:val="22"/>
        </w:rPr>
        <w:t xml:space="preserve">Question: </w:t>
      </w:r>
      <w:r>
        <w:rPr>
          <w:color w:val="1C1A16"/>
          <w:sz w:val="22"/>
        </w:rPr>
        <w:t>How do I distinguish chronic pain requiring opiates from OUD?</w:t>
      </w:r>
    </w:p>
    <w:p>
      <w:pPr>
        <w:spacing w:after="160"/>
        <w:ind w:left="360"/>
      </w:pPr>
      <w:r>
        <w:rPr>
          <w:color w:val="6B6560"/>
          <w:sz w:val="20"/>
        </w:rPr>
        <w:t>They coexist more often than they are mutually exclusive — a patient can have both legitimate chronic pain and opioid use disorder simultaneously. Signs that OUD may be present alongside or instead of pure pain management need:</w:t>
        <w:br/>
        <w:br/>
        <w:t>Continued use despite clear harm, inability to adhere to the agreed prescribing structure despite genuine effort, loss of control over use, withdrawal symptoms driving use more than pain relief, and social or functional deterioration attributable to opioid use.</w:t>
      </w:r>
    </w:p>
    <w:p/>
    <w:p>
      <w:pPr>
        <w:spacing w:after="120"/>
      </w:pPr>
      <w:r>
        <w:rPr>
          <w:b/>
          <w:color w:val="1C1A16"/>
          <w:sz w:val="22"/>
        </w:rPr>
        <w:t xml:space="preserve">Question: </w:t>
      </w:r>
      <w:r>
        <w:rPr>
          <w:color w:val="1C1A16"/>
          <w:sz w:val="22"/>
        </w:rPr>
        <w:t>If I think this is OUD, what is the pathway?</w:t>
      </w:r>
    </w:p>
    <w:p>
      <w:pPr>
        <w:spacing w:after="160"/>
        <w:ind w:left="360"/>
      </w:pPr>
      <w:r>
        <w:rPr>
          <w:color w:val="6B6560"/>
          <w:sz w:val="20"/>
        </w:rPr>
        <w:t>MOUD — medication for opioid use disorder — is the evidence-based treatment and significantly outperforms taper or discontinuation for patient outcomes including overdose survival. Buprenorphine (Suboxone) can be initiated in primary care and is within your scope. Methadone for OUD requires an OTP clinic.</w:t>
        <w:br/>
        <w:br/>
        <w:t>The e-consult framing shifts: instead of "please review pain management plan," it becomes "patient with chronic pain and possible OUD — please advise on MOUD candidacy and transition plan." Do not frame OUD as a moral failure to the patient or in documentation.</w:t>
      </w:r>
    </w:p>
    <w:p/>
    <w:p>
      <w:pPr>
        <w:spacing w:after="120"/>
      </w:pPr>
      <w:r>
        <w:rPr>
          <w:b/>
          <w:color w:val="1C1A16"/>
          <w:sz w:val="22"/>
        </w:rPr>
        <w:t xml:space="preserve">Question: </w:t>
      </w:r>
      <w:r>
        <w:rPr>
          <w:color w:val="1C1A16"/>
          <w:sz w:val="22"/>
        </w:rPr>
        <w:t>Can I continue the opiate while initiating an OUD evaluation?</w:t>
      </w:r>
    </w:p>
    <w:p>
      <w:pPr>
        <w:spacing w:after="160"/>
        <w:ind w:left="360"/>
      </w:pPr>
      <w:r>
        <w:rPr>
          <w:color w:val="6B6560"/>
          <w:sz w:val="20"/>
        </w:rPr>
        <w:t>Yes — do not abruptly discontinue while the evaluation is pending. A patient who is cut off from prescribed opioids without a treatment plan is at acute overdose risk from illicit opioid use.</w:t>
        <w:br/>
        <w:br/>
        <w:t>Continuity with close monitoring and an active referral in process is safer than discontinuation without a plan.</w:t>
      </w:r>
    </w:p>
    <w:p>
      <w:pPr>
        <w:pStyle w:val="Heading2"/>
      </w:pPr>
      <w:r>
        <w:t>References</w:t>
      </w:r>
    </w:p>
    <w:p>
      <w:pPr>
        <w:spacing w:after="80" w:before="40"/>
      </w:pPr>
      <w:r>
        <w:rPr>
          <w:i/>
          <w:color w:val="999999"/>
          <w:sz w:val="18"/>
        </w:rPr>
        <w:t>&gt;&gt;&gt; Optional. List citations, one per paragraph. Each paragraph becomes one reference entry. Use a consistent citation format (e.g., "Author(s). Title. Journal. Year;Volume:Pages." or APA/Vancouver style). Delete this section if not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A5C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A5C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1C1A1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