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DE6AE" w14:textId="2D58A0BD" w:rsidR="00FE2A56" w:rsidRPr="00D214BF" w:rsidRDefault="00FE2A56" w:rsidP="00D214BF"/>
    <w:p w14:paraId="3C1B4E13" w14:textId="776395C2" w:rsidR="003D71E3" w:rsidRPr="00D214BF" w:rsidRDefault="003D71E3" w:rsidP="00D214BF">
      <w:r w:rsidRPr="00D214BF">
        <w:t xml:space="preserve">There is a tremendous opportunity for the Bike Share program to positively impact </w:t>
      </w:r>
      <w:r w:rsidR="00067BEF" w:rsidRPr="00D214BF">
        <w:t>underserved</w:t>
      </w:r>
      <w:r w:rsidRPr="00D214BF">
        <w:t xml:space="preserve"> individuals and the community as a whole. </w:t>
      </w:r>
      <w:r w:rsidR="00067BEF" w:rsidRPr="00D214BF">
        <w:t xml:space="preserve">Bike Share programs can open up employment and education opportunities outside a resident’s immediate area, lessen their reliance on cars, increase their freedom, and connect them to their community. </w:t>
      </w:r>
      <w:r w:rsidRPr="00D214BF">
        <w:t>This analysis will seek to identify areas within the Eugene-Springfield area that are in greater need of these bike hubs</w:t>
      </w:r>
      <w:r w:rsidR="00067BEF" w:rsidRPr="00D214BF">
        <w:t xml:space="preserve"> and the mobility and opportunity they bring.</w:t>
      </w:r>
    </w:p>
    <w:p w14:paraId="42751A34" w14:textId="217B17EE" w:rsidR="00067BEF" w:rsidRPr="00D214BF" w:rsidRDefault="00067BEF" w:rsidP="00D214BF"/>
    <w:p w14:paraId="4F959E93" w14:textId="1B57ABF7" w:rsidR="00067BEF" w:rsidRPr="00D214BF" w:rsidRDefault="00067BEF" w:rsidP="00D214BF">
      <w:r w:rsidRPr="00D214BF">
        <w:t>This analysis will consider four main factors: poverty, education, ethnicity, and accessibility by bike vs. car. Additionally, general demand for these Bike Share Hubs will be factored into the analysis. These factors, or “submod</w:t>
      </w:r>
      <w:r w:rsidR="00D214BF" w:rsidRPr="00D214BF">
        <w:t>e</w:t>
      </w:r>
      <w:r w:rsidRPr="00D214BF">
        <w:t xml:space="preserve">ls”, will often be made up of more than one layer of data. </w:t>
      </w:r>
    </w:p>
    <w:p w14:paraId="0D6CE0B3" w14:textId="77777777" w:rsidR="00D214BF" w:rsidRPr="00D214BF" w:rsidRDefault="00D214BF" w:rsidP="00D214BF"/>
    <w:p w14:paraId="0FB0A1B1" w14:textId="1895FCA6" w:rsidR="00D214BF" w:rsidRPr="00D214BF" w:rsidRDefault="00067BEF" w:rsidP="00D214BF">
      <w:r w:rsidRPr="00D214BF">
        <w:t xml:space="preserve">Access to education is one of the most important factors in economic stability and wellbeing. </w:t>
      </w:r>
      <w:r w:rsidR="00D214BF" w:rsidRPr="00D214BF">
        <w:t xml:space="preserve">This submodel will be made up of two layers: the percentage of those with no college degree, and the percentage of those currently pursuing a college degree. </w:t>
      </w:r>
      <w:r w:rsidR="00D214BF" w:rsidRPr="00D214BF">
        <w:t>Around 40% of Lane County residents have attained a bachelor’s degree or higher (LDA Consulting).</w:t>
      </w:r>
      <w:r w:rsidR="00D214BF" w:rsidRPr="00D214BF">
        <w:t xml:space="preserve"> The first layer will analyze data from the US Census Data Table </w:t>
      </w:r>
      <w:r w:rsidR="00D214BF" w:rsidRPr="00D214BF">
        <w:rPr>
          <w:shd w:val="clear" w:color="auto" w:fill="FFFFFF"/>
        </w:rPr>
        <w:t>S1501 (Educational Attainment)</w:t>
      </w:r>
      <w:r w:rsidR="00D214BF" w:rsidRPr="00D214BF">
        <w:rPr>
          <w:shd w:val="clear" w:color="auto" w:fill="FFFFFF"/>
        </w:rPr>
        <w:t xml:space="preserve">, which breaks down education levels by age, ethnicity, etc. </w:t>
      </w:r>
      <w:r w:rsidR="00D214BF" w:rsidRPr="00D214BF">
        <w:t xml:space="preserve">According to the US Census, </w:t>
      </w:r>
      <w:r w:rsidR="00D214BF" w:rsidRPr="00D214BF">
        <w:rPr>
          <w:shd w:val="clear" w:color="auto" w:fill="FFFFFF"/>
        </w:rPr>
        <w:t>roughly one in eleven are enrolled in some form of college</w:t>
      </w:r>
      <w:r w:rsidR="00D214BF" w:rsidRPr="00D214BF">
        <w:rPr>
          <w:shd w:val="clear" w:color="auto" w:fill="FFFFFF"/>
        </w:rPr>
        <w:t xml:space="preserve">. This layer will use the table </w:t>
      </w:r>
      <w:r w:rsidR="00D214BF" w:rsidRPr="00D214BF">
        <w:rPr>
          <w:shd w:val="clear" w:color="auto" w:fill="FFFFFF"/>
        </w:rPr>
        <w:t xml:space="preserve">B14007 (School Enrollment </w:t>
      </w:r>
      <w:r w:rsidR="00D214BF" w:rsidRPr="00D214BF">
        <w:rPr>
          <w:shd w:val="clear" w:color="auto" w:fill="FFFFFF"/>
        </w:rPr>
        <w:t>b</w:t>
      </w:r>
      <w:r w:rsidR="00D214BF" w:rsidRPr="00D214BF">
        <w:rPr>
          <w:shd w:val="clear" w:color="auto" w:fill="FFFFFF"/>
        </w:rPr>
        <w:t>y Detailed Level of School for Population 3 years or Older)</w:t>
      </w:r>
    </w:p>
    <w:p w14:paraId="125C4D6E" w14:textId="456990C4" w:rsidR="00F8700F" w:rsidRDefault="00F8700F" w:rsidP="00F8700F">
      <w:pPr>
        <w:rPr>
          <w:shd w:val="clear" w:color="auto" w:fill="FFFFFF"/>
        </w:rPr>
      </w:pPr>
    </w:p>
    <w:p w14:paraId="5EADC02D" w14:textId="76C192EC" w:rsidR="00D214BF" w:rsidRDefault="00D214BF" w:rsidP="00F8700F">
      <w:pPr>
        <w:rPr>
          <w:shd w:val="clear" w:color="auto" w:fill="FFFFFF"/>
        </w:rPr>
      </w:pPr>
      <w:r>
        <w:rPr>
          <w:shd w:val="clear" w:color="auto" w:fill="FFFFFF"/>
        </w:rPr>
        <w:t xml:space="preserve">Currently, the average user of the Bike Share system is </w:t>
      </w:r>
      <w:r w:rsidR="00413CAD">
        <w:rPr>
          <w:shd w:val="clear" w:color="auto" w:fill="FFFFFF"/>
        </w:rPr>
        <w:t>wealthier</w:t>
      </w:r>
      <w:r>
        <w:rPr>
          <w:shd w:val="clear" w:color="auto" w:fill="FFFFFF"/>
        </w:rPr>
        <w:t xml:space="preserve"> than the average Lane County resident. The median salary of annual Bike Share members was tens-of-thousands of dollars higher than the median salary in the county as a whole (LDA Consulting). The Lane Transit District should therefore endeavor to provide better access to its services among individuals below the median salary. </w:t>
      </w:r>
      <w:r w:rsidR="00413CAD">
        <w:rPr>
          <w:shd w:val="clear" w:color="auto" w:fill="FFFFFF"/>
        </w:rPr>
        <w:t xml:space="preserve">This submodel will be broken into two layers: the percentage of individuals below the poverty line, and the percentage of individuals receiving food stamps / SNAP. These layers will correspond to data from US Census Tables S1071 and S2201, respectively. According to the Census, </w:t>
      </w:r>
      <w:r w:rsidR="00413CAD" w:rsidRPr="00D214BF">
        <w:rPr>
          <w:shd w:val="clear" w:color="auto" w:fill="FFFFFF"/>
        </w:rPr>
        <w:t>18.5% of Lane County residents live below the poverty line</w:t>
      </w:r>
      <w:r w:rsidR="00413CAD">
        <w:rPr>
          <w:shd w:val="clear" w:color="auto" w:fill="FFFFFF"/>
        </w:rPr>
        <w:t xml:space="preserve">, and </w:t>
      </w:r>
      <w:r w:rsidR="00413CAD" w:rsidRPr="00D214BF">
        <w:rPr>
          <w:shd w:val="clear" w:color="auto" w:fill="FFFFFF"/>
        </w:rPr>
        <w:t>19.2% of households in Lane County receive food stamps/SNAP</w:t>
      </w:r>
      <w:r w:rsidR="00413CAD">
        <w:rPr>
          <w:shd w:val="clear" w:color="auto" w:fill="FFFFFF"/>
        </w:rPr>
        <w:t>.</w:t>
      </w:r>
    </w:p>
    <w:p w14:paraId="0454F393" w14:textId="4A1104E0" w:rsidR="00413CAD" w:rsidRDefault="00413CAD" w:rsidP="00F8700F">
      <w:pPr>
        <w:rPr>
          <w:shd w:val="clear" w:color="auto" w:fill="FFFFFF"/>
        </w:rPr>
      </w:pPr>
    </w:p>
    <w:p w14:paraId="59BF961F" w14:textId="77777777" w:rsidR="00413CAD" w:rsidRPr="00D214BF" w:rsidRDefault="00413CAD" w:rsidP="00413CAD">
      <w:pPr>
        <w:rPr>
          <w:shd w:val="clear" w:color="auto" w:fill="FFFFFF"/>
        </w:rPr>
      </w:pPr>
      <w:r>
        <w:rPr>
          <w:shd w:val="clear" w:color="auto" w:fill="FFFFFF"/>
        </w:rPr>
        <w:t xml:space="preserve">Overall, Lane County is relatively homogenous, but some diversity does exist. </w:t>
      </w:r>
      <w:r w:rsidRPr="00D214BF">
        <w:rPr>
          <w:shd w:val="clear" w:color="auto" w:fill="FFFFFF"/>
        </w:rPr>
        <w:t xml:space="preserve">According to the US Census, of the estimated 379,611 residents in Lane County, 324,162, or about 85% are white. </w:t>
      </w:r>
    </w:p>
    <w:p w14:paraId="09F4E13E" w14:textId="52E5D2ED" w:rsidR="00413CAD" w:rsidRPr="00413CAD" w:rsidRDefault="00413CAD" w:rsidP="00F8700F">
      <w:pPr>
        <w:rPr>
          <w:shd w:val="clear" w:color="auto" w:fill="FFFFFF"/>
        </w:rPr>
      </w:pPr>
      <w:r>
        <w:rPr>
          <w:shd w:val="clear" w:color="auto" w:fill="FFFFFF"/>
        </w:rPr>
        <w:t>This submodel will aim to highlight areas in which non-white residents live. The US Census Table B02001 will be used.</w:t>
      </w:r>
    </w:p>
    <w:p w14:paraId="36B19DD3" w14:textId="77777777" w:rsidR="00D214BF" w:rsidRDefault="00D214BF" w:rsidP="00F8700F">
      <w:pPr>
        <w:rPr>
          <w:b/>
          <w:bCs/>
          <w:shd w:val="clear" w:color="auto" w:fill="FFFFFF"/>
        </w:rPr>
      </w:pPr>
    </w:p>
    <w:p w14:paraId="7250BD9D" w14:textId="0EB44ED5" w:rsidR="00413CAD" w:rsidRPr="00D214BF" w:rsidRDefault="00413CAD" w:rsidP="00413CAD">
      <w:pPr>
        <w:rPr>
          <w:b/>
          <w:bCs/>
          <w:shd w:val="clear" w:color="auto" w:fill="FFFFFF"/>
        </w:rPr>
      </w:pPr>
      <w:r w:rsidRPr="00D214BF">
        <w:rPr>
          <w:shd w:val="clear" w:color="auto" w:fill="FFFFFF"/>
        </w:rPr>
        <w:t xml:space="preserve">According to the Census, 17.6% of commuters live within a 10-minute drive of their place of employment, with another 21.5% within a 15-minute drive. Barring major geographic obstructions such as highways, these commutes could likely be </w:t>
      </w:r>
      <w:r>
        <w:rPr>
          <w:shd w:val="clear" w:color="auto" w:fill="FFFFFF"/>
        </w:rPr>
        <w:t>accomplished</w:t>
      </w:r>
      <w:r w:rsidRPr="00D214BF">
        <w:rPr>
          <w:shd w:val="clear" w:color="auto" w:fill="FFFFFF"/>
        </w:rPr>
        <w:t xml:space="preserve"> by bicycle. </w:t>
      </w:r>
      <w:r>
        <w:rPr>
          <w:shd w:val="clear" w:color="auto" w:fill="FFFFFF"/>
        </w:rPr>
        <w:t xml:space="preserve">This would have a number of positive impacts, including reduced emissions, reduced traffic, improved health of the cyclist, etc. </w:t>
      </w:r>
      <w:r w:rsidRPr="00D214BF">
        <w:rPr>
          <w:shd w:val="clear" w:color="auto" w:fill="FFFFFF"/>
        </w:rPr>
        <w:t xml:space="preserve">Interestingly, 4.1% more females live within a 10-minute </w:t>
      </w:r>
      <w:r w:rsidRPr="00D214BF">
        <w:rPr>
          <w:shd w:val="clear" w:color="auto" w:fill="FFFFFF"/>
        </w:rPr>
        <w:lastRenderedPageBreak/>
        <w:t>commute than males.</w:t>
      </w:r>
      <w:r>
        <w:rPr>
          <w:shd w:val="clear" w:color="auto" w:fill="FFFFFF"/>
        </w:rPr>
        <w:t xml:space="preserve"> Prioritizing areas where a large ratio of residents live within a short commute is a realistic way of increasing bike share adoption. This data will correspond to the table </w:t>
      </w:r>
      <w:r w:rsidRPr="00413CAD">
        <w:rPr>
          <w:shd w:val="clear" w:color="auto" w:fill="FFFFFF"/>
        </w:rPr>
        <w:t>S0801 (Commuting Characteristics by Sex)</w:t>
      </w:r>
      <w:r w:rsidRPr="00413CAD">
        <w:rPr>
          <w:shd w:val="clear" w:color="auto" w:fill="FFFFFF"/>
        </w:rPr>
        <w:t>.</w:t>
      </w:r>
    </w:p>
    <w:p w14:paraId="1BF7FDBF" w14:textId="1E871E8F" w:rsidR="00413CAD" w:rsidRPr="00D214BF" w:rsidRDefault="00413CAD" w:rsidP="00413CAD">
      <w:pPr>
        <w:rPr>
          <w:shd w:val="clear" w:color="auto" w:fill="FFFFFF"/>
        </w:rPr>
      </w:pPr>
    </w:p>
    <w:p w14:paraId="07BAC53A" w14:textId="44F06787" w:rsidR="009868DC" w:rsidRPr="009868DC" w:rsidRDefault="00413CAD" w:rsidP="009868DC">
      <w:r>
        <w:rPr>
          <w:shd w:val="clear" w:color="auto" w:fill="FFFFFF"/>
        </w:rPr>
        <w:t xml:space="preserve">The ‘General Demand’ submodel will be divided into four parts: Residence Demand, Workplace Demand, proximity to Bus Stops, and Proximity to existing Bike Share Hubs. </w:t>
      </w:r>
      <w:r w:rsidR="009868DC">
        <w:rPr>
          <w:shd w:val="clear" w:color="auto" w:fill="FFFFFF"/>
        </w:rPr>
        <w:t xml:space="preserve">Residence Demand information will come from </w:t>
      </w:r>
      <w:r w:rsidR="009868DC" w:rsidRPr="009868DC">
        <w:rPr>
          <w:shd w:val="clear" w:color="auto" w:fill="FFFFFF"/>
        </w:rPr>
        <w:t>LaneCountyRAC_2017</w:t>
      </w:r>
      <w:r w:rsidR="009868DC" w:rsidRPr="009868DC">
        <w:t xml:space="preserve">. </w:t>
      </w:r>
      <w:r w:rsidR="009868DC" w:rsidRPr="009868DC">
        <w:rPr>
          <w:shd w:val="clear" w:color="auto" w:fill="FFFFFF"/>
        </w:rPr>
        <w:t xml:space="preserve">The dataset LaneCountyWAC_2017 will be used for workplace </w:t>
      </w:r>
      <w:r w:rsidR="009868DC" w:rsidRPr="009868DC">
        <w:rPr>
          <w:shd w:val="clear" w:color="auto" w:fill="FFFFFF"/>
        </w:rPr>
        <w:t>destination d</w:t>
      </w:r>
      <w:r w:rsidR="009868DC" w:rsidRPr="009868DC">
        <w:rPr>
          <w:shd w:val="clear" w:color="auto" w:fill="FFFFFF"/>
        </w:rPr>
        <w:t>emand.</w:t>
      </w:r>
      <w:r w:rsidR="009868DC" w:rsidRPr="009868DC">
        <w:rPr>
          <w:shd w:val="clear" w:color="auto" w:fill="FFFFFF"/>
        </w:rPr>
        <w:t xml:space="preserve"> </w:t>
      </w:r>
      <w:r w:rsidR="009868DC" w:rsidRPr="009868DC">
        <w:t>The workplace density per census block will be classified and used to determine points/percentages per census block.</w:t>
      </w:r>
      <w:r w:rsidR="009868DC" w:rsidRPr="009868DC">
        <w:t xml:space="preserve"> </w:t>
      </w:r>
      <w:r w:rsidR="009868DC" w:rsidRPr="009868DC">
        <w:t>LTD_Stops_Fall2019_Boarding will be used to determine proximity to existing bus</w:t>
      </w:r>
      <w:r w:rsidR="009868DC" w:rsidRPr="009868DC">
        <w:t xml:space="preserve"> </w:t>
      </w:r>
      <w:r w:rsidR="009868DC" w:rsidRPr="009868DC">
        <w:t>stops. Buffers</w:t>
      </w:r>
      <w:r w:rsidR="009868DC" w:rsidRPr="009868DC">
        <w:t xml:space="preserve"> </w:t>
      </w:r>
      <w:r w:rsidR="009868DC" w:rsidRPr="009868DC">
        <w:t>will be created around</w:t>
      </w:r>
      <w:r w:rsidR="009868DC" w:rsidRPr="009868DC">
        <w:t xml:space="preserve"> </w:t>
      </w:r>
      <w:r w:rsidR="009868DC" w:rsidRPr="009868DC">
        <w:t xml:space="preserve">these points. </w:t>
      </w:r>
      <w:proofErr w:type="spellStart"/>
      <w:r w:rsidR="009868DC" w:rsidRPr="009868DC">
        <w:rPr>
          <w:shd w:val="clear" w:color="auto" w:fill="FFFFFF"/>
        </w:rPr>
        <w:t>BikeShare_Hub_Points</w:t>
      </w:r>
      <w:proofErr w:type="spellEnd"/>
      <w:r w:rsidR="009868DC" w:rsidRPr="009868DC">
        <w:rPr>
          <w:shd w:val="clear" w:color="auto" w:fill="FFFFFF"/>
        </w:rPr>
        <w:t xml:space="preserve"> will be used to determine the proximity to existing Bike</w:t>
      </w:r>
      <w:r w:rsidR="009868DC">
        <w:rPr>
          <w:shd w:val="clear" w:color="auto" w:fill="FFFFFF"/>
        </w:rPr>
        <w:t xml:space="preserve"> </w:t>
      </w:r>
      <w:r w:rsidR="009868DC" w:rsidRPr="009868DC">
        <w:rPr>
          <w:shd w:val="clear" w:color="auto" w:fill="FFFFFF"/>
        </w:rPr>
        <w:t>Share hubs by creating buffers around each point</w:t>
      </w:r>
      <w:r w:rsidR="009868DC" w:rsidRPr="009868DC">
        <w:rPr>
          <w:shd w:val="clear" w:color="auto" w:fill="FFFFFF"/>
        </w:rPr>
        <w:t>. Areas within close proximity to these hubs will lose points. The combined output of this submodel will ensure that Bike Share Hubs are only put in areas where there is some level of general demand and are not put too close to existing hubs.</w:t>
      </w:r>
    </w:p>
    <w:p w14:paraId="098869BA" w14:textId="232CF540" w:rsidR="009868DC" w:rsidRDefault="009868DC" w:rsidP="009868DC">
      <w:pPr>
        <w:shd w:val="clear" w:color="auto" w:fill="FFFFFF"/>
      </w:pPr>
    </w:p>
    <w:p w14:paraId="120CEDB5" w14:textId="08588F89" w:rsidR="0089284A" w:rsidRDefault="009868DC" w:rsidP="00F8700F">
      <w:pPr>
        <w:rPr>
          <w:rFonts w:ascii="Arial" w:hAnsi="Arial" w:cs="Arial"/>
          <w:b/>
          <w:bCs/>
          <w:sz w:val="28"/>
          <w:szCs w:val="28"/>
          <w:shd w:val="clear" w:color="auto" w:fill="FFFFFF"/>
        </w:rPr>
      </w:pPr>
      <w:r>
        <w:rPr>
          <w:rFonts w:ascii="system-ui" w:hAnsi="system-ui"/>
          <w:color w:val="000000"/>
          <w:sz w:val="20"/>
          <w:szCs w:val="20"/>
        </w:rPr>
        <w:t xml:space="preserve">Many of these datasets will be vectors. They will be converted to </w:t>
      </w:r>
      <w:proofErr w:type="spellStart"/>
      <w:r>
        <w:rPr>
          <w:rFonts w:ascii="system-ui" w:hAnsi="system-ui"/>
          <w:color w:val="000000"/>
          <w:sz w:val="20"/>
          <w:szCs w:val="20"/>
        </w:rPr>
        <w:t>rasters</w:t>
      </w:r>
      <w:proofErr w:type="spellEnd"/>
      <w:r>
        <w:rPr>
          <w:rFonts w:ascii="system-ui" w:hAnsi="system-ui"/>
          <w:color w:val="000000"/>
          <w:sz w:val="20"/>
          <w:szCs w:val="20"/>
        </w:rPr>
        <w:t xml:space="preserve"> using the Feature to Raster tool in </w:t>
      </w:r>
      <w:proofErr w:type="spellStart"/>
      <w:r>
        <w:rPr>
          <w:rFonts w:ascii="system-ui" w:hAnsi="system-ui"/>
          <w:color w:val="000000"/>
          <w:sz w:val="20"/>
          <w:szCs w:val="20"/>
        </w:rPr>
        <w:t>ArcGis</w:t>
      </w:r>
      <w:proofErr w:type="spellEnd"/>
      <w:r>
        <w:rPr>
          <w:rFonts w:ascii="system-ui" w:hAnsi="system-ui"/>
          <w:color w:val="000000"/>
          <w:sz w:val="20"/>
          <w:szCs w:val="20"/>
        </w:rPr>
        <w:t>, based on the criteria shown below. Proximity-based layers will be generated by creating buffers around the points being analyzed. Each submodel will be represented as a raster, which will be created by performing the Weighted Sum operation on their corresponding layers. These five submodels will then be used as inputs for the Weighted Sum operation, which will create a final output raster for analysis. This raster will be used in combination with topographic information to produce a map for visualization of the results of the analysis. The following table describes how the submodels will be weighted, and how their constituent layers will be used:</w:t>
      </w:r>
    </w:p>
    <w:p w14:paraId="6E208C88" w14:textId="71BC2D6C" w:rsidR="0089284A" w:rsidRDefault="0089284A" w:rsidP="00F8700F">
      <w:pPr>
        <w:rPr>
          <w:rFonts w:ascii="Arial" w:hAnsi="Arial" w:cs="Arial"/>
          <w:b/>
          <w:bCs/>
          <w:sz w:val="28"/>
          <w:szCs w:val="28"/>
          <w:shd w:val="clear" w:color="auto" w:fill="FFFFFF"/>
        </w:rPr>
      </w:pPr>
    </w:p>
    <w:p w14:paraId="5B27775A" w14:textId="141A9FEC" w:rsidR="0089284A" w:rsidRDefault="0089284A" w:rsidP="00F8700F">
      <w:pPr>
        <w:rPr>
          <w:rFonts w:ascii="Arial" w:hAnsi="Arial" w:cs="Arial"/>
          <w:b/>
          <w:bCs/>
          <w:sz w:val="28"/>
          <w:szCs w:val="28"/>
          <w:shd w:val="clear" w:color="auto" w:fill="FFFFFF"/>
        </w:rPr>
      </w:pPr>
    </w:p>
    <w:p w14:paraId="5C75ED9C" w14:textId="33296173" w:rsidR="0089284A" w:rsidRDefault="0089284A" w:rsidP="00F8700F">
      <w:pPr>
        <w:rPr>
          <w:rFonts w:ascii="Arial" w:hAnsi="Arial" w:cs="Arial"/>
          <w:b/>
          <w:bCs/>
          <w:sz w:val="28"/>
          <w:szCs w:val="28"/>
          <w:shd w:val="clear" w:color="auto" w:fill="FFFFFF"/>
        </w:rPr>
      </w:pPr>
    </w:p>
    <w:p w14:paraId="558C4235" w14:textId="00D4C566" w:rsidR="0089284A" w:rsidRDefault="0089284A" w:rsidP="00F8700F">
      <w:pPr>
        <w:rPr>
          <w:rFonts w:ascii="Arial" w:hAnsi="Arial" w:cs="Arial"/>
          <w:b/>
          <w:bCs/>
          <w:sz w:val="28"/>
          <w:szCs w:val="28"/>
          <w:shd w:val="clear" w:color="auto" w:fill="FFFFFF"/>
        </w:rPr>
      </w:pPr>
    </w:p>
    <w:p w14:paraId="7DA57ADF" w14:textId="5067AC48" w:rsidR="0089284A" w:rsidRDefault="0089284A" w:rsidP="00F8700F">
      <w:pPr>
        <w:rPr>
          <w:rFonts w:ascii="Arial" w:hAnsi="Arial" w:cs="Arial"/>
          <w:b/>
          <w:bCs/>
          <w:sz w:val="28"/>
          <w:szCs w:val="28"/>
          <w:shd w:val="clear" w:color="auto" w:fill="FFFFFF"/>
        </w:rPr>
      </w:pPr>
    </w:p>
    <w:p w14:paraId="3449217F" w14:textId="7496C8B8" w:rsidR="0089284A" w:rsidRDefault="0089284A" w:rsidP="00F8700F">
      <w:pPr>
        <w:rPr>
          <w:rFonts w:ascii="Arial" w:hAnsi="Arial" w:cs="Arial"/>
          <w:b/>
          <w:bCs/>
          <w:sz w:val="28"/>
          <w:szCs w:val="28"/>
          <w:shd w:val="clear" w:color="auto" w:fill="FFFFFF"/>
        </w:rPr>
      </w:pPr>
    </w:p>
    <w:p w14:paraId="579F34E7" w14:textId="11BD57B7" w:rsidR="0089284A" w:rsidRDefault="0089284A" w:rsidP="00F8700F">
      <w:pPr>
        <w:rPr>
          <w:rFonts w:ascii="Arial" w:hAnsi="Arial" w:cs="Arial"/>
          <w:b/>
          <w:bCs/>
          <w:sz w:val="28"/>
          <w:szCs w:val="28"/>
          <w:shd w:val="clear" w:color="auto" w:fill="FFFFFF"/>
        </w:rPr>
      </w:pPr>
    </w:p>
    <w:p w14:paraId="27DABA22" w14:textId="0D237C1A" w:rsidR="0089284A" w:rsidRDefault="0089284A" w:rsidP="00F8700F">
      <w:pPr>
        <w:rPr>
          <w:rFonts w:ascii="Arial" w:hAnsi="Arial" w:cs="Arial"/>
          <w:b/>
          <w:bCs/>
          <w:sz w:val="28"/>
          <w:szCs w:val="28"/>
          <w:shd w:val="clear" w:color="auto" w:fill="FFFFFF"/>
        </w:rPr>
      </w:pPr>
    </w:p>
    <w:p w14:paraId="255CAB71" w14:textId="6F29D827" w:rsidR="0089284A" w:rsidRDefault="0089284A" w:rsidP="00F8700F">
      <w:pPr>
        <w:rPr>
          <w:rFonts w:ascii="Arial" w:hAnsi="Arial" w:cs="Arial"/>
          <w:b/>
          <w:bCs/>
          <w:sz w:val="28"/>
          <w:szCs w:val="28"/>
          <w:shd w:val="clear" w:color="auto" w:fill="FFFFFF"/>
        </w:rPr>
      </w:pPr>
    </w:p>
    <w:p w14:paraId="335642A9" w14:textId="0F4815DA" w:rsidR="0089284A" w:rsidRDefault="0089284A" w:rsidP="00F8700F">
      <w:pPr>
        <w:rPr>
          <w:rFonts w:ascii="Arial" w:hAnsi="Arial" w:cs="Arial"/>
          <w:b/>
          <w:bCs/>
          <w:sz w:val="28"/>
          <w:szCs w:val="28"/>
          <w:shd w:val="clear" w:color="auto" w:fill="FFFFFF"/>
        </w:rPr>
      </w:pPr>
    </w:p>
    <w:p w14:paraId="5B7B1879" w14:textId="1C66B05A" w:rsidR="0089284A" w:rsidRDefault="0089284A" w:rsidP="00F8700F">
      <w:pPr>
        <w:rPr>
          <w:rFonts w:ascii="Arial" w:hAnsi="Arial" w:cs="Arial"/>
          <w:b/>
          <w:bCs/>
          <w:sz w:val="28"/>
          <w:szCs w:val="28"/>
          <w:shd w:val="clear" w:color="auto" w:fill="FFFFFF"/>
        </w:rPr>
      </w:pPr>
    </w:p>
    <w:p w14:paraId="2A8830BB" w14:textId="45C24D13" w:rsidR="0089284A" w:rsidRDefault="0089284A" w:rsidP="00F8700F">
      <w:pPr>
        <w:rPr>
          <w:rFonts w:ascii="Arial" w:hAnsi="Arial" w:cs="Arial"/>
          <w:b/>
          <w:bCs/>
          <w:sz w:val="28"/>
          <w:szCs w:val="28"/>
          <w:shd w:val="clear" w:color="auto" w:fill="FFFFFF"/>
        </w:rPr>
      </w:pPr>
    </w:p>
    <w:p w14:paraId="4A13B542" w14:textId="711D7945" w:rsidR="0089284A" w:rsidRDefault="0089284A" w:rsidP="00F8700F">
      <w:pPr>
        <w:rPr>
          <w:rFonts w:ascii="Arial" w:hAnsi="Arial" w:cs="Arial"/>
          <w:b/>
          <w:bCs/>
          <w:sz w:val="28"/>
          <w:szCs w:val="28"/>
          <w:shd w:val="clear" w:color="auto" w:fill="FFFFFF"/>
        </w:rPr>
      </w:pPr>
    </w:p>
    <w:p w14:paraId="12C2332C" w14:textId="3F31D010" w:rsidR="0089284A" w:rsidRDefault="0089284A" w:rsidP="00F8700F">
      <w:pPr>
        <w:rPr>
          <w:rFonts w:ascii="Arial" w:hAnsi="Arial" w:cs="Arial"/>
          <w:b/>
          <w:bCs/>
          <w:sz w:val="28"/>
          <w:szCs w:val="28"/>
          <w:shd w:val="clear" w:color="auto" w:fill="FFFFFF"/>
        </w:rPr>
      </w:pPr>
    </w:p>
    <w:p w14:paraId="7507CEAD" w14:textId="4790AD05" w:rsidR="0089284A" w:rsidRDefault="0089284A" w:rsidP="00F8700F">
      <w:pPr>
        <w:rPr>
          <w:rFonts w:ascii="Arial" w:hAnsi="Arial" w:cs="Arial"/>
          <w:b/>
          <w:bCs/>
          <w:sz w:val="28"/>
          <w:szCs w:val="28"/>
          <w:shd w:val="clear" w:color="auto" w:fill="FFFFFF"/>
        </w:rPr>
      </w:pPr>
    </w:p>
    <w:p w14:paraId="03680B2F" w14:textId="77777777" w:rsidR="009868DC" w:rsidRDefault="009868DC" w:rsidP="00F8700F">
      <w:pPr>
        <w:rPr>
          <w:rFonts w:ascii="Arial" w:hAnsi="Arial" w:cs="Arial"/>
          <w:b/>
          <w:bCs/>
          <w:sz w:val="28"/>
          <w:szCs w:val="28"/>
          <w:shd w:val="clear" w:color="auto" w:fill="FFFFFF"/>
        </w:rPr>
      </w:pPr>
    </w:p>
    <w:tbl>
      <w:tblPr>
        <w:tblStyle w:val="TableGrid"/>
        <w:tblW w:w="0" w:type="auto"/>
        <w:tblLayout w:type="fixed"/>
        <w:tblLook w:val="04A0" w:firstRow="1" w:lastRow="0" w:firstColumn="1" w:lastColumn="0" w:noHBand="0" w:noVBand="1"/>
      </w:tblPr>
      <w:tblGrid>
        <w:gridCol w:w="1705"/>
        <w:gridCol w:w="1080"/>
        <w:gridCol w:w="6565"/>
      </w:tblGrid>
      <w:tr w:rsidR="00F25518" w:rsidRPr="0089284A" w14:paraId="76E6832B" w14:textId="77777777" w:rsidTr="00F25518">
        <w:tc>
          <w:tcPr>
            <w:tcW w:w="1705" w:type="dxa"/>
          </w:tcPr>
          <w:p w14:paraId="52F03CFC" w14:textId="01E5E831" w:rsidR="00F25518" w:rsidRPr="0089284A" w:rsidRDefault="00F25518" w:rsidP="00F8700F">
            <w:pPr>
              <w:rPr>
                <w:b/>
                <w:bCs/>
                <w:sz w:val="20"/>
                <w:szCs w:val="20"/>
                <w:shd w:val="clear" w:color="auto" w:fill="FFFFFF"/>
              </w:rPr>
            </w:pPr>
            <w:r w:rsidRPr="0089284A">
              <w:rPr>
                <w:b/>
                <w:bCs/>
                <w:sz w:val="20"/>
                <w:szCs w:val="20"/>
                <w:shd w:val="clear" w:color="auto" w:fill="FFFFFF"/>
              </w:rPr>
              <w:lastRenderedPageBreak/>
              <w:t>Submodel</w:t>
            </w:r>
          </w:p>
        </w:tc>
        <w:tc>
          <w:tcPr>
            <w:tcW w:w="1080" w:type="dxa"/>
          </w:tcPr>
          <w:p w14:paraId="65606E7B" w14:textId="4EC59C98" w:rsidR="00F25518" w:rsidRPr="0089284A" w:rsidRDefault="00C7683F" w:rsidP="00F8700F">
            <w:pPr>
              <w:rPr>
                <w:b/>
                <w:bCs/>
                <w:sz w:val="20"/>
                <w:szCs w:val="20"/>
                <w:shd w:val="clear" w:color="auto" w:fill="FFFFFF"/>
              </w:rPr>
            </w:pPr>
            <w:r w:rsidRPr="0089284A">
              <w:rPr>
                <w:b/>
                <w:bCs/>
                <w:sz w:val="20"/>
                <w:szCs w:val="20"/>
                <w:shd w:val="clear" w:color="auto" w:fill="FFFFFF"/>
              </w:rPr>
              <w:t>Points</w:t>
            </w:r>
          </w:p>
        </w:tc>
        <w:tc>
          <w:tcPr>
            <w:tcW w:w="6565" w:type="dxa"/>
          </w:tcPr>
          <w:p w14:paraId="3F7B43D8" w14:textId="7EE2E13A" w:rsidR="00F25518" w:rsidRPr="0089284A" w:rsidRDefault="00F25518" w:rsidP="00F8700F">
            <w:pPr>
              <w:rPr>
                <w:b/>
                <w:bCs/>
                <w:sz w:val="20"/>
                <w:szCs w:val="20"/>
                <w:shd w:val="clear" w:color="auto" w:fill="FFFFFF"/>
              </w:rPr>
            </w:pPr>
            <w:r w:rsidRPr="0089284A">
              <w:rPr>
                <w:b/>
                <w:bCs/>
                <w:sz w:val="20"/>
                <w:szCs w:val="20"/>
                <w:shd w:val="clear" w:color="auto" w:fill="FFFFFF"/>
              </w:rPr>
              <w:t>Methodology</w:t>
            </w:r>
          </w:p>
        </w:tc>
      </w:tr>
      <w:tr w:rsidR="00F25518" w:rsidRPr="0089284A" w14:paraId="3DCFCD6B" w14:textId="77777777" w:rsidTr="00F25518">
        <w:trPr>
          <w:trHeight w:val="2069"/>
        </w:trPr>
        <w:tc>
          <w:tcPr>
            <w:tcW w:w="1705" w:type="dxa"/>
          </w:tcPr>
          <w:p w14:paraId="0442F053" w14:textId="5ECAD920" w:rsidR="00F25518" w:rsidRPr="0089284A" w:rsidRDefault="00F25518" w:rsidP="003D71E3">
            <w:pPr>
              <w:rPr>
                <w:b/>
                <w:bCs/>
                <w:sz w:val="20"/>
                <w:szCs w:val="20"/>
                <w:shd w:val="clear" w:color="auto" w:fill="FFFFFF"/>
              </w:rPr>
            </w:pPr>
            <w:r w:rsidRPr="0089284A">
              <w:rPr>
                <w:b/>
                <w:bCs/>
                <w:sz w:val="20"/>
                <w:szCs w:val="20"/>
                <w:shd w:val="clear" w:color="auto" w:fill="FFFFFF"/>
              </w:rPr>
              <w:t>Poverty</w:t>
            </w:r>
          </w:p>
        </w:tc>
        <w:tc>
          <w:tcPr>
            <w:tcW w:w="1080" w:type="dxa"/>
          </w:tcPr>
          <w:p w14:paraId="170A629E" w14:textId="663493B3" w:rsidR="00F25518" w:rsidRPr="0089284A" w:rsidRDefault="00F25518" w:rsidP="003D71E3">
            <w:pPr>
              <w:jc w:val="center"/>
              <w:rPr>
                <w:sz w:val="20"/>
                <w:szCs w:val="20"/>
                <w:shd w:val="clear" w:color="auto" w:fill="FFFFFF"/>
              </w:rPr>
            </w:pPr>
            <w:r w:rsidRPr="0089284A">
              <w:rPr>
                <w:sz w:val="20"/>
                <w:szCs w:val="20"/>
                <w:shd w:val="clear" w:color="auto" w:fill="FFFFFF"/>
              </w:rPr>
              <w:t>20</w:t>
            </w:r>
          </w:p>
        </w:tc>
        <w:tc>
          <w:tcPr>
            <w:tcW w:w="6565" w:type="dxa"/>
          </w:tcPr>
          <w:tbl>
            <w:tblPr>
              <w:tblStyle w:val="TableGrid"/>
              <w:tblW w:w="653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13"/>
              <w:gridCol w:w="656"/>
              <w:gridCol w:w="3766"/>
            </w:tblGrid>
            <w:tr w:rsidR="00F25518" w:rsidRPr="0089284A" w14:paraId="55CBED77" w14:textId="77777777" w:rsidTr="00C7683F">
              <w:tc>
                <w:tcPr>
                  <w:tcW w:w="2113" w:type="dxa"/>
                </w:tcPr>
                <w:p w14:paraId="47431FAA" w14:textId="010DEC85" w:rsidR="00F25518" w:rsidRPr="0089284A" w:rsidRDefault="00F25518" w:rsidP="00F8700F">
                  <w:pPr>
                    <w:rPr>
                      <w:b/>
                      <w:bCs/>
                      <w:sz w:val="20"/>
                      <w:szCs w:val="20"/>
                      <w:shd w:val="clear" w:color="auto" w:fill="FFFFFF"/>
                    </w:rPr>
                  </w:pPr>
                  <w:r w:rsidRPr="0089284A">
                    <w:rPr>
                      <w:b/>
                      <w:bCs/>
                      <w:sz w:val="20"/>
                      <w:szCs w:val="20"/>
                      <w:shd w:val="clear" w:color="auto" w:fill="FFFFFF"/>
                    </w:rPr>
                    <w:t>Layer</w:t>
                  </w:r>
                </w:p>
              </w:tc>
              <w:tc>
                <w:tcPr>
                  <w:tcW w:w="656" w:type="dxa"/>
                </w:tcPr>
                <w:p w14:paraId="75229445" w14:textId="7030CFDB" w:rsidR="00F25518" w:rsidRPr="0089284A" w:rsidRDefault="00C7683F" w:rsidP="003D71E3">
                  <w:pPr>
                    <w:jc w:val="center"/>
                    <w:rPr>
                      <w:b/>
                      <w:bCs/>
                      <w:sz w:val="20"/>
                      <w:szCs w:val="20"/>
                      <w:shd w:val="clear" w:color="auto" w:fill="FFFFFF"/>
                    </w:rPr>
                  </w:pPr>
                  <w:r w:rsidRPr="0089284A">
                    <w:rPr>
                      <w:b/>
                      <w:bCs/>
                      <w:sz w:val="20"/>
                      <w:szCs w:val="20"/>
                      <w:shd w:val="clear" w:color="auto" w:fill="FFFFFF"/>
                    </w:rPr>
                    <w:t>Pts</w:t>
                  </w:r>
                </w:p>
              </w:tc>
              <w:tc>
                <w:tcPr>
                  <w:tcW w:w="3766" w:type="dxa"/>
                </w:tcPr>
                <w:p w14:paraId="4A9F2143" w14:textId="062324AC" w:rsidR="00F25518" w:rsidRPr="0089284A" w:rsidRDefault="00F25518" w:rsidP="00F8700F">
                  <w:pPr>
                    <w:rPr>
                      <w:b/>
                      <w:bCs/>
                      <w:sz w:val="20"/>
                      <w:szCs w:val="20"/>
                      <w:shd w:val="clear" w:color="auto" w:fill="FFFFFF"/>
                    </w:rPr>
                  </w:pPr>
                  <w:r w:rsidRPr="0089284A">
                    <w:rPr>
                      <w:b/>
                      <w:bCs/>
                      <w:sz w:val="20"/>
                      <w:szCs w:val="20"/>
                      <w:shd w:val="clear" w:color="auto" w:fill="FFFFFF"/>
                    </w:rPr>
                    <w:t>Methodology</w:t>
                  </w:r>
                </w:p>
              </w:tc>
            </w:tr>
            <w:tr w:rsidR="00F25518" w:rsidRPr="0089284A" w14:paraId="3918F29A" w14:textId="77777777" w:rsidTr="00C7683F">
              <w:tc>
                <w:tcPr>
                  <w:tcW w:w="2113" w:type="dxa"/>
                </w:tcPr>
                <w:p w14:paraId="590D4E6D" w14:textId="72FA6175" w:rsidR="00F25518" w:rsidRPr="0089284A" w:rsidRDefault="00F25518" w:rsidP="00F8700F">
                  <w:pPr>
                    <w:rPr>
                      <w:sz w:val="20"/>
                      <w:szCs w:val="20"/>
                      <w:shd w:val="clear" w:color="auto" w:fill="FFFFFF"/>
                    </w:rPr>
                  </w:pPr>
                  <w:r w:rsidRPr="0089284A">
                    <w:rPr>
                      <w:sz w:val="20"/>
                      <w:szCs w:val="20"/>
                      <w:shd w:val="clear" w:color="auto" w:fill="FFFFFF"/>
                    </w:rPr>
                    <w:t>% Below Poverty Line</w:t>
                  </w:r>
                </w:p>
              </w:tc>
              <w:tc>
                <w:tcPr>
                  <w:tcW w:w="656" w:type="dxa"/>
                </w:tcPr>
                <w:p w14:paraId="319959A7" w14:textId="7607E00A" w:rsidR="00F25518" w:rsidRPr="0089284A" w:rsidRDefault="00F25518" w:rsidP="003D71E3">
                  <w:pPr>
                    <w:jc w:val="center"/>
                    <w:rPr>
                      <w:sz w:val="20"/>
                      <w:szCs w:val="20"/>
                      <w:shd w:val="clear" w:color="auto" w:fill="FFFFFF"/>
                    </w:rPr>
                  </w:pPr>
                  <w:r w:rsidRPr="0089284A">
                    <w:rPr>
                      <w:sz w:val="20"/>
                      <w:szCs w:val="20"/>
                      <w:shd w:val="clear" w:color="auto" w:fill="FFFFFF"/>
                    </w:rPr>
                    <w:t>10</w:t>
                  </w:r>
                </w:p>
              </w:tc>
              <w:tc>
                <w:tcPr>
                  <w:tcW w:w="3766" w:type="dxa"/>
                </w:tcPr>
                <w:p w14:paraId="6E86813D" w14:textId="4EBC8724" w:rsidR="00F25518" w:rsidRPr="0089284A" w:rsidRDefault="00F25518" w:rsidP="00F8700F">
                  <w:pPr>
                    <w:rPr>
                      <w:sz w:val="20"/>
                      <w:szCs w:val="20"/>
                      <w:shd w:val="clear" w:color="auto" w:fill="FFFFFF"/>
                    </w:rPr>
                  </w:pPr>
                  <w:r w:rsidRPr="0089284A">
                    <w:rPr>
                      <w:sz w:val="20"/>
                      <w:szCs w:val="20"/>
                      <w:shd w:val="clear" w:color="auto" w:fill="FFFFFF"/>
                    </w:rPr>
                    <w:t>1 point assigned for every 2.5% of the population below the poverty line (Areas with &gt;25% below the poverty line receive 10 points)</w:t>
                  </w:r>
                </w:p>
              </w:tc>
            </w:tr>
            <w:tr w:rsidR="00F25518" w:rsidRPr="0089284A" w14:paraId="4B350641" w14:textId="77777777" w:rsidTr="00C7683F">
              <w:trPr>
                <w:trHeight w:val="863"/>
              </w:trPr>
              <w:tc>
                <w:tcPr>
                  <w:tcW w:w="2113" w:type="dxa"/>
                </w:tcPr>
                <w:p w14:paraId="0D1FD816" w14:textId="67B5C2C8" w:rsidR="00F25518" w:rsidRPr="0089284A" w:rsidRDefault="00F25518" w:rsidP="00F25518">
                  <w:pPr>
                    <w:rPr>
                      <w:sz w:val="20"/>
                      <w:szCs w:val="20"/>
                      <w:shd w:val="clear" w:color="auto" w:fill="FFFFFF"/>
                    </w:rPr>
                  </w:pPr>
                  <w:r w:rsidRPr="0089284A">
                    <w:rPr>
                      <w:sz w:val="20"/>
                      <w:szCs w:val="20"/>
                      <w:shd w:val="clear" w:color="auto" w:fill="FFFFFF"/>
                    </w:rPr>
                    <w:t>% Receiving food stamps/SNAP</w:t>
                  </w:r>
                </w:p>
              </w:tc>
              <w:tc>
                <w:tcPr>
                  <w:tcW w:w="656" w:type="dxa"/>
                </w:tcPr>
                <w:p w14:paraId="25D9F26D" w14:textId="31F6D0A2" w:rsidR="00F25518" w:rsidRPr="0089284A" w:rsidRDefault="00F25518" w:rsidP="003D71E3">
                  <w:pPr>
                    <w:jc w:val="center"/>
                    <w:rPr>
                      <w:sz w:val="20"/>
                      <w:szCs w:val="20"/>
                      <w:shd w:val="clear" w:color="auto" w:fill="FFFFFF"/>
                    </w:rPr>
                  </w:pPr>
                  <w:r w:rsidRPr="0089284A">
                    <w:rPr>
                      <w:sz w:val="20"/>
                      <w:szCs w:val="20"/>
                      <w:shd w:val="clear" w:color="auto" w:fill="FFFFFF"/>
                    </w:rPr>
                    <w:t>10</w:t>
                  </w:r>
                </w:p>
              </w:tc>
              <w:tc>
                <w:tcPr>
                  <w:tcW w:w="3766" w:type="dxa"/>
                </w:tcPr>
                <w:p w14:paraId="19B18B2D" w14:textId="47695096" w:rsidR="00F25518" w:rsidRPr="0089284A" w:rsidRDefault="00F25518" w:rsidP="00F25518">
                  <w:pPr>
                    <w:rPr>
                      <w:sz w:val="20"/>
                      <w:szCs w:val="20"/>
                      <w:shd w:val="clear" w:color="auto" w:fill="FFFFFF"/>
                    </w:rPr>
                  </w:pPr>
                  <w:r w:rsidRPr="0089284A">
                    <w:rPr>
                      <w:sz w:val="20"/>
                      <w:szCs w:val="20"/>
                      <w:shd w:val="clear" w:color="auto" w:fill="FFFFFF"/>
                    </w:rPr>
                    <w:t xml:space="preserve">1 point assigned for every 2.5% of the population </w:t>
                  </w:r>
                  <w:r w:rsidRPr="0089284A">
                    <w:rPr>
                      <w:sz w:val="20"/>
                      <w:szCs w:val="20"/>
                      <w:shd w:val="clear" w:color="auto" w:fill="FFFFFF"/>
                    </w:rPr>
                    <w:t>receiving food stamps/SNAP</w:t>
                  </w:r>
                  <w:r w:rsidRPr="0089284A">
                    <w:rPr>
                      <w:sz w:val="20"/>
                      <w:szCs w:val="20"/>
                      <w:shd w:val="clear" w:color="auto" w:fill="FFFFFF"/>
                    </w:rPr>
                    <w:t xml:space="preserve"> (Areas with &gt;25% </w:t>
                  </w:r>
                  <w:r w:rsidRPr="0089284A">
                    <w:rPr>
                      <w:sz w:val="20"/>
                      <w:szCs w:val="20"/>
                      <w:shd w:val="clear" w:color="auto" w:fill="FFFFFF"/>
                    </w:rPr>
                    <w:t>on SNAP</w:t>
                  </w:r>
                  <w:r w:rsidRPr="0089284A">
                    <w:rPr>
                      <w:sz w:val="20"/>
                      <w:szCs w:val="20"/>
                      <w:shd w:val="clear" w:color="auto" w:fill="FFFFFF"/>
                    </w:rPr>
                    <w:t xml:space="preserve"> receive 10 points)</w:t>
                  </w:r>
                </w:p>
              </w:tc>
            </w:tr>
          </w:tbl>
          <w:p w14:paraId="0475FF4D" w14:textId="77777777" w:rsidR="00F25518" w:rsidRPr="0089284A" w:rsidRDefault="00F25518" w:rsidP="00F8700F">
            <w:pPr>
              <w:rPr>
                <w:sz w:val="20"/>
                <w:szCs w:val="20"/>
                <w:shd w:val="clear" w:color="auto" w:fill="FFFFFF"/>
              </w:rPr>
            </w:pPr>
          </w:p>
        </w:tc>
      </w:tr>
      <w:tr w:rsidR="00F25518" w:rsidRPr="0089284A" w14:paraId="36A321DC" w14:textId="77777777" w:rsidTr="00F25518">
        <w:tc>
          <w:tcPr>
            <w:tcW w:w="1705" w:type="dxa"/>
          </w:tcPr>
          <w:p w14:paraId="68084E4C" w14:textId="30C6F9ED" w:rsidR="00F25518" w:rsidRPr="0089284A" w:rsidRDefault="00F25518" w:rsidP="003D71E3">
            <w:pPr>
              <w:rPr>
                <w:b/>
                <w:bCs/>
                <w:sz w:val="20"/>
                <w:szCs w:val="20"/>
                <w:shd w:val="clear" w:color="auto" w:fill="FFFFFF"/>
              </w:rPr>
            </w:pPr>
            <w:r w:rsidRPr="0089284A">
              <w:rPr>
                <w:b/>
                <w:bCs/>
                <w:sz w:val="20"/>
                <w:szCs w:val="20"/>
                <w:shd w:val="clear" w:color="auto" w:fill="FFFFFF"/>
              </w:rPr>
              <w:t>Education</w:t>
            </w:r>
          </w:p>
        </w:tc>
        <w:tc>
          <w:tcPr>
            <w:tcW w:w="1080" w:type="dxa"/>
          </w:tcPr>
          <w:p w14:paraId="21B09DF1" w14:textId="658C1658" w:rsidR="00F25518" w:rsidRPr="0089284A" w:rsidRDefault="00F25518" w:rsidP="003D71E3">
            <w:pPr>
              <w:jc w:val="center"/>
              <w:rPr>
                <w:sz w:val="20"/>
                <w:szCs w:val="20"/>
                <w:shd w:val="clear" w:color="auto" w:fill="FFFFFF"/>
              </w:rPr>
            </w:pPr>
            <w:r w:rsidRPr="0089284A">
              <w:rPr>
                <w:sz w:val="20"/>
                <w:szCs w:val="20"/>
                <w:shd w:val="clear" w:color="auto" w:fill="FFFFFF"/>
              </w:rPr>
              <w:t>20</w:t>
            </w:r>
          </w:p>
        </w:tc>
        <w:tc>
          <w:tcPr>
            <w:tcW w:w="6565" w:type="dxa"/>
          </w:tcPr>
          <w:tbl>
            <w:tblPr>
              <w:tblStyle w:val="TableGrid"/>
              <w:tblW w:w="653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13"/>
              <w:gridCol w:w="656"/>
              <w:gridCol w:w="3766"/>
            </w:tblGrid>
            <w:tr w:rsidR="00C7683F" w:rsidRPr="0089284A" w14:paraId="62259F84" w14:textId="77777777" w:rsidTr="003D71E3">
              <w:trPr>
                <w:trHeight w:val="106"/>
              </w:trPr>
              <w:tc>
                <w:tcPr>
                  <w:tcW w:w="2113" w:type="dxa"/>
                </w:tcPr>
                <w:p w14:paraId="42F024E5" w14:textId="7FCC4375" w:rsidR="00C7683F" w:rsidRPr="0089284A" w:rsidRDefault="00C7683F" w:rsidP="00C7683F">
                  <w:pPr>
                    <w:rPr>
                      <w:sz w:val="20"/>
                      <w:szCs w:val="20"/>
                      <w:shd w:val="clear" w:color="auto" w:fill="FFFFFF"/>
                    </w:rPr>
                  </w:pPr>
                  <w:r w:rsidRPr="0089284A">
                    <w:rPr>
                      <w:sz w:val="20"/>
                      <w:szCs w:val="20"/>
                      <w:shd w:val="clear" w:color="auto" w:fill="FFFFFF"/>
                    </w:rPr>
                    <w:t xml:space="preserve">% </w:t>
                  </w:r>
                  <w:r w:rsidRPr="0089284A">
                    <w:rPr>
                      <w:sz w:val="20"/>
                      <w:szCs w:val="20"/>
                      <w:shd w:val="clear" w:color="auto" w:fill="FFFFFF"/>
                    </w:rPr>
                    <w:t>Education Attained &lt; Bachelor</w:t>
                  </w:r>
                </w:p>
              </w:tc>
              <w:tc>
                <w:tcPr>
                  <w:tcW w:w="656" w:type="dxa"/>
                </w:tcPr>
                <w:p w14:paraId="11C444F4" w14:textId="77777777" w:rsidR="00C7683F" w:rsidRPr="0089284A" w:rsidRDefault="00C7683F" w:rsidP="003D71E3">
                  <w:pPr>
                    <w:jc w:val="center"/>
                    <w:rPr>
                      <w:sz w:val="20"/>
                      <w:szCs w:val="20"/>
                      <w:shd w:val="clear" w:color="auto" w:fill="FFFFFF"/>
                    </w:rPr>
                  </w:pPr>
                  <w:r w:rsidRPr="0089284A">
                    <w:rPr>
                      <w:sz w:val="20"/>
                      <w:szCs w:val="20"/>
                      <w:shd w:val="clear" w:color="auto" w:fill="FFFFFF"/>
                    </w:rPr>
                    <w:t>10</w:t>
                  </w:r>
                </w:p>
              </w:tc>
              <w:tc>
                <w:tcPr>
                  <w:tcW w:w="3766" w:type="dxa"/>
                </w:tcPr>
                <w:p w14:paraId="3195FD5D" w14:textId="1CA90E46" w:rsidR="00C7683F" w:rsidRPr="0089284A" w:rsidRDefault="00C7683F" w:rsidP="00C7683F">
                  <w:pPr>
                    <w:rPr>
                      <w:sz w:val="20"/>
                      <w:szCs w:val="20"/>
                      <w:shd w:val="clear" w:color="auto" w:fill="FFFFFF"/>
                    </w:rPr>
                  </w:pPr>
                  <w:r w:rsidRPr="0089284A">
                    <w:rPr>
                      <w:sz w:val="20"/>
                      <w:szCs w:val="20"/>
                      <w:shd w:val="clear" w:color="auto" w:fill="FFFFFF"/>
                    </w:rPr>
                    <w:t xml:space="preserve">1 point assigned for every 5% of the population </w:t>
                  </w:r>
                  <w:r w:rsidRPr="0089284A">
                    <w:rPr>
                      <w:sz w:val="20"/>
                      <w:szCs w:val="20"/>
                      <w:shd w:val="clear" w:color="auto" w:fill="FFFFFF"/>
                    </w:rPr>
                    <w:t xml:space="preserve">with less than a </w:t>
                  </w:r>
                  <w:r w:rsidR="009734FB" w:rsidRPr="0089284A">
                    <w:rPr>
                      <w:sz w:val="20"/>
                      <w:szCs w:val="20"/>
                      <w:shd w:val="clear" w:color="auto" w:fill="FFFFFF"/>
                    </w:rPr>
                    <w:t>bachelor’s</w:t>
                  </w:r>
                  <w:r w:rsidRPr="0089284A">
                    <w:rPr>
                      <w:sz w:val="20"/>
                      <w:szCs w:val="20"/>
                      <w:shd w:val="clear" w:color="auto" w:fill="FFFFFF"/>
                    </w:rPr>
                    <w:t xml:space="preserve"> degree</w:t>
                  </w:r>
                  <w:r w:rsidRPr="0089284A">
                    <w:rPr>
                      <w:sz w:val="20"/>
                      <w:szCs w:val="20"/>
                      <w:shd w:val="clear" w:color="auto" w:fill="FFFFFF"/>
                    </w:rPr>
                    <w:t xml:space="preserve"> (Areas with &gt;</w:t>
                  </w:r>
                  <w:r w:rsidRPr="0089284A">
                    <w:rPr>
                      <w:sz w:val="20"/>
                      <w:szCs w:val="20"/>
                      <w:shd w:val="clear" w:color="auto" w:fill="FFFFFF"/>
                    </w:rPr>
                    <w:t>50</w:t>
                  </w:r>
                  <w:r w:rsidRPr="0089284A">
                    <w:rPr>
                      <w:sz w:val="20"/>
                      <w:szCs w:val="20"/>
                      <w:shd w:val="clear" w:color="auto" w:fill="FFFFFF"/>
                    </w:rPr>
                    <w:t xml:space="preserve">% </w:t>
                  </w:r>
                  <w:r w:rsidRPr="0089284A">
                    <w:rPr>
                      <w:sz w:val="20"/>
                      <w:szCs w:val="20"/>
                      <w:shd w:val="clear" w:color="auto" w:fill="FFFFFF"/>
                    </w:rPr>
                    <w:t xml:space="preserve">with no degree </w:t>
                  </w:r>
                  <w:r w:rsidR="009734FB" w:rsidRPr="0089284A">
                    <w:rPr>
                      <w:sz w:val="20"/>
                      <w:szCs w:val="20"/>
                      <w:shd w:val="clear" w:color="auto" w:fill="FFFFFF"/>
                    </w:rPr>
                    <w:t>receive</w:t>
                  </w:r>
                  <w:r w:rsidRPr="0089284A">
                    <w:rPr>
                      <w:sz w:val="20"/>
                      <w:szCs w:val="20"/>
                      <w:shd w:val="clear" w:color="auto" w:fill="FFFFFF"/>
                    </w:rPr>
                    <w:t xml:space="preserve"> 10 points)</w:t>
                  </w:r>
                </w:p>
              </w:tc>
            </w:tr>
            <w:tr w:rsidR="00C7683F" w:rsidRPr="0089284A" w14:paraId="75C2FC3A" w14:textId="77777777" w:rsidTr="008D1751">
              <w:trPr>
                <w:trHeight w:val="863"/>
              </w:trPr>
              <w:tc>
                <w:tcPr>
                  <w:tcW w:w="2113" w:type="dxa"/>
                </w:tcPr>
                <w:p w14:paraId="586576C6" w14:textId="3984FC3F" w:rsidR="00C7683F" w:rsidRPr="0089284A" w:rsidRDefault="00C7683F" w:rsidP="00C7683F">
                  <w:pPr>
                    <w:rPr>
                      <w:sz w:val="20"/>
                      <w:szCs w:val="20"/>
                      <w:shd w:val="clear" w:color="auto" w:fill="FFFFFF"/>
                    </w:rPr>
                  </w:pPr>
                  <w:r w:rsidRPr="0089284A">
                    <w:rPr>
                      <w:sz w:val="20"/>
                      <w:szCs w:val="20"/>
                      <w:shd w:val="clear" w:color="auto" w:fill="FFFFFF"/>
                    </w:rPr>
                    <w:t xml:space="preserve">% </w:t>
                  </w:r>
                  <w:r w:rsidRPr="0089284A">
                    <w:rPr>
                      <w:sz w:val="20"/>
                      <w:szCs w:val="20"/>
                      <w:shd w:val="clear" w:color="auto" w:fill="FFFFFF"/>
                    </w:rPr>
                    <w:t>School Enrollment</w:t>
                  </w:r>
                </w:p>
              </w:tc>
              <w:tc>
                <w:tcPr>
                  <w:tcW w:w="656" w:type="dxa"/>
                </w:tcPr>
                <w:p w14:paraId="478A7261" w14:textId="77777777" w:rsidR="00C7683F" w:rsidRPr="0089284A" w:rsidRDefault="00C7683F" w:rsidP="003D71E3">
                  <w:pPr>
                    <w:jc w:val="center"/>
                    <w:rPr>
                      <w:sz w:val="20"/>
                      <w:szCs w:val="20"/>
                      <w:shd w:val="clear" w:color="auto" w:fill="FFFFFF"/>
                    </w:rPr>
                  </w:pPr>
                  <w:r w:rsidRPr="0089284A">
                    <w:rPr>
                      <w:sz w:val="20"/>
                      <w:szCs w:val="20"/>
                      <w:shd w:val="clear" w:color="auto" w:fill="FFFFFF"/>
                    </w:rPr>
                    <w:t>10</w:t>
                  </w:r>
                </w:p>
              </w:tc>
              <w:tc>
                <w:tcPr>
                  <w:tcW w:w="3766" w:type="dxa"/>
                </w:tcPr>
                <w:p w14:paraId="2552D506" w14:textId="424415E9" w:rsidR="00C7683F" w:rsidRPr="0089284A" w:rsidRDefault="00C7683F" w:rsidP="00C7683F">
                  <w:pPr>
                    <w:rPr>
                      <w:sz w:val="20"/>
                      <w:szCs w:val="20"/>
                      <w:shd w:val="clear" w:color="auto" w:fill="FFFFFF"/>
                    </w:rPr>
                  </w:pPr>
                  <w:r w:rsidRPr="0089284A">
                    <w:rPr>
                      <w:sz w:val="20"/>
                      <w:szCs w:val="20"/>
                      <w:shd w:val="clear" w:color="auto" w:fill="FFFFFF"/>
                    </w:rPr>
                    <w:t xml:space="preserve">1 point assigned for every 2.5% of the population </w:t>
                  </w:r>
                  <w:r w:rsidR="009734FB" w:rsidRPr="0089284A">
                    <w:rPr>
                      <w:sz w:val="20"/>
                      <w:szCs w:val="20"/>
                      <w:shd w:val="clear" w:color="auto" w:fill="FFFFFF"/>
                    </w:rPr>
                    <w:t>enrolled in some form of college</w:t>
                  </w:r>
                  <w:r w:rsidRPr="0089284A">
                    <w:rPr>
                      <w:sz w:val="20"/>
                      <w:szCs w:val="20"/>
                      <w:shd w:val="clear" w:color="auto" w:fill="FFFFFF"/>
                    </w:rPr>
                    <w:t xml:space="preserve"> (Areas with &gt;25% </w:t>
                  </w:r>
                  <w:r w:rsidR="009734FB" w:rsidRPr="0089284A">
                    <w:rPr>
                      <w:sz w:val="20"/>
                      <w:szCs w:val="20"/>
                      <w:shd w:val="clear" w:color="auto" w:fill="FFFFFF"/>
                    </w:rPr>
                    <w:t>in college</w:t>
                  </w:r>
                  <w:r w:rsidRPr="0089284A">
                    <w:rPr>
                      <w:sz w:val="20"/>
                      <w:szCs w:val="20"/>
                      <w:shd w:val="clear" w:color="auto" w:fill="FFFFFF"/>
                    </w:rPr>
                    <w:t xml:space="preserve"> receive 10 points)</w:t>
                  </w:r>
                </w:p>
              </w:tc>
            </w:tr>
          </w:tbl>
          <w:p w14:paraId="0FA7E259" w14:textId="77777777" w:rsidR="00F25518" w:rsidRPr="0089284A" w:rsidRDefault="00F25518" w:rsidP="00F8700F">
            <w:pPr>
              <w:rPr>
                <w:sz w:val="20"/>
                <w:szCs w:val="20"/>
                <w:shd w:val="clear" w:color="auto" w:fill="FFFFFF"/>
              </w:rPr>
            </w:pPr>
          </w:p>
        </w:tc>
      </w:tr>
      <w:tr w:rsidR="00F25518" w:rsidRPr="0089284A" w14:paraId="7BF6F419" w14:textId="77777777" w:rsidTr="00F25518">
        <w:tc>
          <w:tcPr>
            <w:tcW w:w="1705" w:type="dxa"/>
          </w:tcPr>
          <w:p w14:paraId="2B56D13C" w14:textId="0EC286AC" w:rsidR="00F25518" w:rsidRPr="0089284A" w:rsidRDefault="00F25518" w:rsidP="003D71E3">
            <w:pPr>
              <w:rPr>
                <w:b/>
                <w:bCs/>
                <w:sz w:val="20"/>
                <w:szCs w:val="20"/>
                <w:shd w:val="clear" w:color="auto" w:fill="FFFFFF"/>
              </w:rPr>
            </w:pPr>
            <w:r w:rsidRPr="0089284A">
              <w:rPr>
                <w:b/>
                <w:bCs/>
                <w:sz w:val="20"/>
                <w:szCs w:val="20"/>
                <w:shd w:val="clear" w:color="auto" w:fill="FFFFFF"/>
              </w:rPr>
              <w:t>Ethnicity</w:t>
            </w:r>
          </w:p>
        </w:tc>
        <w:tc>
          <w:tcPr>
            <w:tcW w:w="1080" w:type="dxa"/>
          </w:tcPr>
          <w:p w14:paraId="3CA5BC3F" w14:textId="25C58631" w:rsidR="00F25518" w:rsidRPr="0089284A" w:rsidRDefault="00F25518" w:rsidP="003D71E3">
            <w:pPr>
              <w:jc w:val="center"/>
              <w:rPr>
                <w:sz w:val="20"/>
                <w:szCs w:val="20"/>
                <w:shd w:val="clear" w:color="auto" w:fill="FFFFFF"/>
              </w:rPr>
            </w:pPr>
            <w:r w:rsidRPr="0089284A">
              <w:rPr>
                <w:sz w:val="20"/>
                <w:szCs w:val="20"/>
                <w:shd w:val="clear" w:color="auto" w:fill="FFFFFF"/>
              </w:rPr>
              <w:t>20</w:t>
            </w:r>
          </w:p>
        </w:tc>
        <w:tc>
          <w:tcPr>
            <w:tcW w:w="6565" w:type="dxa"/>
          </w:tcPr>
          <w:p w14:paraId="3D33815F" w14:textId="65E947C1" w:rsidR="00F25518" w:rsidRPr="0089284A" w:rsidRDefault="009734FB" w:rsidP="00F8700F">
            <w:pPr>
              <w:rPr>
                <w:sz w:val="20"/>
                <w:szCs w:val="20"/>
                <w:shd w:val="clear" w:color="auto" w:fill="FFFFFF"/>
              </w:rPr>
            </w:pPr>
            <w:r w:rsidRPr="0089284A">
              <w:rPr>
                <w:sz w:val="20"/>
                <w:szCs w:val="20"/>
                <w:shd w:val="clear" w:color="auto" w:fill="FFFFFF"/>
              </w:rPr>
              <w:t>5 points awarded for every 5% of a population with non-white ethnicity (Areas with 20% or more non-white residents receive 20 points)</w:t>
            </w:r>
          </w:p>
        </w:tc>
      </w:tr>
      <w:tr w:rsidR="00F25518" w:rsidRPr="0089284A" w14:paraId="7B629ADC" w14:textId="77777777" w:rsidTr="00F25518">
        <w:tc>
          <w:tcPr>
            <w:tcW w:w="1705" w:type="dxa"/>
          </w:tcPr>
          <w:p w14:paraId="4BFF5413" w14:textId="25D81137" w:rsidR="00F25518" w:rsidRPr="0089284A" w:rsidRDefault="00F25518" w:rsidP="003D71E3">
            <w:pPr>
              <w:rPr>
                <w:b/>
                <w:bCs/>
                <w:sz w:val="20"/>
                <w:szCs w:val="20"/>
                <w:shd w:val="clear" w:color="auto" w:fill="FFFFFF"/>
              </w:rPr>
            </w:pPr>
            <w:r w:rsidRPr="0089284A">
              <w:rPr>
                <w:b/>
                <w:bCs/>
                <w:sz w:val="20"/>
                <w:szCs w:val="20"/>
                <w:shd w:val="clear" w:color="auto" w:fill="FFFFFF"/>
              </w:rPr>
              <w:t>Accessibility by Bike vs. Car</w:t>
            </w:r>
          </w:p>
        </w:tc>
        <w:tc>
          <w:tcPr>
            <w:tcW w:w="1080" w:type="dxa"/>
          </w:tcPr>
          <w:p w14:paraId="1D493372" w14:textId="19D9EE88" w:rsidR="00F25518" w:rsidRPr="0089284A" w:rsidRDefault="00F25518" w:rsidP="003D71E3">
            <w:pPr>
              <w:jc w:val="center"/>
              <w:rPr>
                <w:sz w:val="20"/>
                <w:szCs w:val="20"/>
                <w:shd w:val="clear" w:color="auto" w:fill="FFFFFF"/>
              </w:rPr>
            </w:pPr>
            <w:r w:rsidRPr="0089284A">
              <w:rPr>
                <w:sz w:val="20"/>
                <w:szCs w:val="20"/>
                <w:shd w:val="clear" w:color="auto" w:fill="FFFFFF"/>
              </w:rPr>
              <w:t>20</w:t>
            </w:r>
          </w:p>
        </w:tc>
        <w:tc>
          <w:tcPr>
            <w:tcW w:w="6565" w:type="dxa"/>
          </w:tcPr>
          <w:tbl>
            <w:tblPr>
              <w:tblStyle w:val="TableGrid"/>
              <w:tblW w:w="653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13"/>
              <w:gridCol w:w="656"/>
              <w:gridCol w:w="3766"/>
            </w:tblGrid>
            <w:tr w:rsidR="009734FB" w:rsidRPr="0089284A" w14:paraId="564C3CD9" w14:textId="77777777" w:rsidTr="008D1751">
              <w:tc>
                <w:tcPr>
                  <w:tcW w:w="2113" w:type="dxa"/>
                </w:tcPr>
                <w:p w14:paraId="264745CF" w14:textId="47721573" w:rsidR="009734FB" w:rsidRPr="0089284A" w:rsidRDefault="009734FB" w:rsidP="009734FB">
                  <w:pPr>
                    <w:rPr>
                      <w:sz w:val="20"/>
                      <w:szCs w:val="20"/>
                      <w:shd w:val="clear" w:color="auto" w:fill="FFFFFF"/>
                    </w:rPr>
                  </w:pPr>
                  <w:r w:rsidRPr="0089284A">
                    <w:rPr>
                      <w:sz w:val="20"/>
                      <w:szCs w:val="20"/>
                      <w:shd w:val="clear" w:color="auto" w:fill="FFFFFF"/>
                    </w:rPr>
                    <w:t xml:space="preserve">% </w:t>
                  </w:r>
                  <w:r w:rsidRPr="0089284A">
                    <w:rPr>
                      <w:sz w:val="20"/>
                      <w:szCs w:val="20"/>
                      <w:shd w:val="clear" w:color="auto" w:fill="FFFFFF"/>
                    </w:rPr>
                    <w:t>Within 10-minute Commute</w:t>
                  </w:r>
                </w:p>
              </w:tc>
              <w:tc>
                <w:tcPr>
                  <w:tcW w:w="656" w:type="dxa"/>
                </w:tcPr>
                <w:p w14:paraId="174DEBD8" w14:textId="0963E406" w:rsidR="009734FB" w:rsidRPr="0089284A" w:rsidRDefault="009734FB" w:rsidP="003D71E3">
                  <w:pPr>
                    <w:jc w:val="center"/>
                    <w:rPr>
                      <w:sz w:val="20"/>
                      <w:szCs w:val="20"/>
                      <w:shd w:val="clear" w:color="auto" w:fill="FFFFFF"/>
                    </w:rPr>
                  </w:pPr>
                  <w:r w:rsidRPr="0089284A">
                    <w:rPr>
                      <w:sz w:val="20"/>
                      <w:szCs w:val="20"/>
                      <w:shd w:val="clear" w:color="auto" w:fill="FFFFFF"/>
                    </w:rPr>
                    <w:t>1</w:t>
                  </w:r>
                  <w:r w:rsidRPr="0089284A">
                    <w:rPr>
                      <w:sz w:val="20"/>
                      <w:szCs w:val="20"/>
                      <w:shd w:val="clear" w:color="auto" w:fill="FFFFFF"/>
                    </w:rPr>
                    <w:t>5</w:t>
                  </w:r>
                </w:p>
              </w:tc>
              <w:tc>
                <w:tcPr>
                  <w:tcW w:w="3766" w:type="dxa"/>
                </w:tcPr>
                <w:p w14:paraId="235D888D" w14:textId="5E1A8198" w:rsidR="009734FB" w:rsidRPr="0089284A" w:rsidRDefault="009734FB" w:rsidP="009734FB">
                  <w:pPr>
                    <w:rPr>
                      <w:sz w:val="20"/>
                      <w:szCs w:val="20"/>
                      <w:shd w:val="clear" w:color="auto" w:fill="FFFFFF"/>
                    </w:rPr>
                  </w:pPr>
                  <w:r w:rsidRPr="0089284A">
                    <w:rPr>
                      <w:sz w:val="20"/>
                      <w:szCs w:val="20"/>
                      <w:shd w:val="clear" w:color="auto" w:fill="FFFFFF"/>
                    </w:rPr>
                    <w:t xml:space="preserve">1 point assigned for every </w:t>
                  </w:r>
                  <w:r w:rsidR="0089284A" w:rsidRPr="0089284A">
                    <w:rPr>
                      <w:sz w:val="20"/>
                      <w:szCs w:val="20"/>
                      <w:shd w:val="clear" w:color="auto" w:fill="FFFFFF"/>
                    </w:rPr>
                    <w:t>2</w:t>
                  </w:r>
                  <w:r w:rsidRPr="0089284A">
                    <w:rPr>
                      <w:sz w:val="20"/>
                      <w:szCs w:val="20"/>
                      <w:shd w:val="clear" w:color="auto" w:fill="FFFFFF"/>
                    </w:rPr>
                    <w:t xml:space="preserve">% of the population </w:t>
                  </w:r>
                  <w:r w:rsidR="0089284A" w:rsidRPr="0089284A">
                    <w:rPr>
                      <w:sz w:val="20"/>
                      <w:szCs w:val="20"/>
                      <w:shd w:val="clear" w:color="auto" w:fill="FFFFFF"/>
                    </w:rPr>
                    <w:t>within a 10-minute commute</w:t>
                  </w:r>
                  <w:r w:rsidRPr="0089284A">
                    <w:rPr>
                      <w:sz w:val="20"/>
                      <w:szCs w:val="20"/>
                      <w:shd w:val="clear" w:color="auto" w:fill="FFFFFF"/>
                    </w:rPr>
                    <w:t xml:space="preserve"> (Areas with &gt;</w:t>
                  </w:r>
                  <w:r w:rsidR="0089284A" w:rsidRPr="0089284A">
                    <w:rPr>
                      <w:sz w:val="20"/>
                      <w:szCs w:val="20"/>
                      <w:shd w:val="clear" w:color="auto" w:fill="FFFFFF"/>
                    </w:rPr>
                    <w:t>3</w:t>
                  </w:r>
                  <w:r w:rsidRPr="0089284A">
                    <w:rPr>
                      <w:sz w:val="20"/>
                      <w:szCs w:val="20"/>
                      <w:shd w:val="clear" w:color="auto" w:fill="FFFFFF"/>
                    </w:rPr>
                    <w:t>0% wit</w:t>
                  </w:r>
                  <w:r w:rsidR="0089284A" w:rsidRPr="0089284A">
                    <w:rPr>
                      <w:sz w:val="20"/>
                      <w:szCs w:val="20"/>
                      <w:shd w:val="clear" w:color="auto" w:fill="FFFFFF"/>
                    </w:rPr>
                    <w:t>hin 10-minute commute</w:t>
                  </w:r>
                  <w:r w:rsidRPr="0089284A">
                    <w:rPr>
                      <w:sz w:val="20"/>
                      <w:szCs w:val="20"/>
                      <w:shd w:val="clear" w:color="auto" w:fill="FFFFFF"/>
                    </w:rPr>
                    <w:t xml:space="preserve"> </w:t>
                  </w:r>
                  <w:r w:rsidR="0089284A" w:rsidRPr="0089284A">
                    <w:rPr>
                      <w:sz w:val="20"/>
                      <w:szCs w:val="20"/>
                      <w:shd w:val="clear" w:color="auto" w:fill="FFFFFF"/>
                    </w:rPr>
                    <w:t xml:space="preserve">receive </w:t>
                  </w:r>
                  <w:r w:rsidRPr="0089284A">
                    <w:rPr>
                      <w:sz w:val="20"/>
                      <w:szCs w:val="20"/>
                      <w:shd w:val="clear" w:color="auto" w:fill="FFFFFF"/>
                    </w:rPr>
                    <w:t>1</w:t>
                  </w:r>
                  <w:r w:rsidR="0089284A" w:rsidRPr="0089284A">
                    <w:rPr>
                      <w:sz w:val="20"/>
                      <w:szCs w:val="20"/>
                      <w:shd w:val="clear" w:color="auto" w:fill="FFFFFF"/>
                    </w:rPr>
                    <w:t>5</w:t>
                  </w:r>
                  <w:r w:rsidRPr="0089284A">
                    <w:rPr>
                      <w:sz w:val="20"/>
                      <w:szCs w:val="20"/>
                      <w:shd w:val="clear" w:color="auto" w:fill="FFFFFF"/>
                    </w:rPr>
                    <w:t xml:space="preserve"> points)</w:t>
                  </w:r>
                </w:p>
              </w:tc>
            </w:tr>
            <w:tr w:rsidR="009734FB" w:rsidRPr="0089284A" w14:paraId="061F9094" w14:textId="77777777" w:rsidTr="008D1751">
              <w:trPr>
                <w:trHeight w:val="863"/>
              </w:trPr>
              <w:tc>
                <w:tcPr>
                  <w:tcW w:w="2113" w:type="dxa"/>
                </w:tcPr>
                <w:p w14:paraId="45C73071" w14:textId="27F6F915" w:rsidR="009734FB" w:rsidRPr="0089284A" w:rsidRDefault="009734FB" w:rsidP="009734FB">
                  <w:pPr>
                    <w:rPr>
                      <w:sz w:val="20"/>
                      <w:szCs w:val="20"/>
                      <w:shd w:val="clear" w:color="auto" w:fill="FFFFFF"/>
                    </w:rPr>
                  </w:pPr>
                  <w:r w:rsidRPr="0089284A">
                    <w:rPr>
                      <w:sz w:val="20"/>
                      <w:szCs w:val="20"/>
                      <w:shd w:val="clear" w:color="auto" w:fill="FFFFFF"/>
                    </w:rPr>
                    <w:t xml:space="preserve">% </w:t>
                  </w:r>
                  <w:r w:rsidRPr="0089284A">
                    <w:rPr>
                      <w:sz w:val="20"/>
                      <w:szCs w:val="20"/>
                      <w:shd w:val="clear" w:color="auto" w:fill="FFFFFF"/>
                    </w:rPr>
                    <w:t>Within 10-14-minute Commute</w:t>
                  </w:r>
                </w:p>
              </w:tc>
              <w:tc>
                <w:tcPr>
                  <w:tcW w:w="656" w:type="dxa"/>
                </w:tcPr>
                <w:p w14:paraId="059A3034" w14:textId="711071F3" w:rsidR="009734FB" w:rsidRPr="0089284A" w:rsidRDefault="009734FB" w:rsidP="003D71E3">
                  <w:pPr>
                    <w:jc w:val="center"/>
                    <w:rPr>
                      <w:sz w:val="20"/>
                      <w:szCs w:val="20"/>
                      <w:shd w:val="clear" w:color="auto" w:fill="FFFFFF"/>
                    </w:rPr>
                  </w:pPr>
                  <w:r w:rsidRPr="0089284A">
                    <w:rPr>
                      <w:sz w:val="20"/>
                      <w:szCs w:val="20"/>
                      <w:shd w:val="clear" w:color="auto" w:fill="FFFFFF"/>
                    </w:rPr>
                    <w:t>5</w:t>
                  </w:r>
                </w:p>
              </w:tc>
              <w:tc>
                <w:tcPr>
                  <w:tcW w:w="3766" w:type="dxa"/>
                </w:tcPr>
                <w:p w14:paraId="0737E381" w14:textId="0267AD6A" w:rsidR="009734FB" w:rsidRPr="0089284A" w:rsidRDefault="0089284A" w:rsidP="009734FB">
                  <w:pPr>
                    <w:rPr>
                      <w:sz w:val="20"/>
                      <w:szCs w:val="20"/>
                      <w:shd w:val="clear" w:color="auto" w:fill="FFFFFF"/>
                    </w:rPr>
                  </w:pPr>
                  <w:r w:rsidRPr="0089284A">
                    <w:rPr>
                      <w:sz w:val="20"/>
                      <w:szCs w:val="20"/>
                      <w:shd w:val="clear" w:color="auto" w:fill="FFFFFF"/>
                    </w:rPr>
                    <w:t xml:space="preserve">1 point assigned for every </w:t>
                  </w:r>
                  <w:r w:rsidRPr="0089284A">
                    <w:rPr>
                      <w:sz w:val="20"/>
                      <w:szCs w:val="20"/>
                      <w:shd w:val="clear" w:color="auto" w:fill="FFFFFF"/>
                    </w:rPr>
                    <w:t>10</w:t>
                  </w:r>
                  <w:r w:rsidRPr="0089284A">
                    <w:rPr>
                      <w:sz w:val="20"/>
                      <w:szCs w:val="20"/>
                      <w:shd w:val="clear" w:color="auto" w:fill="FFFFFF"/>
                    </w:rPr>
                    <w:t xml:space="preserve">% of the population within a </w:t>
                  </w:r>
                  <w:r w:rsidRPr="0089284A">
                    <w:rPr>
                      <w:sz w:val="20"/>
                      <w:szCs w:val="20"/>
                      <w:shd w:val="clear" w:color="auto" w:fill="FFFFFF"/>
                    </w:rPr>
                    <w:t>10-14</w:t>
                  </w:r>
                  <w:r w:rsidRPr="0089284A">
                    <w:rPr>
                      <w:sz w:val="20"/>
                      <w:szCs w:val="20"/>
                      <w:shd w:val="clear" w:color="auto" w:fill="FFFFFF"/>
                    </w:rPr>
                    <w:t>-minute commute (Areas with &gt;</w:t>
                  </w:r>
                  <w:r w:rsidRPr="0089284A">
                    <w:rPr>
                      <w:sz w:val="20"/>
                      <w:szCs w:val="20"/>
                      <w:shd w:val="clear" w:color="auto" w:fill="FFFFFF"/>
                    </w:rPr>
                    <w:t>5</w:t>
                  </w:r>
                  <w:r w:rsidRPr="0089284A">
                    <w:rPr>
                      <w:sz w:val="20"/>
                      <w:szCs w:val="20"/>
                      <w:shd w:val="clear" w:color="auto" w:fill="FFFFFF"/>
                    </w:rPr>
                    <w:t>0% within 10</w:t>
                  </w:r>
                  <w:r w:rsidRPr="0089284A">
                    <w:rPr>
                      <w:sz w:val="20"/>
                      <w:szCs w:val="20"/>
                      <w:shd w:val="clear" w:color="auto" w:fill="FFFFFF"/>
                    </w:rPr>
                    <w:t>-14</w:t>
                  </w:r>
                  <w:r w:rsidRPr="0089284A">
                    <w:rPr>
                      <w:sz w:val="20"/>
                      <w:szCs w:val="20"/>
                      <w:shd w:val="clear" w:color="auto" w:fill="FFFFFF"/>
                    </w:rPr>
                    <w:t>-minute commute receive 5 points)</w:t>
                  </w:r>
                </w:p>
              </w:tc>
            </w:tr>
          </w:tbl>
          <w:p w14:paraId="1C476E63" w14:textId="7C716BF3" w:rsidR="00F25518" w:rsidRPr="0089284A" w:rsidRDefault="00F25518" w:rsidP="00F8700F">
            <w:pPr>
              <w:rPr>
                <w:sz w:val="20"/>
                <w:szCs w:val="20"/>
                <w:shd w:val="clear" w:color="auto" w:fill="FFFFFF"/>
              </w:rPr>
            </w:pPr>
          </w:p>
        </w:tc>
      </w:tr>
      <w:tr w:rsidR="00F25518" w:rsidRPr="0089284A" w14:paraId="3598BA01" w14:textId="77777777" w:rsidTr="00F25518">
        <w:tc>
          <w:tcPr>
            <w:tcW w:w="1705" w:type="dxa"/>
          </w:tcPr>
          <w:p w14:paraId="10DBF464" w14:textId="7BAA0D5A" w:rsidR="00F25518" w:rsidRPr="0089284A" w:rsidRDefault="00F25518" w:rsidP="003D71E3">
            <w:pPr>
              <w:rPr>
                <w:b/>
                <w:bCs/>
                <w:sz w:val="20"/>
                <w:szCs w:val="20"/>
                <w:shd w:val="clear" w:color="auto" w:fill="FFFFFF"/>
              </w:rPr>
            </w:pPr>
            <w:r w:rsidRPr="0089284A">
              <w:rPr>
                <w:b/>
                <w:bCs/>
                <w:sz w:val="20"/>
                <w:szCs w:val="20"/>
                <w:shd w:val="clear" w:color="auto" w:fill="FFFFFF"/>
              </w:rPr>
              <w:t>General Demand</w:t>
            </w:r>
          </w:p>
        </w:tc>
        <w:tc>
          <w:tcPr>
            <w:tcW w:w="1080" w:type="dxa"/>
          </w:tcPr>
          <w:p w14:paraId="613B6D94" w14:textId="37DAFB2B" w:rsidR="00F25518" w:rsidRPr="0089284A" w:rsidRDefault="00F25518" w:rsidP="003D71E3">
            <w:pPr>
              <w:jc w:val="center"/>
              <w:rPr>
                <w:sz w:val="20"/>
                <w:szCs w:val="20"/>
                <w:shd w:val="clear" w:color="auto" w:fill="FFFFFF"/>
              </w:rPr>
            </w:pPr>
            <w:r w:rsidRPr="0089284A">
              <w:rPr>
                <w:sz w:val="20"/>
                <w:szCs w:val="20"/>
                <w:shd w:val="clear" w:color="auto" w:fill="FFFFFF"/>
              </w:rPr>
              <w:t>20</w:t>
            </w:r>
          </w:p>
        </w:tc>
        <w:tc>
          <w:tcPr>
            <w:tcW w:w="6565" w:type="dxa"/>
          </w:tcPr>
          <w:tbl>
            <w:tblPr>
              <w:tblStyle w:val="TableGrid"/>
              <w:tblW w:w="653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113"/>
              <w:gridCol w:w="656"/>
              <w:gridCol w:w="3766"/>
            </w:tblGrid>
            <w:tr w:rsidR="0089284A" w:rsidRPr="0089284A" w14:paraId="2CFBD398" w14:textId="77777777" w:rsidTr="008D1751">
              <w:tc>
                <w:tcPr>
                  <w:tcW w:w="2113" w:type="dxa"/>
                </w:tcPr>
                <w:p w14:paraId="37617809" w14:textId="32E35D89" w:rsidR="0089284A" w:rsidRPr="0089284A" w:rsidRDefault="0089284A" w:rsidP="0089284A">
                  <w:pPr>
                    <w:rPr>
                      <w:sz w:val="20"/>
                      <w:szCs w:val="20"/>
                      <w:shd w:val="clear" w:color="auto" w:fill="FFFFFF"/>
                    </w:rPr>
                  </w:pPr>
                  <w:r w:rsidRPr="0089284A">
                    <w:rPr>
                      <w:sz w:val="20"/>
                      <w:szCs w:val="20"/>
                      <w:shd w:val="clear" w:color="auto" w:fill="FFFFFF"/>
                    </w:rPr>
                    <w:t>Residence Demand</w:t>
                  </w:r>
                </w:p>
              </w:tc>
              <w:tc>
                <w:tcPr>
                  <w:tcW w:w="656" w:type="dxa"/>
                </w:tcPr>
                <w:p w14:paraId="3146CE08" w14:textId="3E767D8A" w:rsidR="0089284A" w:rsidRPr="0089284A" w:rsidRDefault="0089284A" w:rsidP="003D71E3">
                  <w:pPr>
                    <w:jc w:val="center"/>
                    <w:rPr>
                      <w:sz w:val="20"/>
                      <w:szCs w:val="20"/>
                      <w:shd w:val="clear" w:color="auto" w:fill="FFFFFF"/>
                    </w:rPr>
                  </w:pPr>
                  <w:r w:rsidRPr="0089284A">
                    <w:rPr>
                      <w:sz w:val="20"/>
                      <w:szCs w:val="20"/>
                      <w:shd w:val="clear" w:color="auto" w:fill="FFFFFF"/>
                    </w:rPr>
                    <w:t>10</w:t>
                  </w:r>
                </w:p>
              </w:tc>
              <w:tc>
                <w:tcPr>
                  <w:tcW w:w="3766" w:type="dxa"/>
                </w:tcPr>
                <w:p w14:paraId="045ADDCE" w14:textId="402F548A" w:rsidR="0089284A" w:rsidRPr="0089284A" w:rsidRDefault="0089284A" w:rsidP="0089284A">
                  <w:pPr>
                    <w:rPr>
                      <w:sz w:val="20"/>
                      <w:szCs w:val="20"/>
                    </w:rPr>
                  </w:pPr>
                  <w:r w:rsidRPr="0089284A">
                    <w:rPr>
                      <w:sz w:val="20"/>
                      <w:szCs w:val="20"/>
                      <w:shd w:val="clear" w:color="auto" w:fill="FFFFFF"/>
                    </w:rPr>
                    <w:t>Population density by census</w:t>
                  </w:r>
                  <w:r w:rsidRPr="0089284A">
                    <w:rPr>
                      <w:sz w:val="20"/>
                      <w:szCs w:val="20"/>
                      <w:shd w:val="clear" w:color="auto" w:fill="FFFFFF"/>
                    </w:rPr>
                    <w:t xml:space="preserve"> </w:t>
                  </w:r>
                  <w:r w:rsidRPr="0089284A">
                    <w:rPr>
                      <w:sz w:val="20"/>
                      <w:szCs w:val="20"/>
                      <w:shd w:val="clear" w:color="auto" w:fill="FFFFFF"/>
                    </w:rPr>
                    <w:t>block. Census blocks will be assigned scores based on which quartile they are in</w:t>
                  </w:r>
                  <w:r w:rsidRPr="0089284A">
                    <w:rPr>
                      <w:sz w:val="20"/>
                      <w:szCs w:val="20"/>
                      <w:shd w:val="clear" w:color="auto" w:fill="FFFFFF"/>
                    </w:rPr>
                    <w:t>. E</w:t>
                  </w:r>
                  <w:r w:rsidRPr="0089284A">
                    <w:rPr>
                      <w:sz w:val="20"/>
                      <w:szCs w:val="20"/>
                      <w:shd w:val="clear" w:color="auto" w:fill="FFFFFF"/>
                    </w:rPr>
                    <w:t xml:space="preserve">ach quartile will be assigned </w:t>
                  </w:r>
                  <w:r w:rsidRPr="0089284A">
                    <w:rPr>
                      <w:sz w:val="20"/>
                      <w:szCs w:val="20"/>
                      <w:shd w:val="clear" w:color="auto" w:fill="FFFFFF"/>
                    </w:rPr>
                    <w:t>2.</w:t>
                  </w:r>
                  <w:r w:rsidRPr="0089284A">
                    <w:rPr>
                      <w:sz w:val="20"/>
                      <w:szCs w:val="20"/>
                      <w:shd w:val="clear" w:color="auto" w:fill="FFFFFF"/>
                    </w:rPr>
                    <w:t xml:space="preserve">5, </w:t>
                  </w:r>
                  <w:r w:rsidRPr="0089284A">
                    <w:rPr>
                      <w:sz w:val="20"/>
                      <w:szCs w:val="20"/>
                      <w:shd w:val="clear" w:color="auto" w:fill="FFFFFF"/>
                    </w:rPr>
                    <w:t>5</w:t>
                  </w:r>
                  <w:r w:rsidRPr="0089284A">
                    <w:rPr>
                      <w:sz w:val="20"/>
                      <w:szCs w:val="20"/>
                      <w:shd w:val="clear" w:color="auto" w:fill="FFFFFF"/>
                    </w:rPr>
                    <w:t xml:space="preserve">, </w:t>
                  </w:r>
                  <w:r w:rsidRPr="0089284A">
                    <w:rPr>
                      <w:sz w:val="20"/>
                      <w:szCs w:val="20"/>
                      <w:shd w:val="clear" w:color="auto" w:fill="FFFFFF"/>
                    </w:rPr>
                    <w:t>7.5</w:t>
                  </w:r>
                  <w:r w:rsidRPr="0089284A">
                    <w:rPr>
                      <w:sz w:val="20"/>
                      <w:szCs w:val="20"/>
                      <w:shd w:val="clear" w:color="auto" w:fill="FFFFFF"/>
                    </w:rPr>
                    <w:t xml:space="preserve">, or </w:t>
                  </w:r>
                  <w:r w:rsidRPr="0089284A">
                    <w:rPr>
                      <w:sz w:val="20"/>
                      <w:szCs w:val="20"/>
                      <w:shd w:val="clear" w:color="auto" w:fill="FFFFFF"/>
                    </w:rPr>
                    <w:t>1</w:t>
                  </w:r>
                  <w:r w:rsidRPr="0089284A">
                    <w:rPr>
                      <w:sz w:val="20"/>
                      <w:szCs w:val="20"/>
                      <w:shd w:val="clear" w:color="auto" w:fill="FFFFFF"/>
                    </w:rPr>
                    <w:t>0 points, with the 4</w:t>
                  </w:r>
                  <w:r w:rsidRPr="0089284A">
                    <w:rPr>
                      <w:sz w:val="20"/>
                      <w:szCs w:val="20"/>
                      <w:shd w:val="clear" w:color="auto" w:fill="FFFFFF"/>
                      <w:vertAlign w:val="superscript"/>
                    </w:rPr>
                    <w:t>th</w:t>
                  </w:r>
                  <w:r w:rsidRPr="0089284A">
                    <w:rPr>
                      <w:sz w:val="20"/>
                      <w:szCs w:val="20"/>
                      <w:shd w:val="clear" w:color="auto" w:fill="FFFFFF"/>
                    </w:rPr>
                    <w:t xml:space="preserve"> </w:t>
                  </w:r>
                  <w:r w:rsidRPr="0089284A">
                    <w:rPr>
                      <w:sz w:val="20"/>
                      <w:szCs w:val="20"/>
                      <w:shd w:val="clear" w:color="auto" w:fill="FFFFFF"/>
                    </w:rPr>
                    <w:t xml:space="preserve">quartile receiving </w:t>
                  </w:r>
                  <w:r w:rsidRPr="0089284A">
                    <w:rPr>
                      <w:sz w:val="20"/>
                      <w:szCs w:val="20"/>
                      <w:shd w:val="clear" w:color="auto" w:fill="FFFFFF"/>
                    </w:rPr>
                    <w:t>1</w:t>
                  </w:r>
                  <w:r w:rsidRPr="0089284A">
                    <w:rPr>
                      <w:sz w:val="20"/>
                      <w:szCs w:val="20"/>
                      <w:shd w:val="clear" w:color="auto" w:fill="FFFFFF"/>
                    </w:rPr>
                    <w:t>0/</w:t>
                  </w:r>
                  <w:r w:rsidRPr="0089284A">
                    <w:rPr>
                      <w:sz w:val="20"/>
                      <w:szCs w:val="20"/>
                      <w:shd w:val="clear" w:color="auto" w:fill="FFFFFF"/>
                    </w:rPr>
                    <w:t>1</w:t>
                  </w:r>
                  <w:r w:rsidRPr="0089284A">
                    <w:rPr>
                      <w:sz w:val="20"/>
                      <w:szCs w:val="20"/>
                      <w:shd w:val="clear" w:color="auto" w:fill="FFFFFF"/>
                    </w:rPr>
                    <w:t>0.</w:t>
                  </w:r>
                </w:p>
              </w:tc>
            </w:tr>
            <w:tr w:rsidR="0089284A" w:rsidRPr="0089284A" w14:paraId="1678E415" w14:textId="77777777" w:rsidTr="008D1751">
              <w:trPr>
                <w:trHeight w:val="863"/>
              </w:trPr>
              <w:tc>
                <w:tcPr>
                  <w:tcW w:w="2113" w:type="dxa"/>
                </w:tcPr>
                <w:p w14:paraId="53F14B0E" w14:textId="5EE8D0DC" w:rsidR="0089284A" w:rsidRPr="0089284A" w:rsidRDefault="0089284A" w:rsidP="0089284A">
                  <w:pPr>
                    <w:rPr>
                      <w:sz w:val="20"/>
                      <w:szCs w:val="20"/>
                      <w:shd w:val="clear" w:color="auto" w:fill="FFFFFF"/>
                    </w:rPr>
                  </w:pPr>
                  <w:r w:rsidRPr="0089284A">
                    <w:rPr>
                      <w:sz w:val="20"/>
                      <w:szCs w:val="20"/>
                      <w:shd w:val="clear" w:color="auto" w:fill="FFFFFF"/>
                    </w:rPr>
                    <w:t>Workplace Demand</w:t>
                  </w:r>
                </w:p>
              </w:tc>
              <w:tc>
                <w:tcPr>
                  <w:tcW w:w="656" w:type="dxa"/>
                </w:tcPr>
                <w:p w14:paraId="6AD933F2" w14:textId="4C6F2807" w:rsidR="0089284A" w:rsidRPr="0089284A" w:rsidRDefault="0089284A" w:rsidP="003D71E3">
                  <w:pPr>
                    <w:jc w:val="center"/>
                    <w:rPr>
                      <w:sz w:val="20"/>
                      <w:szCs w:val="20"/>
                      <w:shd w:val="clear" w:color="auto" w:fill="FFFFFF"/>
                    </w:rPr>
                  </w:pPr>
                  <w:r w:rsidRPr="0089284A">
                    <w:rPr>
                      <w:sz w:val="20"/>
                      <w:szCs w:val="20"/>
                      <w:shd w:val="clear" w:color="auto" w:fill="FFFFFF"/>
                    </w:rPr>
                    <w:t>10</w:t>
                  </w:r>
                </w:p>
              </w:tc>
              <w:tc>
                <w:tcPr>
                  <w:tcW w:w="3766" w:type="dxa"/>
                </w:tcPr>
                <w:p w14:paraId="29AABF48" w14:textId="76A75032" w:rsidR="0089284A" w:rsidRPr="0089284A" w:rsidRDefault="0089284A" w:rsidP="0089284A">
                  <w:pPr>
                    <w:rPr>
                      <w:sz w:val="20"/>
                      <w:szCs w:val="20"/>
                      <w:shd w:val="clear" w:color="auto" w:fill="FFFFFF"/>
                    </w:rPr>
                  </w:pPr>
                  <w:r w:rsidRPr="0089284A">
                    <w:rPr>
                      <w:sz w:val="20"/>
                      <w:szCs w:val="20"/>
                      <w:shd w:val="clear" w:color="auto" w:fill="FFFFFF"/>
                    </w:rPr>
                    <w:t>Employment location</w:t>
                  </w:r>
                  <w:r w:rsidRPr="0089284A">
                    <w:rPr>
                      <w:sz w:val="20"/>
                      <w:szCs w:val="20"/>
                      <w:shd w:val="clear" w:color="auto" w:fill="FFFFFF"/>
                    </w:rPr>
                    <w:t xml:space="preserve"> density by census block. Census blocks will be assigned scores based on which quartile they are in. Each quartile will be assigned 2.5, 5, 7.5, or 10 points, with the 4</w:t>
                  </w:r>
                  <w:r w:rsidRPr="0089284A">
                    <w:rPr>
                      <w:sz w:val="20"/>
                      <w:szCs w:val="20"/>
                      <w:shd w:val="clear" w:color="auto" w:fill="FFFFFF"/>
                      <w:vertAlign w:val="superscript"/>
                    </w:rPr>
                    <w:t>th</w:t>
                  </w:r>
                  <w:r w:rsidRPr="0089284A">
                    <w:rPr>
                      <w:sz w:val="20"/>
                      <w:szCs w:val="20"/>
                      <w:shd w:val="clear" w:color="auto" w:fill="FFFFFF"/>
                    </w:rPr>
                    <w:t xml:space="preserve"> quartile receiving 10/10.</w:t>
                  </w:r>
                </w:p>
              </w:tc>
            </w:tr>
            <w:tr w:rsidR="0089284A" w:rsidRPr="0089284A" w14:paraId="3EFDAB28" w14:textId="77777777" w:rsidTr="008D1751">
              <w:trPr>
                <w:trHeight w:val="863"/>
              </w:trPr>
              <w:tc>
                <w:tcPr>
                  <w:tcW w:w="2113" w:type="dxa"/>
                </w:tcPr>
                <w:p w14:paraId="618B93ED" w14:textId="2D1A14FD" w:rsidR="0089284A" w:rsidRPr="0089284A" w:rsidRDefault="0089284A" w:rsidP="0089284A">
                  <w:pPr>
                    <w:rPr>
                      <w:sz w:val="20"/>
                      <w:szCs w:val="20"/>
                      <w:shd w:val="clear" w:color="auto" w:fill="FFFFFF"/>
                    </w:rPr>
                  </w:pPr>
                  <w:r w:rsidRPr="0089284A">
                    <w:rPr>
                      <w:sz w:val="20"/>
                      <w:szCs w:val="20"/>
                      <w:shd w:val="clear" w:color="auto" w:fill="FFFFFF"/>
                    </w:rPr>
                    <w:t>Proximity to Bus Stops</w:t>
                  </w:r>
                </w:p>
              </w:tc>
              <w:tc>
                <w:tcPr>
                  <w:tcW w:w="656" w:type="dxa"/>
                </w:tcPr>
                <w:p w14:paraId="42B6E8AD" w14:textId="6D567D89" w:rsidR="0089284A" w:rsidRPr="0089284A" w:rsidRDefault="0089284A" w:rsidP="003D71E3">
                  <w:pPr>
                    <w:jc w:val="center"/>
                    <w:rPr>
                      <w:sz w:val="20"/>
                      <w:szCs w:val="20"/>
                      <w:shd w:val="clear" w:color="auto" w:fill="FFFFFF"/>
                    </w:rPr>
                  </w:pPr>
                  <w:r w:rsidRPr="0089284A">
                    <w:rPr>
                      <w:sz w:val="20"/>
                      <w:szCs w:val="20"/>
                      <w:shd w:val="clear" w:color="auto" w:fill="FFFFFF"/>
                    </w:rPr>
                    <w:t>10</w:t>
                  </w:r>
                </w:p>
              </w:tc>
              <w:tc>
                <w:tcPr>
                  <w:tcW w:w="3766" w:type="dxa"/>
                </w:tcPr>
                <w:p w14:paraId="7E091F2B" w14:textId="3A84FF86" w:rsidR="0089284A" w:rsidRPr="0089284A" w:rsidRDefault="0089284A" w:rsidP="0089284A">
                  <w:pPr>
                    <w:rPr>
                      <w:sz w:val="20"/>
                      <w:szCs w:val="20"/>
                    </w:rPr>
                  </w:pPr>
                  <w:r w:rsidRPr="0089284A">
                    <w:rPr>
                      <w:sz w:val="20"/>
                      <w:szCs w:val="20"/>
                      <w:shd w:val="clear" w:color="auto" w:fill="FFFFFF"/>
                    </w:rPr>
                    <w:t xml:space="preserve">Locations within </w:t>
                  </w:r>
                  <w:r w:rsidRPr="0089284A">
                    <w:rPr>
                      <w:sz w:val="20"/>
                      <w:szCs w:val="20"/>
                      <w:shd w:val="clear" w:color="auto" w:fill="FFFFFF"/>
                    </w:rPr>
                    <w:t xml:space="preserve">1 </w:t>
                  </w:r>
                  <w:r w:rsidRPr="0089284A">
                    <w:rPr>
                      <w:sz w:val="20"/>
                      <w:szCs w:val="20"/>
                      <w:shd w:val="clear" w:color="auto" w:fill="FFFFFF"/>
                    </w:rPr>
                    <w:t>mile of bus stops</w:t>
                  </w:r>
                  <w:r w:rsidRPr="0089284A">
                    <w:rPr>
                      <w:sz w:val="20"/>
                      <w:szCs w:val="20"/>
                      <w:shd w:val="clear" w:color="auto" w:fill="FFFFFF"/>
                    </w:rPr>
                    <w:t xml:space="preserve"> </w:t>
                  </w:r>
                  <w:r w:rsidRPr="0089284A">
                    <w:rPr>
                      <w:sz w:val="20"/>
                      <w:szCs w:val="20"/>
                      <w:shd w:val="clear" w:color="auto" w:fill="FFFFFF"/>
                    </w:rPr>
                    <w:t xml:space="preserve">will receive 5 points, locations within </w:t>
                  </w:r>
                  <w:r w:rsidRPr="0089284A">
                    <w:rPr>
                      <w:sz w:val="20"/>
                      <w:szCs w:val="20"/>
                      <w:shd w:val="clear" w:color="auto" w:fill="FFFFFF"/>
                    </w:rPr>
                    <w:t xml:space="preserve">1/2 </w:t>
                  </w:r>
                  <w:r w:rsidRPr="0089284A">
                    <w:rPr>
                      <w:sz w:val="20"/>
                      <w:szCs w:val="20"/>
                      <w:shd w:val="clear" w:color="auto" w:fill="FFFFFF"/>
                    </w:rPr>
                    <w:t>mile will receive 10 points</w:t>
                  </w:r>
                  <w:r w:rsidRPr="0089284A">
                    <w:rPr>
                      <w:sz w:val="20"/>
                      <w:szCs w:val="20"/>
                      <w:shd w:val="clear" w:color="auto" w:fill="FFFFFF"/>
                    </w:rPr>
                    <w:t>.</w:t>
                  </w:r>
                </w:p>
              </w:tc>
            </w:tr>
            <w:tr w:rsidR="0089284A" w:rsidRPr="0089284A" w14:paraId="27507CF2" w14:textId="77777777" w:rsidTr="008D1751">
              <w:trPr>
                <w:trHeight w:val="863"/>
              </w:trPr>
              <w:tc>
                <w:tcPr>
                  <w:tcW w:w="2113" w:type="dxa"/>
                </w:tcPr>
                <w:p w14:paraId="1CA1EDC4" w14:textId="6B6B21EF" w:rsidR="0089284A" w:rsidRPr="0089284A" w:rsidRDefault="0089284A" w:rsidP="0089284A">
                  <w:pPr>
                    <w:rPr>
                      <w:sz w:val="20"/>
                      <w:szCs w:val="20"/>
                      <w:shd w:val="clear" w:color="auto" w:fill="FFFFFF"/>
                    </w:rPr>
                  </w:pPr>
                  <w:r w:rsidRPr="0089284A">
                    <w:rPr>
                      <w:sz w:val="20"/>
                      <w:szCs w:val="20"/>
                      <w:shd w:val="clear" w:color="auto" w:fill="FFFFFF"/>
                    </w:rPr>
                    <w:t>Proximity to Bike Share Hubs</w:t>
                  </w:r>
                </w:p>
              </w:tc>
              <w:tc>
                <w:tcPr>
                  <w:tcW w:w="656" w:type="dxa"/>
                </w:tcPr>
                <w:p w14:paraId="0B2B4828" w14:textId="7AF7B3D8" w:rsidR="0089284A" w:rsidRPr="0089284A" w:rsidRDefault="0089284A" w:rsidP="003D71E3">
                  <w:pPr>
                    <w:jc w:val="center"/>
                    <w:rPr>
                      <w:sz w:val="20"/>
                      <w:szCs w:val="20"/>
                      <w:shd w:val="clear" w:color="auto" w:fill="FFFFFF"/>
                    </w:rPr>
                  </w:pPr>
                  <w:r w:rsidRPr="0089284A">
                    <w:rPr>
                      <w:sz w:val="20"/>
                      <w:szCs w:val="20"/>
                      <w:shd w:val="clear" w:color="auto" w:fill="FFFFFF"/>
                    </w:rPr>
                    <w:t>-10</w:t>
                  </w:r>
                </w:p>
              </w:tc>
              <w:tc>
                <w:tcPr>
                  <w:tcW w:w="3766" w:type="dxa"/>
                </w:tcPr>
                <w:p w14:paraId="167BD2BE" w14:textId="69CD8D21" w:rsidR="0089284A" w:rsidRPr="0089284A" w:rsidRDefault="0089284A" w:rsidP="0089284A">
                  <w:pPr>
                    <w:rPr>
                      <w:sz w:val="20"/>
                      <w:szCs w:val="20"/>
                      <w:shd w:val="clear" w:color="auto" w:fill="FFFFFF"/>
                    </w:rPr>
                  </w:pPr>
                  <w:r w:rsidRPr="0089284A">
                    <w:rPr>
                      <w:sz w:val="20"/>
                      <w:szCs w:val="20"/>
                      <w:shd w:val="clear" w:color="auto" w:fill="FFFFFF"/>
                    </w:rPr>
                    <w:t>Locations within 1</w:t>
                  </w:r>
                  <w:r w:rsidRPr="0089284A">
                    <w:rPr>
                      <w:sz w:val="20"/>
                      <w:szCs w:val="20"/>
                      <w:shd w:val="clear" w:color="auto" w:fill="FFFFFF"/>
                    </w:rPr>
                    <w:t>/2</w:t>
                  </w:r>
                  <w:r w:rsidRPr="0089284A">
                    <w:rPr>
                      <w:sz w:val="20"/>
                      <w:szCs w:val="20"/>
                      <w:shd w:val="clear" w:color="auto" w:fill="FFFFFF"/>
                    </w:rPr>
                    <w:t xml:space="preserve"> mile of </w:t>
                  </w:r>
                  <w:r w:rsidRPr="0089284A">
                    <w:rPr>
                      <w:sz w:val="20"/>
                      <w:szCs w:val="20"/>
                      <w:shd w:val="clear" w:color="auto" w:fill="FFFFFF"/>
                    </w:rPr>
                    <w:t>bikeshare hubs</w:t>
                  </w:r>
                  <w:r w:rsidRPr="0089284A">
                    <w:rPr>
                      <w:sz w:val="20"/>
                      <w:szCs w:val="20"/>
                      <w:shd w:val="clear" w:color="auto" w:fill="FFFFFF"/>
                    </w:rPr>
                    <w:t xml:space="preserve"> will </w:t>
                  </w:r>
                  <w:r w:rsidRPr="0089284A">
                    <w:rPr>
                      <w:b/>
                      <w:bCs/>
                      <w:sz w:val="20"/>
                      <w:szCs w:val="20"/>
                      <w:shd w:val="clear" w:color="auto" w:fill="FFFFFF"/>
                    </w:rPr>
                    <w:t>lose</w:t>
                  </w:r>
                  <w:r w:rsidRPr="0089284A">
                    <w:rPr>
                      <w:sz w:val="20"/>
                      <w:szCs w:val="20"/>
                      <w:shd w:val="clear" w:color="auto" w:fill="FFFFFF"/>
                    </w:rPr>
                    <w:t xml:space="preserve"> 5 points, locations within 1/</w:t>
                  </w:r>
                  <w:r w:rsidRPr="0089284A">
                    <w:rPr>
                      <w:sz w:val="20"/>
                      <w:szCs w:val="20"/>
                      <w:shd w:val="clear" w:color="auto" w:fill="FFFFFF"/>
                    </w:rPr>
                    <w:t>4</w:t>
                  </w:r>
                  <w:r w:rsidRPr="0089284A">
                    <w:rPr>
                      <w:sz w:val="20"/>
                      <w:szCs w:val="20"/>
                      <w:shd w:val="clear" w:color="auto" w:fill="FFFFFF"/>
                    </w:rPr>
                    <w:t xml:space="preserve"> mile will </w:t>
                  </w:r>
                  <w:r w:rsidRPr="0089284A">
                    <w:rPr>
                      <w:b/>
                      <w:bCs/>
                      <w:sz w:val="20"/>
                      <w:szCs w:val="20"/>
                      <w:shd w:val="clear" w:color="auto" w:fill="FFFFFF"/>
                    </w:rPr>
                    <w:t>lose</w:t>
                  </w:r>
                  <w:r w:rsidRPr="0089284A">
                    <w:rPr>
                      <w:sz w:val="20"/>
                      <w:szCs w:val="20"/>
                      <w:shd w:val="clear" w:color="auto" w:fill="FFFFFF"/>
                    </w:rPr>
                    <w:t xml:space="preserve"> 10 points.</w:t>
                  </w:r>
                </w:p>
              </w:tc>
            </w:tr>
          </w:tbl>
          <w:p w14:paraId="3FE7AB05" w14:textId="77777777" w:rsidR="00F25518" w:rsidRPr="0089284A" w:rsidRDefault="00F25518" w:rsidP="00F8700F">
            <w:pPr>
              <w:rPr>
                <w:sz w:val="20"/>
                <w:szCs w:val="20"/>
                <w:shd w:val="clear" w:color="auto" w:fill="FFFFFF"/>
              </w:rPr>
            </w:pPr>
          </w:p>
        </w:tc>
      </w:tr>
      <w:tr w:rsidR="003D71E3" w:rsidRPr="0089284A" w14:paraId="1326655E" w14:textId="77777777" w:rsidTr="00F25518">
        <w:tc>
          <w:tcPr>
            <w:tcW w:w="1705" w:type="dxa"/>
          </w:tcPr>
          <w:p w14:paraId="1D5F0948" w14:textId="77777777" w:rsidR="003D71E3" w:rsidRPr="0089284A" w:rsidRDefault="003D71E3" w:rsidP="003D71E3">
            <w:pPr>
              <w:rPr>
                <w:b/>
                <w:bCs/>
                <w:sz w:val="20"/>
                <w:szCs w:val="20"/>
                <w:shd w:val="clear" w:color="auto" w:fill="FFFFFF"/>
              </w:rPr>
            </w:pPr>
          </w:p>
        </w:tc>
        <w:tc>
          <w:tcPr>
            <w:tcW w:w="1080" w:type="dxa"/>
          </w:tcPr>
          <w:p w14:paraId="61F3DD28" w14:textId="2AAC417A" w:rsidR="003D71E3" w:rsidRPr="0089284A" w:rsidRDefault="003D71E3" w:rsidP="003D71E3">
            <w:pPr>
              <w:jc w:val="center"/>
              <w:rPr>
                <w:sz w:val="20"/>
                <w:szCs w:val="20"/>
                <w:shd w:val="clear" w:color="auto" w:fill="FFFFFF"/>
              </w:rPr>
            </w:pPr>
            <w:r>
              <w:rPr>
                <w:sz w:val="20"/>
                <w:szCs w:val="20"/>
                <w:shd w:val="clear" w:color="auto" w:fill="FFFFFF"/>
              </w:rPr>
              <w:t>= 100</w:t>
            </w:r>
          </w:p>
        </w:tc>
        <w:tc>
          <w:tcPr>
            <w:tcW w:w="6565" w:type="dxa"/>
          </w:tcPr>
          <w:p w14:paraId="637824BD" w14:textId="77777777" w:rsidR="003D71E3" w:rsidRPr="0089284A" w:rsidRDefault="003D71E3" w:rsidP="0089284A">
            <w:pPr>
              <w:rPr>
                <w:sz w:val="20"/>
                <w:szCs w:val="20"/>
                <w:shd w:val="clear" w:color="auto" w:fill="FFFFFF"/>
              </w:rPr>
            </w:pPr>
          </w:p>
        </w:tc>
      </w:tr>
    </w:tbl>
    <w:p w14:paraId="10B8F94A" w14:textId="77777777" w:rsidR="000E17C6" w:rsidRPr="00F25518" w:rsidRDefault="000E17C6" w:rsidP="00F8700F">
      <w:pPr>
        <w:rPr>
          <w:rFonts w:ascii="Arial" w:hAnsi="Arial" w:cs="Arial"/>
          <w:b/>
          <w:bCs/>
          <w:shd w:val="clear" w:color="auto" w:fill="FFFFFF"/>
        </w:rPr>
      </w:pPr>
    </w:p>
    <w:p w14:paraId="58025F8A" w14:textId="280B8AF9" w:rsidR="00C530A6" w:rsidRPr="00F8700F" w:rsidRDefault="009868DC" w:rsidP="009868DC">
      <w:pPr>
        <w:jc w:val="center"/>
        <w:rPr>
          <w:rFonts w:ascii="Arial" w:hAnsi="Arial" w:cs="Arial"/>
          <w:sz w:val="28"/>
          <w:szCs w:val="28"/>
          <w:shd w:val="clear" w:color="auto" w:fill="FFFFFF"/>
        </w:rPr>
      </w:pPr>
      <w:r>
        <w:rPr>
          <w:rFonts w:ascii="Arial" w:hAnsi="Arial" w:cs="Arial"/>
          <w:sz w:val="28"/>
          <w:szCs w:val="28"/>
          <w:shd w:val="clear" w:color="auto" w:fill="FFFFFF"/>
        </w:rPr>
        <w:lastRenderedPageBreak/>
        <w:t>Works Cited</w:t>
      </w:r>
    </w:p>
    <w:p w14:paraId="6DD9DD49" w14:textId="5A0B2125" w:rsidR="00D214BF" w:rsidRPr="009868DC" w:rsidRDefault="00D214BF" w:rsidP="00F8700F">
      <w:pPr>
        <w:spacing w:line="480" w:lineRule="auto"/>
      </w:pPr>
    </w:p>
    <w:p w14:paraId="3614A7DD" w14:textId="77777777" w:rsidR="00D214BF" w:rsidRPr="00F8700F" w:rsidRDefault="00D214BF" w:rsidP="00D214BF">
      <w:r w:rsidRPr="00F8700F">
        <w:rPr>
          <w:shd w:val="clear" w:color="auto" w:fill="FFFFFF"/>
        </w:rPr>
        <w:t>LDA Consulting (2013). 2013 Capital Bikeshare Member Survey Report. Accessed online at http://capitalbikeshare.com/assets/pdf/CABI-2013SurveyReport.pdf on January 6, 2014</w:t>
      </w:r>
    </w:p>
    <w:p w14:paraId="78036A5F" w14:textId="77777777" w:rsidR="00D214BF" w:rsidRPr="00F8700F" w:rsidRDefault="00D214BF" w:rsidP="00F8700F">
      <w:pPr>
        <w:spacing w:line="480" w:lineRule="auto"/>
      </w:pPr>
    </w:p>
    <w:sectPr w:rsidR="00D214BF" w:rsidRPr="00F8700F" w:rsidSect="00627C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0DE37" w14:textId="77777777" w:rsidR="00B96435" w:rsidRDefault="00B96435" w:rsidP="00F8700F">
      <w:r>
        <w:separator/>
      </w:r>
    </w:p>
  </w:endnote>
  <w:endnote w:type="continuationSeparator" w:id="0">
    <w:p w14:paraId="35B09276" w14:textId="77777777" w:rsidR="00B96435" w:rsidRDefault="00B96435" w:rsidP="00F8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ystem-u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896F1" w14:textId="77777777" w:rsidR="00B96435" w:rsidRDefault="00B96435" w:rsidP="00F8700F">
      <w:r>
        <w:separator/>
      </w:r>
    </w:p>
  </w:footnote>
  <w:footnote w:type="continuationSeparator" w:id="0">
    <w:p w14:paraId="4F0647B3" w14:textId="77777777" w:rsidR="00B96435" w:rsidRDefault="00B96435" w:rsidP="00F87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C120" w14:textId="4046AEDB" w:rsidR="00F8700F" w:rsidRPr="00F8700F" w:rsidRDefault="00F8700F" w:rsidP="00F8700F">
    <w:pPr>
      <w:pStyle w:val="Header"/>
      <w:spacing w:line="480" w:lineRule="auto"/>
      <w:rPr>
        <w:rFonts w:ascii="Times New Roman" w:hAnsi="Times New Roman" w:cs="Times New Roman"/>
      </w:rPr>
    </w:pPr>
    <w:r>
      <w:tab/>
    </w:r>
    <w:r w:rsidRPr="00F8700F">
      <w:rPr>
        <w:rFonts w:ascii="Times New Roman" w:hAnsi="Times New Roman" w:cs="Times New Roman"/>
      </w:rPr>
      <w:tab/>
      <w:t>Noah Tigner</w:t>
    </w:r>
  </w:p>
  <w:p w14:paraId="72AEDF99" w14:textId="0A585296" w:rsidR="00F8700F" w:rsidRPr="00F8700F" w:rsidRDefault="00F8700F" w:rsidP="00F8700F">
    <w:pPr>
      <w:pStyle w:val="Header"/>
      <w:spacing w:line="480" w:lineRule="auto"/>
      <w:rPr>
        <w:rFonts w:ascii="Times New Roman" w:hAnsi="Times New Roman" w:cs="Times New Roman"/>
      </w:rPr>
    </w:pPr>
    <w:r w:rsidRPr="00F8700F">
      <w:rPr>
        <w:rFonts w:ascii="Times New Roman" w:hAnsi="Times New Roman" w:cs="Times New Roman"/>
      </w:rPr>
      <w:tab/>
    </w:r>
    <w:r w:rsidRPr="00F8700F">
      <w:rPr>
        <w:rFonts w:ascii="Times New Roman" w:hAnsi="Times New Roman" w:cs="Times New Roman"/>
      </w:rPr>
      <w:tab/>
      <w:t>GEOG 482</w:t>
    </w:r>
  </w:p>
  <w:p w14:paraId="79650873" w14:textId="333D3223" w:rsidR="00F8700F" w:rsidRPr="00F8700F" w:rsidRDefault="00F8700F" w:rsidP="00F8700F">
    <w:pPr>
      <w:pStyle w:val="Header"/>
      <w:spacing w:line="480" w:lineRule="auto"/>
      <w:rPr>
        <w:rFonts w:ascii="Times New Roman" w:hAnsi="Times New Roman" w:cs="Times New Roman"/>
      </w:rPr>
    </w:pPr>
    <w:r w:rsidRPr="00F8700F">
      <w:rPr>
        <w:rFonts w:ascii="Times New Roman" w:hAnsi="Times New Roman" w:cs="Times New Roman"/>
      </w:rPr>
      <w:tab/>
    </w:r>
    <w:r w:rsidRPr="00F8700F">
      <w:rPr>
        <w:rFonts w:ascii="Times New Roman" w:hAnsi="Times New Roman" w:cs="Times New Roman"/>
      </w:rPr>
      <w:tab/>
      <w:t>Final Project</w:t>
    </w:r>
  </w:p>
  <w:p w14:paraId="4DB93C1C" w14:textId="1AAE9F4B" w:rsidR="00F8700F" w:rsidRPr="00F8700F" w:rsidRDefault="00F8700F" w:rsidP="00F8700F">
    <w:pPr>
      <w:pStyle w:val="Header"/>
      <w:spacing w:line="480" w:lineRule="auto"/>
      <w:rPr>
        <w:rFonts w:ascii="Times New Roman" w:hAnsi="Times New Roman" w:cs="Times New Roman"/>
      </w:rPr>
    </w:pPr>
    <w:r w:rsidRPr="00F8700F">
      <w:rPr>
        <w:rFonts w:ascii="Times New Roman" w:hAnsi="Times New Roman" w:cs="Times New Roman"/>
      </w:rPr>
      <w:tab/>
      <w:t>Project Proposal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0F"/>
    <w:rsid w:val="00067BEF"/>
    <w:rsid w:val="00070C33"/>
    <w:rsid w:val="000E17C6"/>
    <w:rsid w:val="00264CF6"/>
    <w:rsid w:val="00292048"/>
    <w:rsid w:val="003D71E3"/>
    <w:rsid w:val="00413CAD"/>
    <w:rsid w:val="00627CB3"/>
    <w:rsid w:val="0076439F"/>
    <w:rsid w:val="0089284A"/>
    <w:rsid w:val="009734FB"/>
    <w:rsid w:val="009868DC"/>
    <w:rsid w:val="00AF25D1"/>
    <w:rsid w:val="00B96435"/>
    <w:rsid w:val="00C530A6"/>
    <w:rsid w:val="00C7683F"/>
    <w:rsid w:val="00D214BF"/>
    <w:rsid w:val="00EA00F9"/>
    <w:rsid w:val="00F11D79"/>
    <w:rsid w:val="00F25518"/>
    <w:rsid w:val="00F8700F"/>
    <w:rsid w:val="00FE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EED5"/>
  <w15:chartTrackingRefBased/>
  <w15:docId w15:val="{9122BA8C-A12E-7741-BD73-B9DE4ADA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9284A"/>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3D71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00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8700F"/>
  </w:style>
  <w:style w:type="paragraph" w:styleId="Footer">
    <w:name w:val="footer"/>
    <w:basedOn w:val="Normal"/>
    <w:link w:val="FooterChar"/>
    <w:uiPriority w:val="99"/>
    <w:unhideWhenUsed/>
    <w:rsid w:val="00F8700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8700F"/>
  </w:style>
  <w:style w:type="table" w:styleId="TableGrid">
    <w:name w:val="Table Grid"/>
    <w:basedOn w:val="TableNormal"/>
    <w:uiPriority w:val="39"/>
    <w:rsid w:val="00F25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4A"/>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semiHidden/>
    <w:rsid w:val="003D71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6259">
      <w:bodyDiv w:val="1"/>
      <w:marLeft w:val="0"/>
      <w:marRight w:val="0"/>
      <w:marTop w:val="0"/>
      <w:marBottom w:val="0"/>
      <w:divBdr>
        <w:top w:val="none" w:sz="0" w:space="0" w:color="auto"/>
        <w:left w:val="none" w:sz="0" w:space="0" w:color="auto"/>
        <w:bottom w:val="none" w:sz="0" w:space="0" w:color="auto"/>
        <w:right w:val="none" w:sz="0" w:space="0" w:color="auto"/>
      </w:divBdr>
    </w:div>
    <w:div w:id="156044416">
      <w:bodyDiv w:val="1"/>
      <w:marLeft w:val="0"/>
      <w:marRight w:val="0"/>
      <w:marTop w:val="0"/>
      <w:marBottom w:val="0"/>
      <w:divBdr>
        <w:top w:val="none" w:sz="0" w:space="0" w:color="auto"/>
        <w:left w:val="none" w:sz="0" w:space="0" w:color="auto"/>
        <w:bottom w:val="none" w:sz="0" w:space="0" w:color="auto"/>
        <w:right w:val="none" w:sz="0" w:space="0" w:color="auto"/>
      </w:divBdr>
      <w:divsChild>
        <w:div w:id="725184555">
          <w:marLeft w:val="0"/>
          <w:marRight w:val="0"/>
          <w:marTop w:val="15"/>
          <w:marBottom w:val="0"/>
          <w:divBdr>
            <w:top w:val="none" w:sz="0" w:space="0" w:color="auto"/>
            <w:left w:val="none" w:sz="0" w:space="0" w:color="auto"/>
            <w:bottom w:val="none" w:sz="0" w:space="0" w:color="auto"/>
            <w:right w:val="none" w:sz="0" w:space="0" w:color="auto"/>
          </w:divBdr>
          <w:divsChild>
            <w:div w:id="727915947">
              <w:marLeft w:val="0"/>
              <w:marRight w:val="0"/>
              <w:marTop w:val="0"/>
              <w:marBottom w:val="0"/>
              <w:divBdr>
                <w:top w:val="none" w:sz="0" w:space="0" w:color="auto"/>
                <w:left w:val="none" w:sz="0" w:space="0" w:color="auto"/>
                <w:bottom w:val="none" w:sz="0" w:space="0" w:color="auto"/>
                <w:right w:val="none" w:sz="0" w:space="0" w:color="auto"/>
              </w:divBdr>
            </w:div>
          </w:divsChild>
        </w:div>
        <w:div w:id="1682079052">
          <w:marLeft w:val="0"/>
          <w:marRight w:val="0"/>
          <w:marTop w:val="15"/>
          <w:marBottom w:val="0"/>
          <w:divBdr>
            <w:top w:val="none" w:sz="0" w:space="0" w:color="auto"/>
            <w:left w:val="none" w:sz="0" w:space="0" w:color="auto"/>
            <w:bottom w:val="none" w:sz="0" w:space="0" w:color="auto"/>
            <w:right w:val="none" w:sz="0" w:space="0" w:color="auto"/>
          </w:divBdr>
          <w:divsChild>
            <w:div w:id="9965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0332">
      <w:bodyDiv w:val="1"/>
      <w:marLeft w:val="0"/>
      <w:marRight w:val="0"/>
      <w:marTop w:val="0"/>
      <w:marBottom w:val="0"/>
      <w:divBdr>
        <w:top w:val="none" w:sz="0" w:space="0" w:color="auto"/>
        <w:left w:val="none" w:sz="0" w:space="0" w:color="auto"/>
        <w:bottom w:val="none" w:sz="0" w:space="0" w:color="auto"/>
        <w:right w:val="none" w:sz="0" w:space="0" w:color="auto"/>
      </w:divBdr>
      <w:divsChild>
        <w:div w:id="1240091373">
          <w:marLeft w:val="0"/>
          <w:marRight w:val="0"/>
          <w:marTop w:val="15"/>
          <w:marBottom w:val="0"/>
          <w:divBdr>
            <w:top w:val="none" w:sz="0" w:space="0" w:color="auto"/>
            <w:left w:val="none" w:sz="0" w:space="0" w:color="auto"/>
            <w:bottom w:val="none" w:sz="0" w:space="0" w:color="auto"/>
            <w:right w:val="none" w:sz="0" w:space="0" w:color="auto"/>
          </w:divBdr>
          <w:divsChild>
            <w:div w:id="1373842056">
              <w:marLeft w:val="0"/>
              <w:marRight w:val="0"/>
              <w:marTop w:val="0"/>
              <w:marBottom w:val="0"/>
              <w:divBdr>
                <w:top w:val="none" w:sz="0" w:space="0" w:color="auto"/>
                <w:left w:val="none" w:sz="0" w:space="0" w:color="auto"/>
                <w:bottom w:val="none" w:sz="0" w:space="0" w:color="auto"/>
                <w:right w:val="none" w:sz="0" w:space="0" w:color="auto"/>
              </w:divBdr>
            </w:div>
          </w:divsChild>
        </w:div>
        <w:div w:id="236399289">
          <w:marLeft w:val="0"/>
          <w:marRight w:val="0"/>
          <w:marTop w:val="15"/>
          <w:marBottom w:val="0"/>
          <w:divBdr>
            <w:top w:val="none" w:sz="0" w:space="0" w:color="auto"/>
            <w:left w:val="none" w:sz="0" w:space="0" w:color="auto"/>
            <w:bottom w:val="none" w:sz="0" w:space="0" w:color="auto"/>
            <w:right w:val="none" w:sz="0" w:space="0" w:color="auto"/>
          </w:divBdr>
          <w:divsChild>
            <w:div w:id="2476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3701">
      <w:bodyDiv w:val="1"/>
      <w:marLeft w:val="0"/>
      <w:marRight w:val="0"/>
      <w:marTop w:val="0"/>
      <w:marBottom w:val="0"/>
      <w:divBdr>
        <w:top w:val="none" w:sz="0" w:space="0" w:color="auto"/>
        <w:left w:val="none" w:sz="0" w:space="0" w:color="auto"/>
        <w:bottom w:val="none" w:sz="0" w:space="0" w:color="auto"/>
        <w:right w:val="none" w:sz="0" w:space="0" w:color="auto"/>
      </w:divBdr>
    </w:div>
    <w:div w:id="680399415">
      <w:bodyDiv w:val="1"/>
      <w:marLeft w:val="0"/>
      <w:marRight w:val="0"/>
      <w:marTop w:val="0"/>
      <w:marBottom w:val="0"/>
      <w:divBdr>
        <w:top w:val="none" w:sz="0" w:space="0" w:color="auto"/>
        <w:left w:val="none" w:sz="0" w:space="0" w:color="auto"/>
        <w:bottom w:val="none" w:sz="0" w:space="0" w:color="auto"/>
        <w:right w:val="none" w:sz="0" w:space="0" w:color="auto"/>
      </w:divBdr>
    </w:div>
    <w:div w:id="823544115">
      <w:bodyDiv w:val="1"/>
      <w:marLeft w:val="0"/>
      <w:marRight w:val="0"/>
      <w:marTop w:val="0"/>
      <w:marBottom w:val="0"/>
      <w:divBdr>
        <w:top w:val="none" w:sz="0" w:space="0" w:color="auto"/>
        <w:left w:val="none" w:sz="0" w:space="0" w:color="auto"/>
        <w:bottom w:val="none" w:sz="0" w:space="0" w:color="auto"/>
        <w:right w:val="none" w:sz="0" w:space="0" w:color="auto"/>
      </w:divBdr>
      <w:divsChild>
        <w:div w:id="195046635">
          <w:marLeft w:val="0"/>
          <w:marRight w:val="0"/>
          <w:marTop w:val="15"/>
          <w:marBottom w:val="0"/>
          <w:divBdr>
            <w:top w:val="none" w:sz="0" w:space="0" w:color="auto"/>
            <w:left w:val="none" w:sz="0" w:space="0" w:color="auto"/>
            <w:bottom w:val="none" w:sz="0" w:space="0" w:color="auto"/>
            <w:right w:val="none" w:sz="0" w:space="0" w:color="auto"/>
          </w:divBdr>
          <w:divsChild>
            <w:div w:id="646780703">
              <w:marLeft w:val="0"/>
              <w:marRight w:val="0"/>
              <w:marTop w:val="0"/>
              <w:marBottom w:val="0"/>
              <w:divBdr>
                <w:top w:val="none" w:sz="0" w:space="0" w:color="auto"/>
                <w:left w:val="none" w:sz="0" w:space="0" w:color="auto"/>
                <w:bottom w:val="none" w:sz="0" w:space="0" w:color="auto"/>
                <w:right w:val="none" w:sz="0" w:space="0" w:color="auto"/>
              </w:divBdr>
            </w:div>
          </w:divsChild>
        </w:div>
        <w:div w:id="1108507007">
          <w:marLeft w:val="0"/>
          <w:marRight w:val="0"/>
          <w:marTop w:val="15"/>
          <w:marBottom w:val="0"/>
          <w:divBdr>
            <w:top w:val="none" w:sz="0" w:space="0" w:color="auto"/>
            <w:left w:val="none" w:sz="0" w:space="0" w:color="auto"/>
            <w:bottom w:val="none" w:sz="0" w:space="0" w:color="auto"/>
            <w:right w:val="none" w:sz="0" w:space="0" w:color="auto"/>
          </w:divBdr>
          <w:divsChild>
            <w:div w:id="1538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2201">
      <w:bodyDiv w:val="1"/>
      <w:marLeft w:val="0"/>
      <w:marRight w:val="0"/>
      <w:marTop w:val="0"/>
      <w:marBottom w:val="0"/>
      <w:divBdr>
        <w:top w:val="none" w:sz="0" w:space="0" w:color="auto"/>
        <w:left w:val="none" w:sz="0" w:space="0" w:color="auto"/>
        <w:bottom w:val="none" w:sz="0" w:space="0" w:color="auto"/>
        <w:right w:val="none" w:sz="0" w:space="0" w:color="auto"/>
      </w:divBdr>
    </w:div>
    <w:div w:id="1048721189">
      <w:bodyDiv w:val="1"/>
      <w:marLeft w:val="0"/>
      <w:marRight w:val="0"/>
      <w:marTop w:val="0"/>
      <w:marBottom w:val="0"/>
      <w:divBdr>
        <w:top w:val="none" w:sz="0" w:space="0" w:color="auto"/>
        <w:left w:val="none" w:sz="0" w:space="0" w:color="auto"/>
        <w:bottom w:val="none" w:sz="0" w:space="0" w:color="auto"/>
        <w:right w:val="none" w:sz="0" w:space="0" w:color="auto"/>
      </w:divBdr>
      <w:divsChild>
        <w:div w:id="1581330365">
          <w:marLeft w:val="0"/>
          <w:marRight w:val="0"/>
          <w:marTop w:val="0"/>
          <w:marBottom w:val="0"/>
          <w:divBdr>
            <w:top w:val="none" w:sz="0" w:space="0" w:color="auto"/>
            <w:left w:val="none" w:sz="0" w:space="0" w:color="auto"/>
            <w:bottom w:val="none" w:sz="0" w:space="0" w:color="auto"/>
            <w:right w:val="none" w:sz="0" w:space="0" w:color="auto"/>
          </w:divBdr>
        </w:div>
        <w:div w:id="66651118">
          <w:marLeft w:val="0"/>
          <w:marRight w:val="0"/>
          <w:marTop w:val="0"/>
          <w:marBottom w:val="0"/>
          <w:divBdr>
            <w:top w:val="none" w:sz="0" w:space="0" w:color="auto"/>
            <w:left w:val="none" w:sz="0" w:space="0" w:color="auto"/>
            <w:bottom w:val="none" w:sz="0" w:space="0" w:color="auto"/>
            <w:right w:val="none" w:sz="0" w:space="0" w:color="auto"/>
          </w:divBdr>
        </w:div>
      </w:divsChild>
    </w:div>
    <w:div w:id="1129203897">
      <w:bodyDiv w:val="1"/>
      <w:marLeft w:val="0"/>
      <w:marRight w:val="0"/>
      <w:marTop w:val="0"/>
      <w:marBottom w:val="0"/>
      <w:divBdr>
        <w:top w:val="none" w:sz="0" w:space="0" w:color="auto"/>
        <w:left w:val="none" w:sz="0" w:space="0" w:color="auto"/>
        <w:bottom w:val="none" w:sz="0" w:space="0" w:color="auto"/>
        <w:right w:val="none" w:sz="0" w:space="0" w:color="auto"/>
      </w:divBdr>
    </w:div>
    <w:div w:id="1210721360">
      <w:bodyDiv w:val="1"/>
      <w:marLeft w:val="0"/>
      <w:marRight w:val="0"/>
      <w:marTop w:val="0"/>
      <w:marBottom w:val="0"/>
      <w:divBdr>
        <w:top w:val="none" w:sz="0" w:space="0" w:color="auto"/>
        <w:left w:val="none" w:sz="0" w:space="0" w:color="auto"/>
        <w:bottom w:val="none" w:sz="0" w:space="0" w:color="auto"/>
        <w:right w:val="none" w:sz="0" w:space="0" w:color="auto"/>
      </w:divBdr>
    </w:div>
    <w:div w:id="1303803242">
      <w:bodyDiv w:val="1"/>
      <w:marLeft w:val="0"/>
      <w:marRight w:val="0"/>
      <w:marTop w:val="0"/>
      <w:marBottom w:val="0"/>
      <w:divBdr>
        <w:top w:val="none" w:sz="0" w:space="0" w:color="auto"/>
        <w:left w:val="none" w:sz="0" w:space="0" w:color="auto"/>
        <w:bottom w:val="none" w:sz="0" w:space="0" w:color="auto"/>
        <w:right w:val="none" w:sz="0" w:space="0" w:color="auto"/>
      </w:divBdr>
    </w:div>
    <w:div w:id="1310286905">
      <w:bodyDiv w:val="1"/>
      <w:marLeft w:val="0"/>
      <w:marRight w:val="0"/>
      <w:marTop w:val="0"/>
      <w:marBottom w:val="0"/>
      <w:divBdr>
        <w:top w:val="none" w:sz="0" w:space="0" w:color="auto"/>
        <w:left w:val="none" w:sz="0" w:space="0" w:color="auto"/>
        <w:bottom w:val="none" w:sz="0" w:space="0" w:color="auto"/>
        <w:right w:val="none" w:sz="0" w:space="0" w:color="auto"/>
      </w:divBdr>
    </w:div>
    <w:div w:id="201471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557F6-44BE-8B40-AAD3-BD6694328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Tigner</dc:creator>
  <cp:keywords/>
  <dc:description/>
  <cp:lastModifiedBy>Noah Tigner</cp:lastModifiedBy>
  <cp:revision>1</cp:revision>
  <dcterms:created xsi:type="dcterms:W3CDTF">2020-05-13T18:52:00Z</dcterms:created>
  <dcterms:modified xsi:type="dcterms:W3CDTF">2020-05-13T21:50:00Z</dcterms:modified>
</cp:coreProperties>
</file>