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42" w:rsidRPr="003D42D5" w:rsidRDefault="003D42D5" w:rsidP="003D42D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Range: 51.3 – 0.2 = </w:t>
      </w:r>
      <w:r w:rsidRPr="003D42D5">
        <w:rPr>
          <w:rFonts w:ascii="Times New Roman" w:hAnsi="Times New Roman" w:cs="Times New Roman"/>
          <w:b/>
          <w:sz w:val="24"/>
          <w:szCs w:val="24"/>
        </w:rPr>
        <w:t>51.1</w:t>
      </w:r>
    </w:p>
    <w:p w:rsidR="003D42D5" w:rsidRPr="003D42D5" w:rsidRDefault="003D42D5" w:rsidP="003D42D5">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Mean: </w:t>
      </w:r>
      <w:r w:rsidRPr="003D42D5">
        <w:rPr>
          <w:rFonts w:ascii="Times New Roman" w:hAnsi="Times New Roman" w:cs="Times New Roman"/>
          <w:b/>
          <w:sz w:val="24"/>
          <w:szCs w:val="24"/>
        </w:rPr>
        <w:t>9.33</w:t>
      </w:r>
    </w:p>
    <w:p w:rsidR="003D42D5" w:rsidRDefault="003D42D5" w:rsidP="003D42D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Median: </w:t>
      </w:r>
      <w:r w:rsidRPr="003D42D5">
        <w:rPr>
          <w:rFonts w:ascii="Times New Roman" w:hAnsi="Times New Roman" w:cs="Times New Roman"/>
          <w:b/>
          <w:sz w:val="24"/>
          <w:szCs w:val="24"/>
        </w:rPr>
        <w:t>4.95</w:t>
      </w:r>
    </w:p>
    <w:p w:rsidR="003D42D5" w:rsidRPr="003D42D5" w:rsidRDefault="003D42D5" w:rsidP="003D42D5">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Standard Deviation: </w:t>
      </w:r>
      <w:r w:rsidRPr="003D42D5">
        <w:rPr>
          <w:rFonts w:ascii="Times New Roman" w:hAnsi="Times New Roman" w:cs="Times New Roman"/>
          <w:b/>
          <w:sz w:val="24"/>
          <w:szCs w:val="24"/>
        </w:rPr>
        <w:t>11.12</w:t>
      </w:r>
    </w:p>
    <w:p w:rsidR="003D42D5" w:rsidRPr="003D42D5" w:rsidRDefault="003D42D5" w:rsidP="003D42D5">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Interquartile Range: </w:t>
      </w:r>
      <w:r>
        <w:rPr>
          <w:rFonts w:ascii="Times New Roman" w:hAnsi="Times New Roman" w:cs="Times New Roman"/>
          <w:b/>
          <w:sz w:val="24"/>
          <w:szCs w:val="24"/>
        </w:rPr>
        <w:t>6.82</w:t>
      </w:r>
    </w:p>
    <w:p w:rsidR="003D42D5" w:rsidRPr="003D42D5" w:rsidRDefault="003D42D5" w:rsidP="003D42D5">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Skewness</w:t>
      </w:r>
      <w:r w:rsidRPr="003D42D5">
        <w:rPr>
          <w:rFonts w:ascii="Times New Roman" w:hAnsi="Times New Roman" w:cs="Times New Roman"/>
          <w:sz w:val="24"/>
          <w:szCs w:val="24"/>
        </w:rPr>
        <w:t>:</w:t>
      </w:r>
      <w:r w:rsidRPr="003D42D5">
        <w:rPr>
          <w:rFonts w:ascii="Times New Roman" w:hAnsi="Times New Roman" w:cs="Times New Roman"/>
          <w:b/>
          <w:sz w:val="24"/>
          <w:szCs w:val="24"/>
        </w:rPr>
        <w:t xml:space="preserve"> 2.19</w:t>
      </w:r>
    </w:p>
    <w:p w:rsidR="003D42D5" w:rsidRPr="003D42D5" w:rsidRDefault="003D42D5" w:rsidP="003D42D5">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Kurtosis: </w:t>
      </w:r>
      <w:r w:rsidRPr="003D42D5">
        <w:rPr>
          <w:rFonts w:ascii="Times New Roman" w:hAnsi="Times New Roman" w:cs="Times New Roman"/>
          <w:b/>
          <w:sz w:val="24"/>
          <w:szCs w:val="24"/>
        </w:rPr>
        <w:t>7.36</w:t>
      </w:r>
    </w:p>
    <w:p w:rsidR="003D42D5" w:rsidRPr="003D42D5" w:rsidRDefault="003D42D5" w:rsidP="003D42D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PM</w:t>
      </w:r>
      <w:r>
        <w:rPr>
          <w:rFonts w:ascii="Times New Roman" w:hAnsi="Times New Roman" w:cs="Times New Roman"/>
          <w:sz w:val="24"/>
          <w:szCs w:val="24"/>
          <w:vertAlign w:val="subscript"/>
        </w:rPr>
        <w:t>2.5</w:t>
      </w:r>
      <w:r>
        <w:rPr>
          <w:rFonts w:ascii="Times New Roman" w:hAnsi="Times New Roman" w:cs="Times New Roman"/>
          <w:sz w:val="24"/>
          <w:szCs w:val="24"/>
        </w:rPr>
        <w:t xml:space="preserve"> values </w:t>
      </w:r>
      <w:r w:rsidR="006F5A56">
        <w:rPr>
          <w:rFonts w:ascii="Times New Roman" w:hAnsi="Times New Roman" w:cs="Times New Roman"/>
          <w:b/>
          <w:sz w:val="24"/>
          <w:szCs w:val="24"/>
        </w:rPr>
        <w:t>do not look</w:t>
      </w:r>
      <w:r w:rsidRPr="006F5A56">
        <w:rPr>
          <w:rFonts w:ascii="Times New Roman" w:hAnsi="Times New Roman" w:cs="Times New Roman"/>
          <w:b/>
          <w:sz w:val="24"/>
          <w:szCs w:val="24"/>
        </w:rPr>
        <w:t xml:space="preserve"> normally distributed</w:t>
      </w:r>
      <w:r>
        <w:rPr>
          <w:rFonts w:ascii="Times New Roman" w:hAnsi="Times New Roman" w:cs="Times New Roman"/>
          <w:sz w:val="24"/>
          <w:szCs w:val="24"/>
        </w:rPr>
        <w:t xml:space="preserve"> since there is a high degree of kurtosis and skewness</w:t>
      </w:r>
      <w:r w:rsidR="006F5A56">
        <w:rPr>
          <w:rFonts w:ascii="Times New Roman" w:hAnsi="Times New Roman" w:cs="Times New Roman"/>
          <w:sz w:val="24"/>
          <w:szCs w:val="24"/>
        </w:rPr>
        <w:t xml:space="preserve"> (to the left).</w:t>
      </w:r>
    </w:p>
    <w:p w:rsidR="003D42D5" w:rsidRDefault="006F5A56" w:rsidP="003D42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performing a logarithmic transformation, the values appear to be </w:t>
      </w:r>
      <w:r>
        <w:rPr>
          <w:rFonts w:ascii="Times New Roman" w:hAnsi="Times New Roman" w:cs="Times New Roman"/>
          <w:b/>
          <w:sz w:val="24"/>
          <w:szCs w:val="24"/>
        </w:rPr>
        <w:t>normally distributed</w:t>
      </w:r>
      <w:r>
        <w:rPr>
          <w:rFonts w:ascii="Times New Roman" w:hAnsi="Times New Roman" w:cs="Times New Roman"/>
          <w:sz w:val="24"/>
          <w:szCs w:val="24"/>
        </w:rPr>
        <w:t>, since the skewness is near 0 and the kurtosis is near 3.</w:t>
      </w:r>
    </w:p>
    <w:p w:rsidR="006F5A56" w:rsidRDefault="00320603" w:rsidP="003D42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IDW model’s Mean Error: </w:t>
      </w:r>
      <w:r>
        <w:rPr>
          <w:rFonts w:ascii="Times New Roman" w:hAnsi="Times New Roman" w:cs="Times New Roman"/>
          <w:b/>
          <w:sz w:val="24"/>
          <w:szCs w:val="24"/>
        </w:rPr>
        <w:t>0.43</w:t>
      </w:r>
    </w:p>
    <w:p w:rsidR="00320603" w:rsidRPr="00320603" w:rsidRDefault="00320603" w:rsidP="00320603">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IDW model’s Root-Mean-Square error: </w:t>
      </w:r>
      <w:r>
        <w:rPr>
          <w:rFonts w:ascii="Times New Roman" w:hAnsi="Times New Roman" w:cs="Times New Roman"/>
          <w:b/>
          <w:sz w:val="24"/>
          <w:szCs w:val="24"/>
        </w:rPr>
        <w:t>7.13</w:t>
      </w:r>
    </w:p>
    <w:p w:rsidR="00297449" w:rsidRDefault="00297449" w:rsidP="003D42D5">
      <w:pPr>
        <w:pStyle w:val="ListParagraph"/>
        <w:numPr>
          <w:ilvl w:val="0"/>
          <w:numId w:val="1"/>
        </w:numPr>
        <w:spacing w:line="240" w:lineRule="auto"/>
        <w:rPr>
          <w:rFonts w:ascii="Times New Roman" w:hAnsi="Times New Roman" w:cs="Times New Roman"/>
          <w:sz w:val="24"/>
          <w:szCs w:val="24"/>
        </w:rPr>
      </w:pPr>
    </w:p>
    <w:p w:rsidR="00320603" w:rsidRDefault="00297449" w:rsidP="00297449">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4350" cy="36567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343155" cy="3672658"/>
                    </a:xfrm>
                    <a:prstGeom prst="rect">
                      <a:avLst/>
                    </a:prstGeom>
                  </pic:spPr>
                </pic:pic>
              </a:graphicData>
            </a:graphic>
          </wp:inline>
        </w:drawing>
      </w:r>
    </w:p>
    <w:p w:rsidR="00297449" w:rsidRDefault="00734172" w:rsidP="0029744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Areas with the highest values are San Jose, San Diego, and Fresno.</w:t>
      </w:r>
    </w:p>
    <w:p w:rsidR="00094EF7" w:rsidRDefault="00094EF7" w:rsidP="00297449">
      <w:pPr>
        <w:pStyle w:val="ListParagraph"/>
        <w:numPr>
          <w:ilvl w:val="0"/>
          <w:numId w:val="1"/>
        </w:numPr>
        <w:spacing w:line="240" w:lineRule="auto"/>
        <w:rPr>
          <w:rFonts w:ascii="Times New Roman" w:hAnsi="Times New Roman" w:cs="Times New Roman"/>
          <w:sz w:val="24"/>
          <w:szCs w:val="24"/>
        </w:rPr>
      </w:pPr>
    </w:p>
    <w:p w:rsidR="00297449" w:rsidRDefault="00094EF7" w:rsidP="00094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4639901" cy="3905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646423" cy="3910739"/>
                    </a:xfrm>
                    <a:prstGeom prst="rect">
                      <a:avLst/>
                    </a:prstGeom>
                  </pic:spPr>
                </pic:pic>
              </a:graphicData>
            </a:graphic>
          </wp:inline>
        </w:drawing>
      </w:r>
    </w:p>
    <w:p w:rsidR="00094EF7" w:rsidRDefault="00094EF7" w:rsidP="00094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high values are more consolidated and less distributed across the area, since the distance decay is weaker with power=1. There is a weaker localized effect.</w:t>
      </w:r>
    </w:p>
    <w:p w:rsidR="00BD02E0" w:rsidRDefault="00BD02E0" w:rsidP="00297449">
      <w:pPr>
        <w:pStyle w:val="ListParagraph"/>
        <w:numPr>
          <w:ilvl w:val="0"/>
          <w:numId w:val="1"/>
        </w:numPr>
        <w:spacing w:line="240" w:lineRule="auto"/>
        <w:rPr>
          <w:rFonts w:ascii="Times New Roman" w:hAnsi="Times New Roman" w:cs="Times New Roman"/>
          <w:sz w:val="24"/>
          <w:szCs w:val="24"/>
        </w:rPr>
      </w:pPr>
    </w:p>
    <w:p w:rsidR="00094EF7" w:rsidRDefault="00BD02E0" w:rsidP="00BD02E0">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29125" cy="3702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432048" cy="3705211"/>
                    </a:xfrm>
                    <a:prstGeom prst="rect">
                      <a:avLst/>
                    </a:prstGeom>
                  </pic:spPr>
                </pic:pic>
              </a:graphicData>
            </a:graphic>
          </wp:inline>
        </w:drawing>
      </w:r>
    </w:p>
    <w:p w:rsidR="00BD02E0" w:rsidRDefault="00BD02E0" w:rsidP="00BD02E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of this IDW are similar to that in Q4, except the areas of high and low values are larger. </w:t>
      </w:r>
    </w:p>
    <w:p w:rsidR="004E353E" w:rsidRPr="00BD02E0" w:rsidRDefault="004E353E" w:rsidP="00BD02E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higher the power, the stronger the distance decay effect is, explaining the difference between Q4 and Q5. When the number of neighbors is increased, unknown values change, since they are assigned the weighted average of neighboring points (the amount of which has increased), explaining the difference between </w:t>
      </w:r>
      <w:r w:rsidR="0079317A">
        <w:rPr>
          <w:rFonts w:ascii="Times New Roman" w:hAnsi="Times New Roman" w:cs="Times New Roman"/>
          <w:sz w:val="24"/>
          <w:szCs w:val="24"/>
        </w:rPr>
        <w:t>Q4 and Q6.</w:t>
      </w:r>
    </w:p>
    <w:tbl>
      <w:tblPr>
        <w:tblStyle w:val="TableGrid"/>
        <w:tblW w:w="0" w:type="auto"/>
        <w:tblInd w:w="720" w:type="dxa"/>
        <w:tblLook w:val="04A0" w:firstRow="1" w:lastRow="0" w:firstColumn="1" w:lastColumn="0" w:noHBand="0" w:noVBand="1"/>
      </w:tblPr>
      <w:tblGrid>
        <w:gridCol w:w="2965"/>
        <w:gridCol w:w="1800"/>
        <w:gridCol w:w="1890"/>
        <w:gridCol w:w="1975"/>
      </w:tblGrid>
      <w:tr w:rsidR="004E353E" w:rsidTr="005E5396">
        <w:tc>
          <w:tcPr>
            <w:tcW w:w="2965"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p>
        </w:tc>
        <w:tc>
          <w:tcPr>
            <w:tcW w:w="1800"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r>
              <w:rPr>
                <w:rFonts w:ascii="Times New Roman" w:hAnsi="Times New Roman" w:cs="Times New Roman"/>
                <w:sz w:val="24"/>
                <w:szCs w:val="24"/>
              </w:rPr>
              <w:t>Q4</w:t>
            </w:r>
          </w:p>
        </w:tc>
        <w:tc>
          <w:tcPr>
            <w:tcW w:w="1890"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r>
              <w:rPr>
                <w:rFonts w:ascii="Times New Roman" w:hAnsi="Times New Roman" w:cs="Times New Roman"/>
                <w:sz w:val="24"/>
                <w:szCs w:val="24"/>
              </w:rPr>
              <w:t>Q5</w:t>
            </w:r>
          </w:p>
        </w:tc>
        <w:tc>
          <w:tcPr>
            <w:tcW w:w="1975"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r>
              <w:rPr>
                <w:rFonts w:ascii="Times New Roman" w:hAnsi="Times New Roman" w:cs="Times New Roman"/>
                <w:sz w:val="24"/>
                <w:szCs w:val="24"/>
              </w:rPr>
              <w:t>Q6</w:t>
            </w:r>
          </w:p>
        </w:tc>
      </w:tr>
      <w:tr w:rsidR="004E353E" w:rsidTr="005E5396">
        <w:tc>
          <w:tcPr>
            <w:tcW w:w="2965"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r>
              <w:rPr>
                <w:rFonts w:ascii="Times New Roman" w:hAnsi="Times New Roman" w:cs="Times New Roman"/>
                <w:sz w:val="24"/>
                <w:szCs w:val="24"/>
              </w:rPr>
              <w:t>Mean Error</w:t>
            </w:r>
          </w:p>
        </w:tc>
        <w:tc>
          <w:tcPr>
            <w:tcW w:w="1800"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0.42</w:t>
            </w:r>
          </w:p>
        </w:tc>
        <w:tc>
          <w:tcPr>
            <w:tcW w:w="1890"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0.05</w:t>
            </w:r>
          </w:p>
        </w:tc>
        <w:tc>
          <w:tcPr>
            <w:tcW w:w="1975"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0.57</w:t>
            </w:r>
          </w:p>
        </w:tc>
      </w:tr>
      <w:tr w:rsidR="004E353E" w:rsidTr="005E5396">
        <w:tc>
          <w:tcPr>
            <w:tcW w:w="2965" w:type="dxa"/>
            <w:shd w:val="clear" w:color="auto" w:fill="D9D9D9" w:themeFill="background1" w:themeFillShade="D9"/>
          </w:tcPr>
          <w:p w:rsidR="004E353E" w:rsidRDefault="004E353E" w:rsidP="004E353E">
            <w:pPr>
              <w:pStyle w:val="ListParagraph"/>
              <w:ind w:left="0"/>
              <w:rPr>
                <w:rFonts w:ascii="Times New Roman" w:hAnsi="Times New Roman" w:cs="Times New Roman"/>
                <w:sz w:val="24"/>
                <w:szCs w:val="24"/>
              </w:rPr>
            </w:pPr>
            <w:r>
              <w:rPr>
                <w:rFonts w:ascii="Times New Roman" w:hAnsi="Times New Roman" w:cs="Times New Roman"/>
                <w:sz w:val="24"/>
                <w:szCs w:val="24"/>
              </w:rPr>
              <w:t>Root-Mean-Squared Error</w:t>
            </w:r>
          </w:p>
        </w:tc>
        <w:tc>
          <w:tcPr>
            <w:tcW w:w="1800"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7.12</w:t>
            </w:r>
          </w:p>
        </w:tc>
        <w:tc>
          <w:tcPr>
            <w:tcW w:w="1890"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7.10</w:t>
            </w:r>
          </w:p>
        </w:tc>
        <w:tc>
          <w:tcPr>
            <w:tcW w:w="1975" w:type="dxa"/>
          </w:tcPr>
          <w:p w:rsidR="004E353E" w:rsidRPr="004E353E" w:rsidRDefault="004E353E" w:rsidP="004E353E">
            <w:pPr>
              <w:pStyle w:val="ListParagraph"/>
              <w:ind w:left="0"/>
              <w:rPr>
                <w:rFonts w:ascii="Times New Roman" w:hAnsi="Times New Roman" w:cs="Times New Roman"/>
                <w:sz w:val="24"/>
                <w:szCs w:val="24"/>
              </w:rPr>
            </w:pPr>
            <w:r w:rsidRPr="004E353E">
              <w:rPr>
                <w:rFonts w:ascii="Times New Roman" w:hAnsi="Times New Roman" w:cs="Times New Roman"/>
                <w:color w:val="4A4A4A"/>
                <w:sz w:val="24"/>
                <w:szCs w:val="24"/>
              </w:rPr>
              <w:t>7.30</w:t>
            </w:r>
          </w:p>
        </w:tc>
      </w:tr>
    </w:tbl>
    <w:p w:rsidR="00BD02E0" w:rsidRDefault="0079317A" w:rsidP="0079317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IDW parameters used in </w:t>
      </w:r>
      <w:r w:rsidRPr="00C65EE8">
        <w:rPr>
          <w:rFonts w:ascii="Times New Roman" w:hAnsi="Times New Roman" w:cs="Times New Roman"/>
          <w:b/>
          <w:sz w:val="24"/>
          <w:szCs w:val="24"/>
        </w:rPr>
        <w:t>Q5</w:t>
      </w:r>
      <w:r>
        <w:rPr>
          <w:rFonts w:ascii="Times New Roman" w:hAnsi="Times New Roman" w:cs="Times New Roman"/>
          <w:sz w:val="24"/>
          <w:szCs w:val="24"/>
        </w:rPr>
        <w:t xml:space="preserve"> (power=1) produced the lowest mean error and root-mean-squared error and therefore provided the best interpolation result.</w:t>
      </w:r>
    </w:p>
    <w:p w:rsidR="0079317A" w:rsidRDefault="005E5396" w:rsidP="005E539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Using Krigin</w:t>
      </w:r>
      <w:r w:rsidR="00C65EE8">
        <w:rPr>
          <w:rFonts w:ascii="Times New Roman" w:hAnsi="Times New Roman" w:cs="Times New Roman"/>
          <w:sz w:val="24"/>
          <w:szCs w:val="24"/>
        </w:rPr>
        <w:t>g</w:t>
      </w:r>
      <w:r>
        <w:rPr>
          <w:rFonts w:ascii="Times New Roman" w:hAnsi="Times New Roman" w:cs="Times New Roman"/>
          <w:sz w:val="24"/>
          <w:szCs w:val="24"/>
        </w:rPr>
        <w:t xml:space="preserve"> with the default parameters, we get:</w:t>
      </w:r>
    </w:p>
    <w:p w:rsidR="005E5396" w:rsidRPr="00C65EE8" w:rsidRDefault="00C65EE8" w:rsidP="005E5396">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Nugget: </w:t>
      </w:r>
      <w:r>
        <w:rPr>
          <w:rFonts w:ascii="Times New Roman" w:hAnsi="Times New Roman" w:cs="Times New Roman"/>
          <w:b/>
          <w:sz w:val="24"/>
          <w:szCs w:val="24"/>
        </w:rPr>
        <w:t>0.6</w:t>
      </w:r>
    </w:p>
    <w:p w:rsidR="00C65EE8" w:rsidRPr="00C65EE8" w:rsidRDefault="00C65EE8" w:rsidP="005E5396">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Major Range: </w:t>
      </w:r>
      <w:r w:rsidRPr="00C65EE8">
        <w:rPr>
          <w:rStyle w:val="subr1"/>
          <w:rFonts w:ascii="Times New Roman" w:hAnsi="Times New Roman" w:cs="Times New Roman"/>
          <w:b/>
          <w:color w:val="4A4A4A"/>
          <w:sz w:val="24"/>
          <w:szCs w:val="24"/>
        </w:rPr>
        <w:t>316,702.44</w:t>
      </w:r>
    </w:p>
    <w:p w:rsidR="00C65EE8" w:rsidRDefault="00C65EE8" w:rsidP="005E539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Partial Sill: </w:t>
      </w:r>
      <w:r w:rsidRPr="00C65EE8">
        <w:rPr>
          <w:rFonts w:ascii="Times New Roman" w:hAnsi="Times New Roman" w:cs="Times New Roman"/>
          <w:b/>
          <w:sz w:val="24"/>
          <w:szCs w:val="24"/>
        </w:rPr>
        <w:t>0.85</w:t>
      </w:r>
    </w:p>
    <w:p w:rsidR="00C65EE8" w:rsidRPr="00C65EE8" w:rsidRDefault="00C65EE8" w:rsidP="005E5396">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Sill: 0.6 + 0.85 = </w:t>
      </w:r>
      <w:r>
        <w:rPr>
          <w:rFonts w:ascii="Times New Roman" w:hAnsi="Times New Roman" w:cs="Times New Roman"/>
          <w:b/>
          <w:sz w:val="24"/>
          <w:szCs w:val="24"/>
        </w:rPr>
        <w:t>1.45</w:t>
      </w:r>
    </w:p>
    <w:p w:rsidR="005E5396" w:rsidRPr="00A44DA8" w:rsidRDefault="00C65EE8" w:rsidP="005E539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Mean Error: </w:t>
      </w:r>
      <w:r w:rsidR="00A44DA8" w:rsidRPr="00A44DA8">
        <w:rPr>
          <w:rFonts w:ascii="Times New Roman" w:hAnsi="Times New Roman" w:cs="Times New Roman"/>
          <w:b/>
          <w:color w:val="4A4A4A"/>
          <w:sz w:val="24"/>
          <w:szCs w:val="24"/>
        </w:rPr>
        <w:t>0.12</w:t>
      </w:r>
    </w:p>
    <w:p w:rsidR="00C65EE8" w:rsidRDefault="00C65EE8" w:rsidP="00C65EE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Root-mean-Square Error: </w:t>
      </w:r>
      <w:r w:rsidR="00A44DA8" w:rsidRPr="00A44DA8">
        <w:rPr>
          <w:rFonts w:ascii="Times New Roman" w:hAnsi="Times New Roman" w:cs="Times New Roman"/>
          <w:b/>
          <w:sz w:val="24"/>
          <w:szCs w:val="24"/>
        </w:rPr>
        <w:t>7.39</w:t>
      </w:r>
    </w:p>
    <w:p w:rsidR="00C65EE8" w:rsidRDefault="00C65EE8" w:rsidP="00C65EE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Mean Standardized Error: </w:t>
      </w:r>
      <w:r w:rsidR="00A44DA8" w:rsidRPr="00A44DA8">
        <w:rPr>
          <w:rFonts w:ascii="Times New Roman" w:hAnsi="Times New Roman" w:cs="Times New Roman"/>
          <w:b/>
          <w:sz w:val="24"/>
          <w:szCs w:val="24"/>
        </w:rPr>
        <w:t>-0.06</w:t>
      </w:r>
    </w:p>
    <w:p w:rsidR="00C65EE8" w:rsidRDefault="00C65EE8" w:rsidP="00C65EE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Root-Mean-Square Standardized Error: </w:t>
      </w:r>
      <w:r w:rsidR="00A44DA8" w:rsidRPr="00A44DA8">
        <w:rPr>
          <w:rFonts w:ascii="Times New Roman" w:hAnsi="Times New Roman" w:cs="Times New Roman"/>
          <w:b/>
          <w:sz w:val="24"/>
          <w:szCs w:val="24"/>
        </w:rPr>
        <w:t>0.96</w:t>
      </w:r>
    </w:p>
    <w:p w:rsidR="00C65EE8" w:rsidRDefault="00C65EE8" w:rsidP="00C65EE8">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Average Standard Error: </w:t>
      </w:r>
      <w:r w:rsidR="00A44DA8" w:rsidRPr="00A44DA8">
        <w:rPr>
          <w:rFonts w:ascii="Times New Roman" w:hAnsi="Times New Roman" w:cs="Times New Roman"/>
          <w:b/>
          <w:sz w:val="24"/>
          <w:szCs w:val="24"/>
        </w:rPr>
        <w:t>10.82</w:t>
      </w:r>
    </w:p>
    <w:p w:rsidR="005C49EA" w:rsidRDefault="005C49EA" w:rsidP="00C65EE8">
      <w:pPr>
        <w:pStyle w:val="ListParagraph"/>
        <w:spacing w:line="240" w:lineRule="auto"/>
        <w:rPr>
          <w:rFonts w:ascii="Times New Roman" w:hAnsi="Times New Roman" w:cs="Times New Roman"/>
          <w:sz w:val="24"/>
          <w:szCs w:val="24"/>
        </w:rPr>
      </w:pPr>
    </w:p>
    <w:p w:rsidR="00C65EE8" w:rsidRDefault="00AA15E9" w:rsidP="005E539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A15E9" w:rsidRDefault="00AA15E9" w:rsidP="00AA15E9">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3950" cy="38227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4939957" cy="3827411"/>
                    </a:xfrm>
                    <a:prstGeom prst="rect">
                      <a:avLst/>
                    </a:prstGeom>
                  </pic:spPr>
                </pic:pic>
              </a:graphicData>
            </a:graphic>
          </wp:inline>
        </w:drawing>
      </w:r>
    </w:p>
    <w:p w:rsidR="00AA15E9" w:rsidRDefault="00AA15E9" w:rsidP="00AA15E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highest values are in the San Joaquin Valley near Fresno, with areas of low values in the northwest and east.</w:t>
      </w: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5C49EA" w:rsidRDefault="005C49EA" w:rsidP="00AA15E9">
      <w:pPr>
        <w:pStyle w:val="ListParagraph"/>
        <w:spacing w:line="240" w:lineRule="auto"/>
        <w:rPr>
          <w:rFonts w:ascii="Times New Roman" w:hAnsi="Times New Roman" w:cs="Times New Roman"/>
          <w:sz w:val="24"/>
          <w:szCs w:val="24"/>
        </w:rPr>
      </w:pPr>
    </w:p>
    <w:p w:rsidR="00AA15E9" w:rsidRDefault="00834E36" w:rsidP="005E539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4E36" w:rsidRDefault="00834E36" w:rsidP="00834E36">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3684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4484003" cy="3698344"/>
                    </a:xfrm>
                    <a:prstGeom prst="rect">
                      <a:avLst/>
                    </a:prstGeom>
                  </pic:spPr>
                </pic:pic>
              </a:graphicData>
            </a:graphic>
          </wp:inline>
        </w:drawing>
      </w:r>
    </w:p>
    <w:p w:rsidR="00834E36" w:rsidRDefault="00834E36" w:rsidP="00834E3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predicted standard error seems to be highest in the southwest northeast. This is because these regions cover the ocean and Nevada, respectively, where no points of data exist.</w:t>
      </w: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5C49EA" w:rsidRDefault="005C49EA" w:rsidP="00834E36">
      <w:pPr>
        <w:pStyle w:val="ListParagraph"/>
        <w:spacing w:line="240" w:lineRule="auto"/>
        <w:rPr>
          <w:rFonts w:ascii="Times New Roman" w:hAnsi="Times New Roman" w:cs="Times New Roman"/>
          <w:sz w:val="24"/>
          <w:szCs w:val="24"/>
        </w:rPr>
      </w:pPr>
    </w:p>
    <w:p w:rsidR="00043AC6" w:rsidRDefault="00043AC6" w:rsidP="005E539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43AC6" w:rsidRDefault="00043AC6" w:rsidP="00043AC6">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29" cy="397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6e.PNG"/>
                    <pic:cNvPicPr/>
                  </pic:nvPicPr>
                  <pic:blipFill>
                    <a:blip r:embed="rId12">
                      <a:extLst>
                        <a:ext uri="{28A0092B-C50C-407E-A947-70E740481C1C}">
                          <a14:useLocalDpi xmlns:a14="http://schemas.microsoft.com/office/drawing/2010/main" val="0"/>
                        </a:ext>
                      </a:extLst>
                    </a:blip>
                    <a:stretch>
                      <a:fillRect/>
                    </a:stretch>
                  </pic:blipFill>
                  <pic:spPr>
                    <a:xfrm>
                      <a:off x="0" y="0"/>
                      <a:ext cx="4791415" cy="3976976"/>
                    </a:xfrm>
                    <a:prstGeom prst="rect">
                      <a:avLst/>
                    </a:prstGeom>
                  </pic:spPr>
                </pic:pic>
              </a:graphicData>
            </a:graphic>
          </wp:inline>
        </w:drawing>
      </w:r>
    </w:p>
    <w:p w:rsidR="00834E36" w:rsidRDefault="00FA7995" w:rsidP="00043AC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When compared to Q10 the above results have larger areas of high values (in the center).</w:t>
      </w:r>
      <w:r w:rsidR="00043AC6">
        <w:rPr>
          <w:rFonts w:ascii="Times New Roman" w:hAnsi="Times New Roman" w:cs="Times New Roman"/>
          <w:sz w:val="24"/>
          <w:szCs w:val="24"/>
        </w:rPr>
        <w:t xml:space="preserve"> </w:t>
      </w: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5C49EA" w:rsidRDefault="005C49EA" w:rsidP="00043AC6">
      <w:pPr>
        <w:pStyle w:val="ListParagraph"/>
        <w:spacing w:line="240" w:lineRule="auto"/>
        <w:rPr>
          <w:rFonts w:ascii="Times New Roman" w:hAnsi="Times New Roman" w:cs="Times New Roman"/>
          <w:sz w:val="24"/>
          <w:szCs w:val="24"/>
        </w:rPr>
      </w:pPr>
    </w:p>
    <w:p w:rsidR="00043AC6" w:rsidRDefault="00FA7995" w:rsidP="005E539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A7995" w:rsidRDefault="00FA7995" w:rsidP="00FA7995">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7700" cy="36676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4459512" cy="3669092"/>
                    </a:xfrm>
                    <a:prstGeom prst="rect">
                      <a:avLst/>
                    </a:prstGeom>
                  </pic:spPr>
                </pic:pic>
              </a:graphicData>
            </a:graphic>
          </wp:inline>
        </w:drawing>
      </w:r>
    </w:p>
    <w:p w:rsidR="00FA7995" w:rsidRDefault="00FA7995" w:rsidP="00FA799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Increasing the maximum number of neighbors from 5 to 10 seemed to smooth out the dispersion of high and low values but did not have a major impact otherwise.</w:t>
      </w:r>
    </w:p>
    <w:p w:rsidR="00FA7995" w:rsidRDefault="00FA7995" w:rsidP="00FA799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226"/>
        <w:gridCol w:w="2134"/>
        <w:gridCol w:w="2135"/>
        <w:gridCol w:w="2135"/>
      </w:tblGrid>
      <w:tr w:rsidR="00FA7995" w:rsidTr="00FA7995">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p>
        </w:tc>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Q10</w:t>
            </w:r>
          </w:p>
        </w:tc>
        <w:tc>
          <w:tcPr>
            <w:tcW w:w="2338"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Q12</w:t>
            </w:r>
          </w:p>
        </w:tc>
        <w:tc>
          <w:tcPr>
            <w:tcW w:w="2338"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Q13</w:t>
            </w:r>
          </w:p>
        </w:tc>
      </w:tr>
      <w:tr w:rsidR="00FA7995" w:rsidTr="00FA7995">
        <w:tc>
          <w:tcPr>
            <w:tcW w:w="2337" w:type="dxa"/>
            <w:shd w:val="clear" w:color="auto" w:fill="D9D9D9" w:themeFill="background1" w:themeFillShade="D9"/>
          </w:tcPr>
          <w:p w:rsidR="00FA7995" w:rsidRPr="00FA7995" w:rsidRDefault="00FA7995" w:rsidP="00FA7995">
            <w:pPr>
              <w:rPr>
                <w:rFonts w:ascii="Times New Roman" w:hAnsi="Times New Roman" w:cs="Times New Roman"/>
                <w:b/>
                <w:sz w:val="24"/>
                <w:szCs w:val="24"/>
              </w:rPr>
            </w:pPr>
            <w:r w:rsidRPr="00FA7995">
              <w:rPr>
                <w:rFonts w:ascii="Times New Roman" w:hAnsi="Times New Roman" w:cs="Times New Roman"/>
                <w:sz w:val="24"/>
                <w:szCs w:val="24"/>
              </w:rPr>
              <w:t>Mean Error</w:t>
            </w:r>
          </w:p>
        </w:tc>
        <w:tc>
          <w:tcPr>
            <w:tcW w:w="2337" w:type="dxa"/>
          </w:tcPr>
          <w:p w:rsidR="00FA7995" w:rsidRDefault="00DE1BD2"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0.12</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0.13</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0.07</w:t>
            </w:r>
          </w:p>
        </w:tc>
      </w:tr>
      <w:tr w:rsidR="00FA7995" w:rsidTr="00FA7995">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Root-mean-Square Error</w:t>
            </w:r>
          </w:p>
        </w:tc>
        <w:tc>
          <w:tcPr>
            <w:tcW w:w="2337" w:type="dxa"/>
          </w:tcPr>
          <w:p w:rsidR="00FA7995" w:rsidRDefault="00DE1BD2" w:rsidP="00FA7995">
            <w:pPr>
              <w:pStyle w:val="ListParagraph"/>
              <w:ind w:left="0"/>
              <w:rPr>
                <w:rFonts w:ascii="Times New Roman" w:hAnsi="Times New Roman" w:cs="Times New Roman"/>
                <w:sz w:val="24"/>
                <w:szCs w:val="24"/>
              </w:rPr>
            </w:pPr>
            <w:r>
              <w:rPr>
                <w:rFonts w:ascii="Times New Roman" w:hAnsi="Times New Roman" w:cs="Times New Roman"/>
                <w:sz w:val="24"/>
                <w:szCs w:val="24"/>
              </w:rPr>
              <w:t>7.39</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7.17</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7.46</w:t>
            </w:r>
          </w:p>
        </w:tc>
      </w:tr>
      <w:tr w:rsidR="00FA7995" w:rsidTr="00FA7995">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Mean Standardized Error</w:t>
            </w:r>
          </w:p>
        </w:tc>
        <w:tc>
          <w:tcPr>
            <w:tcW w:w="2337"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-0.06</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-0.07</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-0.07</w:t>
            </w:r>
          </w:p>
        </w:tc>
      </w:tr>
      <w:tr w:rsidR="00FA7995" w:rsidTr="00FA7995">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Root-Mean-Square Standardized Error</w:t>
            </w:r>
          </w:p>
        </w:tc>
        <w:tc>
          <w:tcPr>
            <w:tcW w:w="2337"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0.96</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0.97</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0.99</w:t>
            </w:r>
          </w:p>
        </w:tc>
      </w:tr>
      <w:tr w:rsidR="00FA7995" w:rsidTr="00FA7995">
        <w:tc>
          <w:tcPr>
            <w:tcW w:w="2337" w:type="dxa"/>
            <w:shd w:val="clear" w:color="auto" w:fill="D9D9D9" w:themeFill="background1" w:themeFillShade="D9"/>
          </w:tcPr>
          <w:p w:rsidR="00FA7995" w:rsidRDefault="00FA7995" w:rsidP="00FA7995">
            <w:pPr>
              <w:pStyle w:val="ListParagraph"/>
              <w:ind w:left="0"/>
              <w:rPr>
                <w:rFonts w:ascii="Times New Roman" w:hAnsi="Times New Roman" w:cs="Times New Roman"/>
                <w:sz w:val="24"/>
                <w:szCs w:val="24"/>
              </w:rPr>
            </w:pPr>
            <w:r>
              <w:rPr>
                <w:rFonts w:ascii="Times New Roman" w:hAnsi="Times New Roman" w:cs="Times New Roman"/>
                <w:sz w:val="24"/>
                <w:szCs w:val="24"/>
              </w:rPr>
              <w:t>Average Standard Error</w:t>
            </w:r>
          </w:p>
        </w:tc>
        <w:tc>
          <w:tcPr>
            <w:tcW w:w="2337"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10.81</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10.87</w:t>
            </w:r>
          </w:p>
        </w:tc>
        <w:tc>
          <w:tcPr>
            <w:tcW w:w="2338" w:type="dxa"/>
          </w:tcPr>
          <w:p w:rsidR="00FA7995" w:rsidRDefault="0090732C" w:rsidP="00FA7995">
            <w:pPr>
              <w:pStyle w:val="ListParagraph"/>
              <w:ind w:left="0"/>
              <w:rPr>
                <w:rFonts w:ascii="Times New Roman" w:hAnsi="Times New Roman" w:cs="Times New Roman"/>
                <w:sz w:val="24"/>
                <w:szCs w:val="24"/>
              </w:rPr>
            </w:pPr>
            <w:r>
              <w:rPr>
                <w:rFonts w:ascii="Times New Roman" w:hAnsi="Times New Roman" w:cs="Times New Roman"/>
                <w:sz w:val="24"/>
                <w:szCs w:val="24"/>
              </w:rPr>
              <w:t>10.88</w:t>
            </w:r>
          </w:p>
        </w:tc>
      </w:tr>
    </w:tbl>
    <w:p w:rsidR="00FA7995" w:rsidRDefault="0090732C" w:rsidP="00FA799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prediction map generated in Q10 is the best, as shown above.</w:t>
      </w: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p>
    <w:p w:rsidR="005C49EA" w:rsidRDefault="005C49EA" w:rsidP="00FA7995">
      <w:pPr>
        <w:pStyle w:val="ListParagraph"/>
        <w:spacing w:line="240" w:lineRule="auto"/>
        <w:rPr>
          <w:rFonts w:ascii="Times New Roman" w:hAnsi="Times New Roman" w:cs="Times New Roman"/>
          <w:sz w:val="24"/>
          <w:szCs w:val="24"/>
        </w:rPr>
      </w:pPr>
      <w:bookmarkStart w:id="0" w:name="_GoBack"/>
      <w:bookmarkEnd w:id="0"/>
    </w:p>
    <w:p w:rsidR="00FA7995" w:rsidRPr="00FA7995" w:rsidRDefault="001A2151" w:rsidP="0090732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IDW and Kriging both produced continuous surfaces over the study region. IDW resulted in interpolations showing high values in the center of the study region and moving (while decreasing) in the northeast. Kriging produced high values in the center of the study region with lower values in the east and northwest. Both showed the highest values in the center of the study area, near Fresno. Both IDW and Kriging interpolations do not cover the entirety of California. Another disadvantage of both is they both interpolate over regions such as the Ocean and Nevada, where no points exist whatsoever (meaning high likelihood of error in these areas). </w:t>
      </w:r>
      <w:r w:rsidR="00551907">
        <w:rPr>
          <w:rFonts w:ascii="Times New Roman" w:hAnsi="Times New Roman" w:cs="Times New Roman"/>
          <w:sz w:val="24"/>
          <w:szCs w:val="24"/>
        </w:rPr>
        <w:t>IDW assigns unknown values as a weighted average of surrounding points, while Kriging creates a general model that describes how the sample values vary with distance and direction. Because of these definitions, IDW is likely better suited for local/small scale analyses while Kriging is best at overall trends.</w:t>
      </w:r>
    </w:p>
    <w:sectPr w:rsidR="00FA7995" w:rsidRPr="00FA79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D42" w:rsidRDefault="00876D42" w:rsidP="00876D42">
      <w:pPr>
        <w:spacing w:after="0" w:line="240" w:lineRule="auto"/>
      </w:pPr>
      <w:r>
        <w:separator/>
      </w:r>
    </w:p>
  </w:endnote>
  <w:endnote w:type="continuationSeparator" w:id="0">
    <w:p w:rsidR="00876D42" w:rsidRDefault="00876D42" w:rsidP="0087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D42" w:rsidRDefault="00876D42" w:rsidP="00876D42">
      <w:pPr>
        <w:spacing w:after="0" w:line="240" w:lineRule="auto"/>
      </w:pPr>
      <w:r>
        <w:separator/>
      </w:r>
    </w:p>
  </w:footnote>
  <w:footnote w:type="continuationSeparator" w:id="0">
    <w:p w:rsidR="00876D42" w:rsidRDefault="00876D42" w:rsidP="00876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D42" w:rsidRPr="00876D42" w:rsidRDefault="00876D42">
    <w:pPr>
      <w:pStyle w:val="Header"/>
      <w:rPr>
        <w:rFonts w:ascii="Times New Roman" w:hAnsi="Times New Roman" w:cs="Times New Roman"/>
        <w:sz w:val="24"/>
        <w:szCs w:val="24"/>
      </w:rPr>
    </w:pPr>
    <w:r w:rsidRPr="00876D42">
      <w:rPr>
        <w:rFonts w:ascii="Times New Roman" w:hAnsi="Times New Roman" w:cs="Times New Roman"/>
        <w:sz w:val="24"/>
        <w:szCs w:val="24"/>
      </w:rPr>
      <w:tab/>
    </w:r>
    <w:r w:rsidRPr="00876D42">
      <w:rPr>
        <w:rFonts w:ascii="Times New Roman" w:hAnsi="Times New Roman" w:cs="Times New Roman"/>
        <w:sz w:val="24"/>
        <w:szCs w:val="24"/>
      </w:rPr>
      <w:tab/>
      <w:t>Noah Tigner</w:t>
    </w:r>
  </w:p>
  <w:p w:rsidR="00876D42" w:rsidRPr="00876D42" w:rsidRDefault="00876D42">
    <w:pPr>
      <w:pStyle w:val="Header"/>
      <w:rPr>
        <w:rFonts w:ascii="Times New Roman" w:hAnsi="Times New Roman" w:cs="Times New Roman"/>
        <w:sz w:val="24"/>
        <w:szCs w:val="24"/>
      </w:rPr>
    </w:pPr>
    <w:r w:rsidRPr="00876D42">
      <w:rPr>
        <w:rFonts w:ascii="Times New Roman" w:hAnsi="Times New Roman" w:cs="Times New Roman"/>
        <w:sz w:val="24"/>
        <w:szCs w:val="24"/>
      </w:rPr>
      <w:tab/>
    </w:r>
    <w:r w:rsidRPr="00876D42">
      <w:rPr>
        <w:rFonts w:ascii="Times New Roman" w:hAnsi="Times New Roman" w:cs="Times New Roman"/>
        <w:sz w:val="24"/>
        <w:szCs w:val="24"/>
      </w:rPr>
      <w:tab/>
      <w:t>GEGO 491 – Spatial Analysis</w:t>
    </w:r>
  </w:p>
  <w:p w:rsidR="00876D42" w:rsidRPr="00876D42" w:rsidRDefault="00876D42">
    <w:pPr>
      <w:pStyle w:val="Header"/>
      <w:rPr>
        <w:rFonts w:ascii="Times New Roman" w:hAnsi="Times New Roman" w:cs="Times New Roman"/>
        <w:sz w:val="24"/>
        <w:szCs w:val="24"/>
      </w:rPr>
    </w:pPr>
    <w:r w:rsidRPr="00876D42">
      <w:rPr>
        <w:rFonts w:ascii="Times New Roman" w:hAnsi="Times New Roman" w:cs="Times New Roman"/>
        <w:sz w:val="24"/>
        <w:szCs w:val="24"/>
      </w:rPr>
      <w:tab/>
    </w:r>
    <w:r w:rsidRPr="00876D42">
      <w:rPr>
        <w:rFonts w:ascii="Times New Roman" w:hAnsi="Times New Roman" w:cs="Times New Roman"/>
        <w:sz w:val="24"/>
        <w:szCs w:val="24"/>
      </w:rPr>
      <w:tab/>
      <w:t>Fall 2020</w:t>
    </w:r>
  </w:p>
  <w:p w:rsidR="00876D42" w:rsidRDefault="00876D42">
    <w:pPr>
      <w:pStyle w:val="Header"/>
      <w:rPr>
        <w:rFonts w:ascii="Times New Roman" w:hAnsi="Times New Roman" w:cs="Times New Roman"/>
        <w:sz w:val="24"/>
        <w:szCs w:val="24"/>
      </w:rPr>
    </w:pPr>
    <w:r w:rsidRPr="00876D42">
      <w:rPr>
        <w:rFonts w:ascii="Times New Roman" w:hAnsi="Times New Roman" w:cs="Times New Roman"/>
        <w:sz w:val="24"/>
        <w:szCs w:val="24"/>
      </w:rPr>
      <w:tab/>
      <w:t>Assignment 4</w:t>
    </w:r>
  </w:p>
  <w:p w:rsidR="00876D42" w:rsidRPr="00876D42" w:rsidRDefault="00876D4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C5B42"/>
    <w:multiLevelType w:val="hybridMultilevel"/>
    <w:tmpl w:val="7F0A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A6CE9"/>
    <w:multiLevelType w:val="hybridMultilevel"/>
    <w:tmpl w:val="7F0A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42"/>
    <w:rsid w:val="00043AC6"/>
    <w:rsid w:val="00094EF7"/>
    <w:rsid w:val="001A2151"/>
    <w:rsid w:val="00297449"/>
    <w:rsid w:val="00320603"/>
    <w:rsid w:val="003D42D5"/>
    <w:rsid w:val="004E353E"/>
    <w:rsid w:val="00551907"/>
    <w:rsid w:val="005C49EA"/>
    <w:rsid w:val="005E5396"/>
    <w:rsid w:val="006F5A56"/>
    <w:rsid w:val="00734172"/>
    <w:rsid w:val="0079317A"/>
    <w:rsid w:val="00834E36"/>
    <w:rsid w:val="00876D42"/>
    <w:rsid w:val="0090732C"/>
    <w:rsid w:val="00A44DA8"/>
    <w:rsid w:val="00AA15E9"/>
    <w:rsid w:val="00BD02E0"/>
    <w:rsid w:val="00C65EE8"/>
    <w:rsid w:val="00DE1BD2"/>
    <w:rsid w:val="00FA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4426"/>
  <w15:chartTrackingRefBased/>
  <w15:docId w15:val="{534CB0A0-A62A-411D-AD9C-7A2D0C42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2"/>
  </w:style>
  <w:style w:type="paragraph" w:styleId="Footer">
    <w:name w:val="footer"/>
    <w:basedOn w:val="Normal"/>
    <w:link w:val="FooterChar"/>
    <w:uiPriority w:val="99"/>
    <w:unhideWhenUsed/>
    <w:rsid w:val="00876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2"/>
  </w:style>
  <w:style w:type="paragraph" w:styleId="ListParagraph">
    <w:name w:val="List Paragraph"/>
    <w:basedOn w:val="Normal"/>
    <w:uiPriority w:val="34"/>
    <w:qFormat/>
    <w:rsid w:val="003D42D5"/>
    <w:pPr>
      <w:ind w:left="720"/>
      <w:contextualSpacing/>
    </w:pPr>
  </w:style>
  <w:style w:type="table" w:styleId="TableGrid">
    <w:name w:val="Table Grid"/>
    <w:basedOn w:val="TableNormal"/>
    <w:uiPriority w:val="39"/>
    <w:rsid w:val="004E3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r1">
    <w:name w:val="subr1"/>
    <w:basedOn w:val="DefaultParagraphFont"/>
    <w:rsid w:val="00C65EE8"/>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15</cp:revision>
  <dcterms:created xsi:type="dcterms:W3CDTF">2020-11-14T00:58:00Z</dcterms:created>
  <dcterms:modified xsi:type="dcterms:W3CDTF">2020-11-14T03:55:00Z</dcterms:modified>
</cp:coreProperties>
</file>