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DAFTAR REFERENSI</w:t>
      </w:r>
    </w:p>
    <w:p>
      <w:pPr>
        <w:spacing w:after="200"/>
        <w:ind w:left="720" w:hanging="720"/>
      </w:pPr>
      <w:r>
        <w:t xml:space="preserve">Dubey, R., et al. (2025). Artificial Intelligence and English Language Learning: Exploring the Roles of AI-Driven Tools in Personalizing Learning and Providing Instant Feedback. International Journal of Modern Education. </w:t>
      </w:r>
      <w:r>
        <w:rPr>
          <w:color w:val="0000FF"/>
          <w:u w:val="single"/>
        </w:rPr>
        <w:t xml:space="preserve">Available at: https://www.researchgate.net/publication/381519244</w:t>
      </w:r>
    </w:p>
    <w:p>
      <w:pPr>
        <w:spacing w:after="200"/>
        <w:ind w:left="720" w:hanging="720"/>
      </w:pPr>
      <w:r>
        <w:t xml:space="preserve">Lo, C. K. (2023). What is the impact of ChatGPT on education? A rapid review of the literature. Education Sciences. 13(4), 410. </w:t>
      </w:r>
      <w:r>
        <w:rPr>
          <w:color w:val="0000FF"/>
          <w:u w:val="single"/>
        </w:rPr>
        <w:t xml:space="preserve">Available at: https://doi.org/10.3390/educsci13040410</w:t>
      </w:r>
    </w:p>
    <w:p>
      <w:pPr>
        <w:spacing w:after="200"/>
        <w:ind w:left="720" w:hanging="720"/>
      </w:pPr>
      <w:r>
        <w:t xml:space="preserve">Jeon, J. (2024). Exploring AI chatbot affordances in the EFL classroom: Young learners’ experiences and perspectives. Computer Assisted Language Learning. 37(1-2), 1-28. </w:t>
      </w:r>
      <w:r>
        <w:rPr>
          <w:color w:val="0000FF"/>
          <w:u w:val="single"/>
        </w:rPr>
        <w:t xml:space="preserve">Available at: https://doi.org/10.1080/09588221.2021.2021241</w:t>
      </w:r>
    </w:p>
    <w:p>
      <w:pPr>
        <w:spacing w:after="200"/>
        <w:ind w:left="720" w:hanging="720"/>
      </w:pPr>
      <w:r>
        <w:t xml:space="preserve">Widyana, R., et al. (2022). The Application of Text-to-Speech Technology in Language Learning. Proceedings of the 6th International Conference on Language, Literature, Culture, and Education. </w:t>
      </w:r>
      <w:r>
        <w:rPr>
          <w:color w:val="0000FF"/>
          <w:u w:val="single"/>
        </w:rPr>
        <w:t xml:space="preserve">Available at: https://doi.org/10.2991/978-2-494069-91-6_14</w:t>
      </w:r>
    </w:p>
    <w:p>
      <w:pPr>
        <w:spacing w:after="200"/>
        <w:ind w:left="720" w:hanging="720"/>
      </w:pPr>
      <w:r>
        <w:t xml:space="preserve">Nurkholis, A., Bimantara, R., &amp; Neneng. (2022). Interactive English E-Learning Based on Cloud Speech-to-Text API. Jurnal Ilmiah Edutic: Pendidikan dan Informatika. </w:t>
      </w:r>
      <w:r>
        <w:rPr>
          <w:color w:val="0000FF"/>
          <w:u w:val="single"/>
        </w:rPr>
        <w:t xml:space="preserve">Available at: https://www.researchgate.net/publication/365851493</w:t>
      </w:r>
    </w:p>
    <w:p>
      <w:pPr>
        <w:spacing w:after="200"/>
        <w:ind w:left="720" w:hanging="720"/>
      </w:pPr>
      <w:r>
        <w:t xml:space="preserve">Lin, V., et al. (2023). The Impact of Virtual Pedagogical Agents on Learners’ Social Presence and Knowledge Transfer. Computers &amp; Education. </w:t>
      </w:r>
      <w:r>
        <w:rPr>
          <w:color w:val="0000FF"/>
          <w:u w:val="single"/>
        </w:rPr>
        <w:t xml:space="preserve">Available at: https://doi.org/10.1016/j.compedu.2023.104823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2026-01-26T12:57:29.562Z</dcterms:created>
  <dcterms:modified xsi:type="dcterms:W3CDTF">2026-01-26T12:57:29.563Z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