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OFF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microVM sandbox (SEC-1)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 enforced at the model gateway for API-key sessions and only by the runtime adapter in subscription mode (ADR-0014)</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server keeps the refresh token in the secret store, and short-lived user access tokens are applied only at the worker, never inside the sandbox (ADR-0010); user tokens cannot be narrowed to the persona's permissions, so every use passes the persona's policy check (ADR-0015) and is audited (SEC-5); tokens are requested restricted to the session's target repo (GitHub's repository_id parameter) where GitHub allows it, as defense in depth only (ADR-0012)</w:t>
            </w:r>
          </w:p>
        </w:tc>
        <w:tc>
          <w:tcPr>
            <w:tcW w:w="3120" w:type="dxa"/>
          </w:tcPr>
          <w:p>
            <w:pPr/>
            <w:r>
              <w:t xml:space="preserve">M</w:t>
            </w:r>
          </w:p>
        </w:tc>
      </w:tr>
      <w:tr>
        <w:tc>
          <w:tcPr>
            <w:tcW w:w="3120" w:type="dxa"/>
          </w:tcPr>
          <w:p>
            <w:pPr/>
            <w:r>
              <w:t xml:space="preserve">GH-7</w:t>
            </w:r>
          </w:p>
        </w:tc>
        <w:tc>
          <w:tcPr>
            <w:tcW w:w="3120" w:type="dxa"/>
          </w:tcPr>
          <w:p>
            <w:pPr/>
            <w:r>
              <w:t xml:space="preserve">Per persona or session, PRs, commits and comments are authored as the app bot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bot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a hardware-virtualized microVM such as Firecracker or Cloud Hypervisor; plain containers and userspace kernels such as gVisor do not qualify;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the platform executes or forwards (push, merge, workflow dispatch, Linear status change, API calls through the worker proxies, including cloud mutations) is recorded in an append-only audit log with session, persona, head SHA and actor; actions taken with direct credentials or over the tailnet are bounded by credential scope and tailnet ACL instead (ADR-0010, ADR-0011)</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behind a pluggable interface (OSS-3), resolved by reference at session start; OpenBao is the first implementation and the only one that mints dynamic credentials (ID-2); Bitwarden Secrets Manager is supported for static secrets; Vault or Infisical may follow (ADR-0010)</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apart from the subscription-mode token (COST-3), nothing long-lived enters the sandbox, and in practice only credentials with no injectable header enter it at all (ADR-0010)</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The platform never passes secrets in argv or writes them to files, logs or the timeline; session output (events, terminal recordings, artifacts) is scrubbed for every known secret value, placeholder and token pattern before it leaves the worker; encoded copies made by guest code are not caught, which is why credentials stay outside the sandbox (ADR-0010)</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(tokens x model price), aggregated per issue, persona and day; API-key sessions are metered at the model gateway outside the sandbox, which is authoritative; subscription sessions use runtime-reported usage,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Budget caps per session and per day, hard for API-key sessions: they are capped at the model gateway outside the sandbox, so spend cannot pass the cap except by provider-side usage a response does not report, which is reconciled on the next request; subscription sessions are capped best effort on their notional spend (COST-1) by the runtime adapter (ADR-0014);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setup-token, ChatGPT sign-in for Codex or opencode) alongside API keys; subscription mode is opt-in and available only when the deployment's single user is both the subscriber and the operator, on infrastructure only they control; multi-user deployments cannot enable it;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Firecracker (Cloud Hypervisor fallback)</w:t>
            </w:r>
          </w:p>
        </w:tc>
        <w:tc>
          <w:tcPr>
            <w:tcW w:w="3120" w:type="dxa"/>
          </w:tcPr>
          <w:p>
            <w:pPr/>
            <w:r>
              <w:t xml:space="preserve">SandboxProvider adapter, image and snapshot pipeline (ADR-0007, ADR-0008)</w:t>
            </w:r>
          </w:p>
        </w:tc>
      </w:tr>
      <w:tr>
        <w:tc>
          <w:tcPr>
            <w:tcW w:w="3120" w:type="dxa"/>
          </w:tcPr>
          <w:p>
            <w:pPr/>
            <w:r>
              <w:t xml:space="preserve">Workspaces and snapshots</w:t>
            </w:r>
          </w:p>
        </w:tc>
        <w:tc>
          <w:tcPr>
            <w:tcW w:w="3120" w:type="dxa"/>
          </w:tcPr>
          <w:p>
            <w:pPr/>
            <w:r>
              <w:t xml:space="preserve">devcontainer spec as a later import format (ADR-0008); Coder not adopted (ADR-0002)</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headless; ACP agents (opencode, codex-acp)</w:t>
            </w:r>
          </w:p>
        </w:tc>
        <w:tc>
          <w:tcPr>
            <w:tcW w:w="3120" w:type="dxa"/>
          </w:tcPr>
          <w:p>
            <w:pPr/>
            <w:r>
              <w:t xml:space="preserve">Two runtime adapters + event schema (RT-1, RT-2, ADR-0009)</w:t>
            </w:r>
          </w:p>
        </w:tc>
      </w:tr>
      <w:tr>
        <w:tc>
          <w:tcPr>
            <w:tcW w:w="3120" w:type="dxa"/>
          </w:tcPr>
          <w:p>
            <w:pPr/>
            <w:r>
              <w:t xml:space="preserve">Workflow engine</w:t>
            </w:r>
          </w:p>
        </w:tc>
        <w:tc>
          <w:tcPr>
            <w:tcW w:w="3120" w:type="dxa"/>
          </w:tcPr>
          <w:p>
            <w:pPr/>
            <w:r>
              <w:t xml:space="preserve">DBOS Transact (Java) on Postgres (ADR-0006)</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code-server, xterm.js, noVNC for browser view (ADR-0013)</w:t>
            </w:r>
          </w:p>
        </w:tc>
        <w:tc>
          <w:tcPr>
            <w:tcW w:w="3120" w:type="dxa"/>
          </w:tcPr>
          <w:p>
            <w:pPr/>
            <w:r>
              <w:t xml:space="preserve">Session list, inbox, timeline (ADR-0016)</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None adopted: Envoy's SNI proxy is alpha, smokescreen needs explicit proxy settings (ADR-0011)</w:t>
            </w:r>
          </w:p>
        </w:tc>
        <w:tc>
          <w:tcPr>
            <w:tcW w:w="3120" w:type="dxa"/>
          </w:tcPr>
          <w:p>
            <w:pPr/>
            <w:r>
              <w:t xml:space="preserve">Rust egress proxy on the worker, allowlist from blueprints (ADR-0011)</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and the network-level part of SEC-2 (default deny; the proxy domain allowlist is checked in the first Phase 1 slice); verify the subscription-token auth signals (COST-3, architecture test 6a; the broker-held credential question is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Resolved: a thin new control plane that reuses components at defined seams (ADR-0002); Phase 0 still measures OpenHands, Coder, E2B and microsandbox as evidence.</w:t>
      </w:r>
    </w:p>
    <w:p>
      <w:pPr>
        <w:pStyle w:val="ListParagraph"/>
        <w:numPr>
          <w:ilvl w:val="0"/>
          <w:numId w:val="9"/>
        </w:numPr>
      </w:pPr>
      <w:r>
        <w:t xml:space="preserve">☒ Do Claude Code and Codex subscription terms allow headless use from a self-hosted multi-session server, or are API keys required? (COST-3) Resolved in ADR-0014: API keys by default; subscription mode is opt-in for a single-user deployment whose user is both the subscriber and the operator.</w:t>
      </w:r>
    </w:p>
    <w:p>
      <w:pPr>
        <w:pStyle w:val="ListParagraph"/>
        <w:numPr>
          <w:ilvl w:val="0"/>
          <w:numId w:val="9"/>
        </w:numPr>
      </w:pPr>
      <w:r>
        <w:t xml:space="preserve">☒ Project owner sign-off on the residual terms risk of storing the subscriber's Claude setup-token, required before subscription mode ships (ADR-0014). Resolved: the owner accepted it for the first release of subscription mode (2026-10-08).</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node/489dc061-0736@83 docx-w6</dc:description>
  <cp:revision>83</cp:revision>
</cp:coreProperties>
</file>