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sandbox (microVM or gVisor-sandboxed container)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broker holds the refresh token and the sandbox gets only a short-lived user access token restricted to the session's target repo (GitHub's repository_id parameter); user tokens cannot be narrowed to the persona's permissions, so any action outside them goes through the broker</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(Firecracker, Cloud Hypervisor or gVisor);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(push, merge, workflow dispatch, Linear status change, cloud mutation) is recorded in an append-only audit log with session, persona, head SHA and actor</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(OpenBao / Bitwarden Secrets Manager / Infisical / Vault); the platform resolves them by reference at session start</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nothing long-lived enters the sandbox</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Secrets never appear in argv, files, logs or the timeline; output is scrubbed for known secret values and patterns before storage</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from runtime events (tokens x model price), aggregated per issue, persona and day; for subscription runtimes this is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Hard budget caps per session and per day;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OAuth, Codex login) alongside API keys, with per-session isolated auth homes; subscription mode is opt-in and limited to single-subscriber deployments;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OpenHands runtime, E2B / microsandbox, Firecracker, gVisor</w:t>
            </w:r>
          </w:p>
        </w:tc>
        <w:tc>
          <w:tcPr>
            <w:tcW w:w="3120" w:type="dxa"/>
          </w:tcPr>
          <w:p>
            <w:pPr/>
            <w:r>
              <w:t xml:space="preserve">Adapter to the chosen backend</w:t>
            </w:r>
          </w:p>
        </w:tc>
      </w:tr>
      <w:tr>
        <w:tc>
          <w:tcPr>
            <w:tcW w:w="3120" w:type="dxa"/>
          </w:tcPr>
          <w:p>
            <w:pPr/>
            <w:r>
              <w:t xml:space="preserve">Workspaces and snapshots</w:t>
            </w:r>
          </w:p>
        </w:tc>
        <w:tc>
          <w:tcPr>
            <w:tcW w:w="3120" w:type="dxa"/>
          </w:tcPr>
          <w:p>
            <w:pPr/>
            <w:r>
              <w:t xml:space="preserve">Coder (Terraform templates), devcontainer spec</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opencode, Codex CLI headless modes</w:t>
            </w:r>
          </w:p>
        </w:tc>
        <w:tc>
          <w:tcPr>
            <w:tcW w:w="3120" w:type="dxa"/>
          </w:tcPr>
          <w:p>
            <w:pPr/>
            <w:r>
              <w:t xml:space="preserve">Runtime adapters + event normalizer (RT-1, RT-2)</w:t>
            </w:r>
          </w:p>
        </w:tc>
      </w:tr>
      <w:tr>
        <w:tc>
          <w:tcPr>
            <w:tcW w:w="3120" w:type="dxa"/>
          </w:tcPr>
          <w:p>
            <w:pPr/>
            <w:r>
              <w:t xml:space="preserve">Workflow engine</w:t>
            </w:r>
          </w:p>
        </w:tc>
        <w:tc>
          <w:tcPr>
            <w:tcW w:w="3120" w:type="dxa"/>
          </w:tcPr>
          <w:p>
            <w:pPr/>
            <w:r>
              <w:t xml:space="preserve">Temporal or a durable-execution library</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OpenHands UI, code-server, xterm.js, noVNC for browser view</w:t>
            </w:r>
          </w:p>
        </w:tc>
        <w:tc>
          <w:tcPr>
            <w:tcW w:w="3120" w:type="dxa"/>
          </w:tcPr>
          <w:p>
            <w:pPr/>
            <w:r>
              <w:t xml:space="preserve">Session list, inbox, timeline</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Squid / Envoy / smokescreen</w:t>
            </w:r>
          </w:p>
        </w:tc>
        <w:tc>
          <w:tcPr>
            <w:tcW w:w="3120" w:type="dxa"/>
          </w:tcPr>
          <w:p>
            <w:pPr/>
            <w:r>
              <w:t xml:space="preserve">Allowlist config from blueprints</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SEC-2; test broker-held subscription credentials (COST-3,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Decide in Phase 0.</w:t>
      </w:r>
    </w:p>
    <w:p>
      <w:pPr>
        <w:pStyle w:val="ListParagraph"/>
        <w:numPr>
          <w:ilvl w:val="0"/>
          <w:numId w:val="9"/>
        </w:numPr>
      </w:pPr>
      <w:r>
        <w:t xml:space="preserve">☐ Do Claude Code and Codex subscription terms allow headless use from a self-hosted multi-session server, or are API keys required? (COST-3) Answered in ADR-0014: API keys by default; subscription mode only for single-subscriber deployments, with storing the Claude setup-token an accepted residual risk awaiting owner sign-off.</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node/489dc061-0736@49 docx-w6</dc:description>
  <cp:revision>49</cp:revision>
</cp:coreProperties>
</file>