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2C3E50"/>
          <w:sz w:val="26"/>
        </w:rPr>
        <w:t>FINAL PROJECT REPORT</w:t>
      </w:r>
    </w:p>
    <w:p>
      <w:pPr>
        <w:jc w:val="center"/>
      </w:pPr>
      <w:r>
        <w:rPr>
          <w:rFonts w:ascii="Calibri" w:hAnsi="Calibri"/>
          <w:b/>
          <w:i w:val="0"/>
          <w:color w:val="2C3E50"/>
          <w:sz w:val="36"/>
        </w:rPr>
        <w:t>Predicting and Preventing Burnout Using</w:t>
        <w:br/>
        <w:t>Cognitive Load Analysis</w:t>
      </w:r>
    </w:p>
    <w:p/>
    <w:p>
      <w:pPr>
        <w:jc w:val="center"/>
      </w:pPr>
      <w:r>
        <w:rPr>
          <w:rFonts w:ascii="Calibri" w:hAnsi="Calibri"/>
          <w:b w:val="0"/>
          <w:i w:val="0"/>
          <w:color w:val="34495E"/>
          <w:sz w:val="28"/>
        </w:rPr>
        <w:t>Notebook 08: Wild Data — Exploratory CLI Visualization</w:t>
      </w:r>
    </w:p>
    <w:p/>
    <w:p>
      <w:pPr>
        <w:jc w:val="center"/>
      </w:pPr>
      <w:r>
        <w:rPr>
          <w:rFonts w:ascii="Calibri" w:hAnsi="Calibri"/>
          <w:b w:val="0"/>
          <w:i/>
          <w:color w:val="7F8C8D"/>
          <w:sz w:val="22"/>
        </w:rPr>
        <w:t>EXPLORATORY ONLY. Applying the final selected model to naturalistic</w:t>
        <w:br/>
        <w:t>"in-the-wild" recordings to assess real-world CLI behavior.</w:t>
      </w:r>
    </w:p>
    <w:p/>
    <w:p/>
    <w:p>
      <w:pPr>
        <w:jc w:val="center"/>
      </w:pPr>
      <w:r>
        <w:rPr>
          <w:rFonts w:ascii="Calibri" w:hAnsi="Calibri"/>
          <w:b w:val="0"/>
          <w:i w:val="0"/>
          <w:color w:val="646464"/>
          <w:sz w:val="20"/>
        </w:rPr>
        <w:t>Department of Industrial Engineering and Management</w:t>
        <w:br/>
        <w:t>May 2026</w:t>
      </w:r>
    </w:p>
    <w:p>
      <w:r>
        <w:br w:type="page"/>
      </w:r>
    </w:p>
    <w:p>
      <w:pPr>
        <w:pStyle w:val="Heading1"/>
      </w:pPr>
      <w:r>
        <w:t>Table of Contents</w:t>
      </w:r>
    </w:p>
    <w:p>
      <w:pPr>
        <w:spacing w:after="120"/>
      </w:pPr>
      <w:r>
        <w:rPr>
          <w:rFonts w:ascii="Calibri" w:hAnsi="Calibri"/>
          <w:b w:val="0"/>
          <w:i w:val="0"/>
          <w:sz w:val="22"/>
        </w:rPr>
        <w:t>1. Background and Goal</w:t>
        <w:br/>
        <w:t>2. Data Description</w:t>
        <w:br/>
        <w:t>3. Methodology</w:t>
        <w:br/>
        <w:t>4. Key Code Snippets</w:t>
        <w:br/>
        <w:t>5. Outputs and Visualizations</w:t>
        <w:br/>
        <w:t>6. Results</w:t>
        <w:br/>
        <w:t>7. Conclusions</w:t>
      </w:r>
    </w:p>
    <w:p>
      <w:r>
        <w:br w:type="page"/>
      </w:r>
    </w:p>
    <w:p>
      <w:pPr>
        <w:shd w:val="clear" w:color="auto" w:fill="FFF3CD"/>
      </w:pPr>
      <w:r>
        <w:rPr>
          <w:rFonts w:ascii="Calibri" w:hAnsi="Calibri"/>
          <w:b/>
          <w:i w:val="0"/>
          <w:color w:val="856404"/>
          <w:sz w:val="20"/>
        </w:rPr>
        <w:t>IMPORTANT NOTE: This notebook is exploratory only. Wild session data was NOT used for model training or model selection. No accuracy, AUC, or F1 metrics are computed for Wild data — there is no validated ground-truth label for cognitive load in naturalistic settings. The CLI values presented here reflect how the Lab-trained model responds to Wild physiological patterns.</w:t>
      </w:r>
    </w:p>
    <w:p/>
    <w:p>
      <w:pPr>
        <w:pStyle w:val="Heading1"/>
      </w:pPr>
      <w:r>
        <w:t>1. Background and Goal</w:t>
      </w:r>
    </w:p>
    <w:p>
      <w:pPr>
        <w:spacing w:after="120"/>
      </w:pPr>
      <w:r>
        <w:rPr>
          <w:rFonts w:ascii="Calibri" w:hAnsi="Calibri"/>
          <w:b w:val="0"/>
          <w:i w:val="0"/>
          <w:sz w:val="22"/>
        </w:rPr>
        <w:t>The final CLI model was selected in Notebook 07 based entirely on Lab1 and Lab2 data. Wild sessions were excluded from model development because they present two fundamental challenges that make supervised evaluation inappropriate:</w:t>
      </w:r>
    </w:p>
    <w:p>
      <w:pPr>
        <w:pStyle w:val="ListBullet"/>
      </w:pPr>
      <w:r>
        <w:rPr>
          <w:rFonts w:ascii="Calibri" w:hAnsi="Calibri"/>
          <w:b/>
          <w:i w:val="0"/>
          <w:sz w:val="22"/>
        </w:rPr>
        <w:t xml:space="preserve">Ambiguous labels: </w:t>
      </w:r>
      <w:r>
        <w:rPr>
          <w:rFonts w:ascii="Calibri" w:hAnsi="Calibri"/>
          <w:b w:val="0"/>
          <w:i w:val="0"/>
          <w:sz w:val="22"/>
        </w:rPr>
        <w:t>Wild segment names encode ambient conditions (e.g., high_stress_high_mw) rather than controlled task difficulty. These conditions do not map directly to the Low/High labels used in training.</w:t>
      </w:r>
    </w:p>
    <w:p>
      <w:pPr>
        <w:pStyle w:val="ListBullet"/>
      </w:pPr>
      <w:r>
        <w:rPr>
          <w:rFonts w:ascii="Calibri" w:hAnsi="Calibri"/>
          <w:b/>
          <w:i w:val="0"/>
          <w:sz w:val="22"/>
        </w:rPr>
        <w:t xml:space="preserve">Incomplete coverage: </w:t>
      </w:r>
      <w:r>
        <w:rPr>
          <w:rFonts w:ascii="Calibri" w:hAnsi="Calibri"/>
          <w:b w:val="0"/>
          <w:i w:val="0"/>
          <w:sz w:val="22"/>
        </w:rPr>
        <w:t>Not all participants have Wild sessions, and the number of segments per participant varies from 3 to 22. This unequal coverage introduces additional bias into any evaluation.</w:t>
      </w:r>
    </w:p>
    <w:p>
      <w:pPr>
        <w:spacing w:after="120"/>
      </w:pPr>
      <w:r>
        <w:rPr>
          <w:rFonts w:ascii="Calibri" w:hAnsi="Calibri"/>
          <w:b w:val="0"/>
          <w:i w:val="0"/>
          <w:sz w:val="22"/>
        </w:rPr>
        <w:t>Despite these limitations, applying the trained model to Wild data provides valuable exploratory insight: how do the physiological patterns recorded in naturalistic settings compare to the controlled laboratory conditions the model was trained on? The Streamlit dashboard includes a dedicated Wild Exploration section, clearly marked as exploratory.</w:t>
      </w:r>
    </w:p>
    <w:p>
      <w:pPr>
        <w:pStyle w:val="Heading2"/>
      </w:pPr>
      <w:r>
        <w:t>What This Notebook Establishes</w:t>
      </w:r>
    </w:p>
    <w:p>
      <w:pPr>
        <w:pStyle w:val="ListBullet"/>
      </w:pPr>
      <w:r>
        <w:rPr>
          <w:rFonts w:ascii="Calibri" w:hAnsi="Calibri"/>
          <w:b w:val="0"/>
          <w:i w:val="0"/>
          <w:sz w:val="22"/>
        </w:rPr>
        <w:t>Feasibility of applying the Lab-trained model to Wild data without retraining.</w:t>
      </w:r>
    </w:p>
    <w:p>
      <w:pPr>
        <w:pStyle w:val="ListBullet"/>
      </w:pPr>
      <w:r>
        <w:rPr>
          <w:rFonts w:ascii="Calibri" w:hAnsi="Calibri"/>
          <w:b w:val="0"/>
          <w:i w:val="0"/>
          <w:sz w:val="22"/>
        </w:rPr>
        <w:t>CLI distribution in Wild sessions (mean, range, category breakdown).</w:t>
      </w:r>
    </w:p>
    <w:p>
      <w:pPr>
        <w:pStyle w:val="ListBullet"/>
      </w:pPr>
      <w:r>
        <w:rPr>
          <w:rFonts w:ascii="Calibri" w:hAnsi="Calibri"/>
          <w:b w:val="0"/>
          <w:i w:val="0"/>
          <w:sz w:val="22"/>
        </w:rPr>
        <w:t>Directional consistency: do high-stress Wild segments show higher CLI than low-stress ones?</w:t>
      </w:r>
    </w:p>
    <w:p>
      <w:pPr>
        <w:pStyle w:val="ListBullet"/>
      </w:pPr>
      <w:r>
        <w:rPr>
          <w:rFonts w:ascii="Calibri" w:hAnsi="Calibri"/>
          <w:b w:val="0"/>
          <w:i w:val="0"/>
          <w:sz w:val="22"/>
        </w:rPr>
        <w:t>Comparison of CLI statistics between Lab (LOPO evaluation) and Wild (exploratory).</w:t>
      </w:r>
    </w:p>
    <w:p>
      <w:r>
        <w:br w:type="page"/>
      </w:r>
    </w:p>
    <w:p>
      <w:pPr>
        <w:pStyle w:val="Heading1"/>
      </w:pPr>
      <w:r>
        <w:t>2. Data Description</w:t>
      </w:r>
    </w:p>
    <w:p>
      <w:pPr>
        <w:pStyle w:val="Heading2"/>
      </w:pPr>
      <w:r>
        <w:t>Wild Session Structure</w:t>
      </w:r>
    </w:p>
    <w:p>
      <w:pPr>
        <w:spacing w:after="120"/>
      </w:pPr>
      <w:r>
        <w:rPr>
          <w:rFonts w:ascii="Calibri" w:hAnsi="Calibri"/>
          <w:b w:val="0"/>
          <w:i w:val="0"/>
          <w:sz w:val="22"/>
        </w:rPr>
        <w:t>Wild feature files are organized differently from Lab sessions. Each participant's Wild/Features/ folder contains sub-folders named by recording condition:</w:t>
      </w:r>
    </w:p>
    <w:p>
      <w:pPr>
        <w:spacing w:before="80" w:after="80"/>
        <w:ind w:left="432"/>
        <w:shd w:val="clear" w:color="auto" w:fill="F2F2F2"/>
      </w:pPr>
      <w:r>
        <w:rPr>
          <w:rFonts w:ascii="Courier New" w:hAnsi="Courier New"/>
          <w:sz w:val="17"/>
        </w:rPr>
        <w:t>UN_101/Wild/Features/</w:t>
        <w:br/>
        <w:t xml:space="preserve">  hig_stress_hig_mw_16/       &lt;- high stress, high mind-wandering, recording #16</w:t>
        <w:br/>
        <w:t xml:space="preserve">    EDA_features.pickle</w:t>
        <w:br/>
        <w:t xml:space="preserve">    HRV_features.pickle</w:t>
        <w:br/>
        <w:t xml:space="preserve">    TEMP_features.pickle</w:t>
        <w:br/>
        <w:t xml:space="preserve">  low_stress_low_mw_1/</w:t>
        <w:br/>
        <w:t xml:space="preserve">    ...</w:t>
      </w:r>
    </w:p>
    <w:p>
      <w:pPr>
        <w:spacing w:after="120"/>
      </w:pPr>
      <w:r>
        <w:rPr>
          <w:rFonts w:ascii="Calibri" w:hAnsi="Calibri"/>
          <w:b w:val="0"/>
          <w:i w:val="0"/>
          <w:sz w:val="22"/>
        </w:rPr>
        <w:t>The segment name encodes three aspects of the recording context: stress level (hig/low), mind-wandering level (hig/nor/low), and a recording number. EEG files are present but deliberately excluded — consistent with the main pipeline.</w:t>
      </w:r>
    </w:p>
    <w:p>
      <w:pPr>
        <w:pStyle w:val="Heading2"/>
      </w:pPr>
      <w:r>
        <w:t>Wild Data Statistics</w:t>
      </w:r>
    </w:p>
    <w:tbl>
      <w:tblPr>
        <w:tblStyle w:val="TableGrid"/>
        <w:tblW w:type="auto" w:w="0"/>
        <w:jc w:val="center"/>
        <w:tblLook w:firstColumn="1" w:firstRow="1" w:lastColumn="0" w:lastRow="0" w:noHBand="0" w:noVBand="1" w:val="04A0"/>
      </w:tblPr>
      <w:tblGrid>
        <w:gridCol w:w="4561"/>
        <w:gridCol w:w="4561"/>
      </w:tblGrid>
      <w:tr>
        <w:tc>
          <w:tcPr>
            <w:tcW w:type="dxa" w:w="4608"/>
            <w:shd w:val="clear" w:color="auto" w:fill="2C3E50"/>
          </w:tcPr>
          <w:p>
            <w:r>
              <w:rPr>
                <w:b/>
                <w:color w:val="FFFFFF"/>
                <w:sz w:val="18"/>
              </w:rPr>
              <w:t>Property</w:t>
            </w:r>
          </w:p>
        </w:tc>
        <w:tc>
          <w:tcPr>
            <w:tcW w:type="dxa" w:w="4608"/>
            <w:shd w:val="clear" w:color="auto" w:fill="2C3E50"/>
          </w:tcPr>
          <w:p>
            <w:r>
              <w:rPr>
                <w:b/>
                <w:color w:val="FFFFFF"/>
                <w:sz w:val="18"/>
              </w:rPr>
              <w:t>Value</w:t>
            </w:r>
          </w:p>
        </w:tc>
      </w:tr>
      <w:tr>
        <w:tc>
          <w:tcPr>
            <w:tcW w:type="dxa" w:w="4608"/>
            <w:shd w:val="clear" w:color="auto" w:fill="F8F9FA"/>
          </w:tcPr>
          <w:p>
            <w:r>
              <w:rPr>
                <w:sz w:val="18"/>
              </w:rPr>
              <w:t>Participants with Wild data</w:t>
            </w:r>
          </w:p>
        </w:tc>
        <w:tc>
          <w:tcPr>
            <w:tcW w:type="dxa" w:w="4608"/>
            <w:shd w:val="clear" w:color="auto" w:fill="F8F9FA"/>
          </w:tcPr>
          <w:p>
            <w:r>
              <w:rPr>
                <w:sz w:val="18"/>
              </w:rPr>
              <w:t>22 of 24 (UN_103 and UN_120 excluded)</w:t>
            </w:r>
          </w:p>
        </w:tc>
      </w:tr>
      <w:tr>
        <w:tc>
          <w:tcPr>
            <w:tcW w:type="dxa" w:w="4608"/>
            <w:shd w:val="clear" w:color="auto" w:fill="FFFFFF"/>
          </w:tcPr>
          <w:p>
            <w:r>
              <w:rPr>
                <w:sz w:val="18"/>
              </w:rPr>
              <w:t>Total Wild windows</w:t>
            </w:r>
          </w:p>
        </w:tc>
        <w:tc>
          <w:tcPr>
            <w:tcW w:type="dxa" w:w="4608"/>
            <w:shd w:val="clear" w:color="auto" w:fill="FFFFFF"/>
          </w:tcPr>
          <w:p>
            <w:r>
              <w:rPr>
                <w:sz w:val="18"/>
              </w:rPr>
              <w:t>25,448</w:t>
            </w:r>
          </w:p>
        </w:tc>
      </w:tr>
      <w:tr>
        <w:tc>
          <w:tcPr>
            <w:tcW w:type="dxa" w:w="4608"/>
            <w:shd w:val="clear" w:color="auto" w:fill="F8F9FA"/>
          </w:tcPr>
          <w:p>
            <w:r>
              <w:rPr>
                <w:sz w:val="18"/>
              </w:rPr>
              <w:t>Total Wild segments</w:t>
            </w:r>
          </w:p>
        </w:tc>
        <w:tc>
          <w:tcPr>
            <w:tcW w:type="dxa" w:w="4608"/>
            <w:shd w:val="clear" w:color="auto" w:fill="F8F9FA"/>
          </w:tcPr>
          <w:p>
            <w:r>
              <w:rPr>
                <w:sz w:val="18"/>
              </w:rPr>
              <w:t>201</w:t>
            </w:r>
          </w:p>
        </w:tc>
      </w:tr>
      <w:tr>
        <w:tc>
          <w:tcPr>
            <w:tcW w:type="dxa" w:w="4608"/>
            <w:shd w:val="clear" w:color="auto" w:fill="FFFFFF"/>
          </w:tcPr>
          <w:p>
            <w:r>
              <w:rPr>
                <w:sz w:val="18"/>
              </w:rPr>
              <w:t>Average segments per participant</w:t>
            </w:r>
          </w:p>
        </w:tc>
        <w:tc>
          <w:tcPr>
            <w:tcW w:type="dxa" w:w="4608"/>
            <w:shd w:val="clear" w:color="auto" w:fill="FFFFFF"/>
          </w:tcPr>
          <w:p>
            <w:r>
              <w:rPr>
                <w:sz w:val="18"/>
              </w:rPr>
              <w:t>~9</w:t>
            </w:r>
          </w:p>
        </w:tc>
      </w:tr>
      <w:tr>
        <w:tc>
          <w:tcPr>
            <w:tcW w:type="dxa" w:w="4608"/>
            <w:shd w:val="clear" w:color="auto" w:fill="F8F9FA"/>
          </w:tcPr>
          <w:p>
            <w:r>
              <w:rPr>
                <w:sz w:val="18"/>
              </w:rPr>
              <w:t>Wild conditions observed</w:t>
            </w:r>
          </w:p>
        </w:tc>
        <w:tc>
          <w:tcPr>
            <w:tcW w:type="dxa" w:w="4608"/>
            <w:shd w:val="clear" w:color="auto" w:fill="F8F9FA"/>
          </w:tcPr>
          <w:p>
            <w:r>
              <w:rPr>
                <w:sz w:val="18"/>
              </w:rPr>
              <w:t>12 (combinations of stress × mind-wandering level)</w:t>
            </w:r>
          </w:p>
        </w:tc>
      </w:tr>
      <w:tr>
        <w:tc>
          <w:tcPr>
            <w:tcW w:type="dxa" w:w="4608"/>
            <w:shd w:val="clear" w:color="auto" w:fill="FFFFFF"/>
          </w:tcPr>
          <w:p>
            <w:r>
              <w:rPr>
                <w:sz w:val="18"/>
              </w:rPr>
              <w:t>Feature coverage</w:t>
            </w:r>
          </w:p>
        </w:tc>
        <w:tc>
          <w:tcPr>
            <w:tcW w:type="dxa" w:w="4608"/>
            <w:shd w:val="clear" w:color="auto" w:fill="FFFFFF"/>
          </w:tcPr>
          <w:p>
            <w:r>
              <w:rPr>
                <w:sz w:val="18"/>
              </w:rPr>
              <w:t>10/10 features (identical to Lab)</w:t>
            </w:r>
          </w:p>
        </w:tc>
      </w:tr>
      <w:tr>
        <w:tc>
          <w:tcPr>
            <w:tcW w:type="dxa" w:w="4608"/>
            <w:shd w:val="clear" w:color="auto" w:fill="F8F9FA"/>
          </w:tcPr>
          <w:p>
            <w:r>
              <w:rPr>
                <w:sz w:val="18"/>
              </w:rPr>
              <w:t>CLI mean (Wild)</w:t>
            </w:r>
          </w:p>
        </w:tc>
        <w:tc>
          <w:tcPr>
            <w:tcW w:type="dxa" w:w="4608"/>
            <w:shd w:val="clear" w:color="auto" w:fill="F8F9FA"/>
          </w:tcPr>
          <w:p>
            <w:r>
              <w:rPr>
                <w:sz w:val="18"/>
              </w:rPr>
              <w:t>55.3</w:t>
            </w:r>
          </w:p>
        </w:tc>
      </w:tr>
      <w:tr>
        <w:tc>
          <w:tcPr>
            <w:tcW w:type="dxa" w:w="4608"/>
            <w:shd w:val="clear" w:color="auto" w:fill="FFFFFF"/>
          </w:tcPr>
          <w:p>
            <w:r>
              <w:rPr>
                <w:sz w:val="18"/>
              </w:rPr>
              <w:t>CLI range (Wild)</w:t>
            </w:r>
          </w:p>
        </w:tc>
        <w:tc>
          <w:tcPr>
            <w:tcW w:type="dxa" w:w="4608"/>
            <w:shd w:val="clear" w:color="auto" w:fill="FFFFFF"/>
          </w:tcPr>
          <w:p>
            <w:r>
              <w:rPr>
                <w:sz w:val="18"/>
              </w:rPr>
              <w:t>1.7 – 95.1</w:t>
            </w:r>
          </w:p>
        </w:tc>
      </w:tr>
    </w:tbl>
    <w:p/>
    <w:p>
      <w:pPr>
        <w:pStyle w:val="Heading2"/>
      </w:pPr>
      <w:r>
        <w:t>Wild vs Lab — Structural Differences</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2C3E50"/>
          </w:tcPr>
          <w:p>
            <w:r>
              <w:rPr>
                <w:b/>
                <w:color w:val="FFFFFF"/>
                <w:sz w:val="18"/>
              </w:rPr>
              <w:t>Aspect</w:t>
            </w:r>
          </w:p>
        </w:tc>
        <w:tc>
          <w:tcPr>
            <w:tcW w:type="dxa" w:w="2880"/>
            <w:shd w:val="clear" w:color="auto" w:fill="2C3E50"/>
          </w:tcPr>
          <w:p>
            <w:r>
              <w:rPr>
                <w:b/>
                <w:color w:val="FFFFFF"/>
                <w:sz w:val="18"/>
              </w:rPr>
              <w:t>Lab Sessions</w:t>
            </w:r>
          </w:p>
        </w:tc>
        <w:tc>
          <w:tcPr>
            <w:tcW w:type="dxa" w:w="3600"/>
            <w:shd w:val="clear" w:color="auto" w:fill="2C3E50"/>
          </w:tcPr>
          <w:p>
            <w:r>
              <w:rPr>
                <w:b/>
                <w:color w:val="FFFFFF"/>
                <w:sz w:val="18"/>
              </w:rPr>
              <w:t>Wild Sessions</w:t>
            </w:r>
          </w:p>
        </w:tc>
      </w:tr>
      <w:tr>
        <w:tc>
          <w:tcPr>
            <w:tcW w:type="dxa" w:w="2880"/>
            <w:shd w:val="clear" w:color="auto" w:fill="F8F9FA"/>
          </w:tcPr>
          <w:p>
            <w:r>
              <w:rPr>
                <w:sz w:val="18"/>
              </w:rPr>
              <w:t>Recording setting</w:t>
            </w:r>
          </w:p>
        </w:tc>
        <w:tc>
          <w:tcPr>
            <w:tcW w:type="dxa" w:w="2880"/>
            <w:shd w:val="clear" w:color="auto" w:fill="F8F9FA"/>
          </w:tcPr>
          <w:p>
            <w:r>
              <w:rPr>
                <w:sz w:val="18"/>
              </w:rPr>
              <w:t>Controlled laboratory</w:t>
            </w:r>
          </w:p>
        </w:tc>
        <w:tc>
          <w:tcPr>
            <w:tcW w:type="dxa" w:w="3600"/>
            <w:shd w:val="clear" w:color="auto" w:fill="F8F9FA"/>
          </w:tcPr>
          <w:p>
            <w:r>
              <w:rPr>
                <w:sz w:val="18"/>
              </w:rPr>
              <w:t>Naturalistic environment</w:t>
            </w:r>
          </w:p>
        </w:tc>
      </w:tr>
      <w:tr>
        <w:tc>
          <w:tcPr>
            <w:tcW w:type="dxa" w:w="2880"/>
            <w:shd w:val="clear" w:color="auto" w:fill="FFFFFF"/>
          </w:tcPr>
          <w:p>
            <w:r>
              <w:rPr>
                <w:sz w:val="18"/>
              </w:rPr>
              <w:t>Task type</w:t>
            </w:r>
          </w:p>
        </w:tc>
        <w:tc>
          <w:tcPr>
            <w:tcW w:type="dxa" w:w="2880"/>
            <w:shd w:val="clear" w:color="auto" w:fill="FFFFFF"/>
          </w:tcPr>
          <w:p>
            <w:r>
              <w:rPr>
                <w:sz w:val="18"/>
              </w:rPr>
              <w:t>Standardized cognitive tasks</w:t>
            </w:r>
          </w:p>
        </w:tc>
        <w:tc>
          <w:tcPr>
            <w:tcW w:type="dxa" w:w="3600"/>
            <w:shd w:val="clear" w:color="auto" w:fill="FFFFFF"/>
          </w:tcPr>
          <w:p>
            <w:r>
              <w:rPr>
                <w:sz w:val="18"/>
              </w:rPr>
              <w:t>Ambient daily activities</w:t>
            </w:r>
          </w:p>
        </w:tc>
      </w:tr>
      <w:tr>
        <w:tc>
          <w:tcPr>
            <w:tcW w:type="dxa" w:w="2880"/>
            <w:shd w:val="clear" w:color="auto" w:fill="F8F9FA"/>
          </w:tcPr>
          <w:p>
            <w:r>
              <w:rPr>
                <w:sz w:val="18"/>
              </w:rPr>
              <w:t>Label source</w:t>
            </w:r>
          </w:p>
        </w:tc>
        <w:tc>
          <w:tcPr>
            <w:tcW w:type="dxa" w:w="2880"/>
            <w:shd w:val="clear" w:color="auto" w:fill="F8F9FA"/>
          </w:tcPr>
          <w:p>
            <w:r>
              <w:rPr>
                <w:sz w:val="18"/>
              </w:rPr>
              <w:t>Task design (easy/hard)</w:t>
            </w:r>
          </w:p>
        </w:tc>
        <w:tc>
          <w:tcPr>
            <w:tcW w:type="dxa" w:w="3600"/>
            <w:shd w:val="clear" w:color="auto" w:fill="F8F9FA"/>
          </w:tcPr>
          <w:p>
            <w:r>
              <w:rPr>
                <w:sz w:val="18"/>
              </w:rPr>
              <w:t>Ambient condition (stress/MW)</w:t>
            </w:r>
          </w:p>
        </w:tc>
      </w:tr>
      <w:tr>
        <w:tc>
          <w:tcPr>
            <w:tcW w:type="dxa" w:w="2880"/>
            <w:shd w:val="clear" w:color="auto" w:fill="FFFFFF"/>
          </w:tcPr>
          <w:p>
            <w:r>
              <w:rPr>
                <w:sz w:val="18"/>
              </w:rPr>
              <w:t>Ground truth</w:t>
            </w:r>
          </w:p>
        </w:tc>
        <w:tc>
          <w:tcPr>
            <w:tcW w:type="dxa" w:w="2880"/>
            <w:shd w:val="clear" w:color="auto" w:fill="FFFFFF"/>
          </w:tcPr>
          <w:p>
            <w:r>
              <w:rPr>
                <w:sz w:val="18"/>
              </w:rPr>
              <w:t>Design-based (Low/High)</w:t>
            </w:r>
          </w:p>
        </w:tc>
        <w:tc>
          <w:tcPr>
            <w:tcW w:type="dxa" w:w="3600"/>
            <w:shd w:val="clear" w:color="auto" w:fill="FFFFFF"/>
          </w:tcPr>
          <w:p>
            <w:r>
              <w:rPr>
                <w:sz w:val="18"/>
              </w:rPr>
              <w:t>None — no validated label</w:t>
            </w:r>
          </w:p>
        </w:tc>
      </w:tr>
      <w:tr>
        <w:tc>
          <w:tcPr>
            <w:tcW w:type="dxa" w:w="2880"/>
            <w:shd w:val="clear" w:color="auto" w:fill="F8F9FA"/>
          </w:tcPr>
          <w:p>
            <w:r>
              <w:rPr>
                <w:sz w:val="18"/>
              </w:rPr>
              <w:t>Sessions available</w:t>
            </w:r>
          </w:p>
        </w:tc>
        <w:tc>
          <w:tcPr>
            <w:tcW w:type="dxa" w:w="2880"/>
            <w:shd w:val="clear" w:color="auto" w:fill="F8F9FA"/>
          </w:tcPr>
          <w:p>
            <w:r>
              <w:rPr>
                <w:sz w:val="18"/>
              </w:rPr>
              <w:t>All 24 participants</w:t>
            </w:r>
          </w:p>
        </w:tc>
        <w:tc>
          <w:tcPr>
            <w:tcW w:type="dxa" w:w="3600"/>
            <w:shd w:val="clear" w:color="auto" w:fill="F8F9FA"/>
          </w:tcPr>
          <w:p>
            <w:r>
              <w:rPr>
                <w:sz w:val="18"/>
              </w:rPr>
              <w:t>22 participants</w:t>
            </w:r>
          </w:p>
        </w:tc>
      </w:tr>
      <w:tr>
        <w:tc>
          <w:tcPr>
            <w:tcW w:type="dxa" w:w="2880"/>
            <w:shd w:val="clear" w:color="auto" w:fill="FFFFFF"/>
          </w:tcPr>
          <w:p>
            <w:r>
              <w:rPr>
                <w:sz w:val="18"/>
              </w:rPr>
              <w:t>Used in model training</w:t>
            </w:r>
          </w:p>
        </w:tc>
        <w:tc>
          <w:tcPr>
            <w:tcW w:type="dxa" w:w="2880"/>
            <w:shd w:val="clear" w:color="auto" w:fill="FFFFFF"/>
          </w:tcPr>
          <w:p>
            <w:r>
              <w:rPr>
                <w:sz w:val="18"/>
              </w:rPr>
              <w:t>Yes (v3 filtered)</w:t>
            </w:r>
          </w:p>
        </w:tc>
        <w:tc>
          <w:tcPr>
            <w:tcW w:type="dxa" w:w="3600"/>
            <w:shd w:val="clear" w:color="auto" w:fill="FFFFFF"/>
          </w:tcPr>
          <w:p>
            <w:r>
              <w:rPr>
                <w:sz w:val="18"/>
              </w:rPr>
              <w:t>No</w:t>
            </w:r>
          </w:p>
        </w:tc>
      </w:tr>
    </w:tbl>
    <w:p/>
    <w:p>
      <w:r>
        <w:br w:type="page"/>
      </w:r>
    </w:p>
    <w:p>
      <w:pPr>
        <w:pStyle w:val="Heading1"/>
      </w:pPr>
      <w:r>
        <w:t>3. Methodology</w:t>
      </w:r>
    </w:p>
    <w:p>
      <w:pPr>
        <w:pStyle w:val="Heading2"/>
      </w:pPr>
      <w:r>
        <w:t>3.1 Training Setup</w:t>
      </w:r>
    </w:p>
    <w:p>
      <w:pPr>
        <w:spacing w:after="120"/>
      </w:pPr>
      <w:r>
        <w:rPr>
          <w:rFonts w:ascii="Calibri" w:hAnsi="Calibri"/>
          <w:b w:val="0"/>
          <w:i w:val="0"/>
          <w:sz w:val="22"/>
        </w:rPr>
        <w:t>Since Wild participants are entirely separate recordings (not held-out Lab participants), the appropriate setup is to train one model on ALL 24 Lab participants' v3-filtered data, then apply it to Wild as fully unseen data.</w:t>
      </w:r>
    </w:p>
    <w:p>
      <w:pPr>
        <w:spacing w:after="120"/>
      </w:pPr>
      <w:r>
        <w:rPr>
          <w:rFonts w:ascii="Calibri" w:hAnsi="Calibri"/>
          <w:b w:val="0"/>
          <w:i w:val="0"/>
          <w:sz w:val="22"/>
        </w:rPr>
        <w:t>This contrasts with the LOPO setup in Notebooks 02–07, where one Lab participant was held out per fold. Here, Wild is the "new person" equivalent — the model has never seen any Wild physiological patterns during training.</w:t>
      </w:r>
    </w:p>
    <w:p>
      <w:pPr>
        <w:pStyle w:val="Heading2"/>
      </w:pPr>
      <w:r>
        <w:t>3.2 Wild Data Normalization</w:t>
      </w:r>
    </w:p>
    <w:p>
      <w:pPr>
        <w:spacing w:after="120"/>
      </w:pPr>
      <w:r>
        <w:rPr>
          <w:rFonts w:ascii="Calibri" w:hAnsi="Calibri"/>
          <w:b w:val="0"/>
          <w:i w:val="0"/>
          <w:sz w:val="22"/>
        </w:rPr>
        <w:t>Wild data is normalized using the same per-participant z-score method as Lab data. Each participant's Wild windows are normalized using the mean and std of their own Wild windows — the same optimistic calibration assumption used throughout the project.</w:t>
      </w:r>
    </w:p>
    <w:p>
      <w:pPr>
        <w:spacing w:after="120"/>
      </w:pPr>
      <w:r>
        <w:rPr>
          <w:rFonts w:ascii="Calibri" w:hAnsi="Calibri"/>
          <w:b w:val="0"/>
          <w:i w:val="0"/>
          <w:sz w:val="22"/>
        </w:rPr>
        <w:t>Wild recordings lack a clean relaxation_video baseline equivalent (no pre-task rest period was recorded). Using all Wild windows as the normalization reference is the most conservative available option.</w:t>
      </w:r>
    </w:p>
    <w:p>
      <w:pPr>
        <w:pStyle w:val="Heading2"/>
      </w:pPr>
      <w:r>
        <w:t>3.3 Wild Condition Parsing</w:t>
      </w:r>
    </w:p>
    <w:p>
      <w:pPr>
        <w:spacing w:before="80" w:after="80"/>
        <w:ind w:left="432"/>
        <w:shd w:val="clear" w:color="auto" w:fill="F2F2F2"/>
      </w:pPr>
      <w:r>
        <w:rPr>
          <w:rFonts w:ascii="Courier New" w:hAnsi="Courier New"/>
          <w:sz w:val="17"/>
        </w:rPr>
        <w:t>def parse_wild_condition(seg_name):</w:t>
        <w:br/>
        <w:t xml:space="preserve">    stress = "high" if "hig_stress" in name else "low"</w:t>
        <w:br/>
        <w:t xml:space="preserve">    if   "hig_mw" in name:  mw = "high_MW"</w:t>
        <w:br/>
        <w:t xml:space="preserve">    elif "low_mw" in name:  mw = "low_MW"</w:t>
        <w:br/>
        <w:t xml:space="preserve">    elif "nor_mw" in name:  mw = "normal_MW"</w:t>
        <w:br/>
        <w:t xml:space="preserve">    return f"{stress}_stress_{mw}"</w:t>
      </w:r>
    </w:p>
    <w:p>
      <w:r>
        <w:br w:type="page"/>
      </w:r>
    </w:p>
    <w:p>
      <w:pPr>
        <w:pStyle w:val="Heading1"/>
      </w:pPr>
      <w:r>
        <w:t>4. Key Code Snippets</w:t>
      </w:r>
    </w:p>
    <w:p>
      <w:pPr>
        <w:pStyle w:val="Heading2"/>
      </w:pPr>
      <w:r>
        <w:t>Wild Feature Loading</w:t>
      </w:r>
    </w:p>
    <w:p>
      <w:pPr>
        <w:spacing w:before="80" w:after="80"/>
        <w:ind w:left="432"/>
        <w:shd w:val="clear" w:color="auto" w:fill="F2F2F2"/>
      </w:pPr>
      <w:r>
        <w:rPr>
          <w:rFonts w:ascii="Courier New" w:hAnsi="Courier New"/>
          <w:sz w:val="17"/>
        </w:rPr>
        <w:t>def load_wild_features():</w:t>
        <w:br/>
        <w:t xml:space="preserve">    for pdir in sorted(DATA_ROOT.glob("UN_*")):</w:t>
        <w:br/>
        <w:t xml:space="preserve">        wild_feat_dir = pdir / "Wild" / "Features"</w:t>
        <w:br/>
        <w:t xml:space="preserve">        if not wild_feat_dir.exists():</w:t>
        <w:br/>
        <w:t xml:space="preserve">            continue</w:t>
        <w:br/>
        <w:t xml:space="preserve">        for sd in sorted(wild_feat_dir.iterdir()):  # each is a segment</w:t>
        <w:br/>
        <w:t xml:space="preserve">            dfs = []</w:t>
        <w:br/>
        <w:t xml:space="preserve">            for feat_name in ["EDA_features","HRV_features","TEMP_features"]:</w:t>
        <w:br/>
        <w:t xml:space="preserve">                feat_df = pickle.load(open(sd / f"{feat_name}.pickle","rb"))</w:t>
        <w:br/>
        <w:t xml:space="preserve">                dfs.append(feat_df)</w:t>
        <w:br/>
        <w:t xml:space="preserve">            combined = pd.concat(dfs, axis=1)</w:t>
        <w:br/>
        <w:t xml:space="preserve">            combined["wild_condition"] = parse_wild_condition(sd.name)</w:t>
        <w:br/>
        <w:t xml:space="preserve">            all_segs.append(combined)</w:t>
      </w:r>
    </w:p>
    <w:p>
      <w:pPr>
        <w:pStyle w:val="Heading2"/>
      </w:pPr>
      <w:r>
        <w:t>Apply Final Model to Wild</w:t>
      </w:r>
    </w:p>
    <w:p>
      <w:pPr>
        <w:spacing w:before="80" w:after="80"/>
        <w:ind w:left="432"/>
        <w:shd w:val="clear" w:color="auto" w:fill="F2F2F2"/>
      </w:pPr>
      <w:r>
        <w:rPr>
          <w:rFonts w:ascii="Courier New" w:hAnsi="Courier New"/>
          <w:sz w:val="17"/>
        </w:rPr>
        <w:t># Train on ALL Lab participants (v3 filtered)</w:t>
        <w:br/>
        <w:t>final_model = GradientBoostingClassifier(n_estimators=100, random_state=42)</w:t>
        <w:br/>
        <w:t>final_model.fit(X_train_lab, y_train_lab)</w:t>
        <w:br/>
        <w:br/>
        <w:t># Apply to Wild as unseen data</w:t>
        <w:br/>
        <w:t>y_proba_wild = final_model.predict_proba(X_wild)[:, 1]</w:t>
        <w:br/>
        <w:t>wild_df["CLI"]          = (y_proba_wild * 100).round(1)</w:t>
        <w:br/>
        <w:t>wild_df["CLI_category"] = wild_df["CLI"].apply(</w:t>
        <w:br/>
        <w:t xml:space="preserve">    lambda v: "Low" if v&lt;=40 else "Medium" if v&lt;=70 else "High"</w:t>
        <w:br/>
        <w:t>)</w:t>
      </w:r>
    </w:p>
    <w:p>
      <w:r>
        <w:br w:type="page"/>
      </w:r>
    </w:p>
    <w:p>
      <w:pPr>
        <w:pStyle w:val="Heading1"/>
      </w:pPr>
      <w:r>
        <w:t>5. Outputs and Visualizations</w:t>
      </w:r>
    </w:p>
    <w:p>
      <w:pPr>
        <w:pStyle w:val="Heading2"/>
      </w:pPr>
      <w:r>
        <w:t>CLI Distribution in Wild Sessions</w:t>
      </w:r>
    </w:p>
    <w:p>
      <w:pPr>
        <w:spacing w:after="120"/>
      </w:pPr>
      <w:r>
        <w:rPr>
          <w:rFonts w:ascii="Calibri" w:hAnsi="Calibri"/>
          <w:b w:val="0"/>
          <w:i w:val="0"/>
          <w:sz w:val="22"/>
        </w:rPr>
        <w:t>The CLI histogram shows the distribution of predicted cognitive load scores across all 25,448 Wild windows. The right panel shows the mean CLI broken down by Wild condition (high/low stress × high/low mind-wandering).</w:t>
      </w:r>
    </w:p>
    <w:p>
      <w:pPr>
        <w:jc w:val="center"/>
      </w:pPr>
      <w:r>
        <w:drawing>
          <wp:inline xmlns:a="http://schemas.openxmlformats.org/drawingml/2006/main" xmlns:pic="http://schemas.openxmlformats.org/drawingml/2006/picture">
            <wp:extent cx="5486400" cy="2086138"/>
            <wp:docPr id="1" name="Picture 1"/>
            <wp:cNvGraphicFramePr>
              <a:graphicFrameLocks noChangeAspect="1"/>
            </wp:cNvGraphicFramePr>
            <a:graphic>
              <a:graphicData uri="http://schemas.openxmlformats.org/drawingml/2006/picture">
                <pic:pic>
                  <pic:nvPicPr>
                    <pic:cNvPr id="0" name="nb08_wild_cli_distribution.png"/>
                    <pic:cNvPicPr/>
                  </pic:nvPicPr>
                  <pic:blipFill>
                    <a:blip r:embed="rId10"/>
                    <a:stretch>
                      <a:fillRect/>
                    </a:stretch>
                  </pic:blipFill>
                  <pic:spPr>
                    <a:xfrm>
                      <a:off x="0" y="0"/>
                      <a:ext cx="5486400" cy="2086138"/>
                    </a:xfrm>
                    <a:prstGeom prst="rect"/>
                  </pic:spPr>
                </pic:pic>
              </a:graphicData>
            </a:graphic>
          </wp:inline>
        </w:drawing>
      </w:r>
    </w:p>
    <w:p>
      <w:pPr>
        <w:spacing w:after="200"/>
        <w:jc w:val="center"/>
      </w:pPr>
      <w:r>
        <w:rPr>
          <w:rFonts w:ascii="Calibri" w:hAnsi="Calibri"/>
          <w:b w:val="0"/>
          <w:i/>
          <w:color w:val="505050"/>
          <w:sz w:val="18"/>
        </w:rPr>
        <w:t>Figure 1: Left — CLI score distribution across all Wild windows (mean = 55.3). The distribution peaks in the Medium range (41–70), similar to Lab data. Right — Mean CLI by Wild condition. High-stress conditions tend to show higher mean CLI than low-stress conditions, which is directionally consistent with the model's training objective.</w:t>
      </w:r>
    </w:p>
    <w:p>
      <w:pPr>
        <w:pStyle w:val="Heading2"/>
      </w:pPr>
      <w:r>
        <w:t>CLI Over Time — Sample Participants</w:t>
      </w:r>
    </w:p>
    <w:p>
      <w:pPr>
        <w:spacing w:after="120"/>
      </w:pPr>
      <w:r>
        <w:rPr>
          <w:rFonts w:ascii="Calibri" w:hAnsi="Calibri"/>
          <w:b w:val="0"/>
          <w:i w:val="0"/>
          <w:sz w:val="22"/>
        </w:rPr>
        <w:t>The time-series plot shows CLI values for four sample participants across their Wild segments. Each colored dot represents one 30-second window. Vertical lines mark segment boundaries.</w:t>
      </w:r>
    </w:p>
    <w:p>
      <w:pPr>
        <w:jc w:val="center"/>
      </w:pPr>
      <w:r>
        <w:drawing>
          <wp:inline xmlns:a="http://schemas.openxmlformats.org/drawingml/2006/main" xmlns:pic="http://schemas.openxmlformats.org/drawingml/2006/picture">
            <wp:extent cx="5486400" cy="3111768"/>
            <wp:docPr id="2" name="Picture 2"/>
            <wp:cNvGraphicFramePr>
              <a:graphicFrameLocks noChangeAspect="1"/>
            </wp:cNvGraphicFramePr>
            <a:graphic>
              <a:graphicData uri="http://schemas.openxmlformats.org/drawingml/2006/picture">
                <pic:pic>
                  <pic:nvPicPr>
                    <pic:cNvPr id="0" name="nb08_wild_cli_timeseries.png"/>
                    <pic:cNvPicPr/>
                  </pic:nvPicPr>
                  <pic:blipFill>
                    <a:blip r:embed="rId11"/>
                    <a:stretch>
                      <a:fillRect/>
                    </a:stretch>
                  </pic:blipFill>
                  <pic:spPr>
                    <a:xfrm>
                      <a:off x="0" y="0"/>
                      <a:ext cx="5486400" cy="3111768"/>
                    </a:xfrm>
                    <a:prstGeom prst="rect"/>
                  </pic:spPr>
                </pic:pic>
              </a:graphicData>
            </a:graphic>
          </wp:inline>
        </w:drawing>
      </w:r>
    </w:p>
    <w:p>
      <w:pPr>
        <w:spacing w:after="200"/>
        <w:jc w:val="center"/>
      </w:pPr>
      <w:r>
        <w:rPr>
          <w:rFonts w:ascii="Calibri" w:hAnsi="Calibri"/>
          <w:b w:val="0"/>
          <w:i/>
          <w:color w:val="505050"/>
          <w:sz w:val="18"/>
        </w:rPr>
        <w:t>Figure 2: CLI over time for four sample participants in Wild sessions. The model produces plausible variation across segments — participants show fluctuating load levels consistent with natural activity variation. Note: no ground-truth labels are available to validate these scores.</w:t>
      </w:r>
    </w:p>
    <w:p>
      <w:pPr>
        <w:pStyle w:val="Heading2"/>
      </w:pPr>
      <w:r>
        <w:t>Lab vs Wild Comparison</w:t>
      </w:r>
    </w:p>
    <w:p>
      <w:pPr>
        <w:jc w:val="center"/>
      </w:pPr>
      <w:r>
        <w:drawing>
          <wp:inline xmlns:a="http://schemas.openxmlformats.org/drawingml/2006/main" xmlns:pic="http://schemas.openxmlformats.org/drawingml/2006/picture">
            <wp:extent cx="5029200" cy="2531972"/>
            <wp:docPr id="3" name="Picture 3"/>
            <wp:cNvGraphicFramePr>
              <a:graphicFrameLocks noChangeAspect="1"/>
            </wp:cNvGraphicFramePr>
            <a:graphic>
              <a:graphicData uri="http://schemas.openxmlformats.org/drawingml/2006/picture">
                <pic:pic>
                  <pic:nvPicPr>
                    <pic:cNvPr id="0" name="nb08_lab_vs_wild_comparison.png"/>
                    <pic:cNvPicPr/>
                  </pic:nvPicPr>
                  <pic:blipFill>
                    <a:blip r:embed="rId12"/>
                    <a:stretch>
                      <a:fillRect/>
                    </a:stretch>
                  </pic:blipFill>
                  <pic:spPr>
                    <a:xfrm>
                      <a:off x="0" y="0"/>
                      <a:ext cx="5029200" cy="2531972"/>
                    </a:xfrm>
                    <a:prstGeom prst="rect"/>
                  </pic:spPr>
                </pic:pic>
              </a:graphicData>
            </a:graphic>
          </wp:inline>
        </w:drawing>
      </w:r>
    </w:p>
    <w:p>
      <w:pPr>
        <w:spacing w:after="200"/>
        <w:jc w:val="center"/>
      </w:pPr>
      <w:r>
        <w:rPr>
          <w:rFonts w:ascii="Calibri" w:hAnsi="Calibri"/>
          <w:b w:val="0"/>
          <w:i/>
          <w:color w:val="505050"/>
          <w:sz w:val="18"/>
        </w:rPr>
        <w:t>Figure 3: Summary comparison table between Lab (LOPO evaluation) and Wild (exploratory). The mean CLI is slightly higher in Wild (55.3 vs 53.2 in Lab), and the proportion of High-category windows is similar. The distributions are broadly comparable, suggesting the model generalizes reasonably to naturalistic physiological patterns.</w:t>
      </w:r>
    </w:p>
    <w:p>
      <w:pPr>
        <w:pStyle w:val="Heading2"/>
      </w:pPr>
      <w:r>
        <w:t>Lab vs Wild — Numerical Comparison</w:t>
      </w:r>
    </w:p>
    <w:tbl>
      <w:tblPr>
        <w:tblStyle w:val="TableGrid"/>
        <w:tblW w:type="auto" w:w="0"/>
        <w:jc w:val="center"/>
        <w:tblLook w:firstColumn="1" w:firstRow="1" w:lastColumn="0" w:lastRow="0" w:noHBand="0" w:noVBand="1" w:val="04A0"/>
      </w:tblPr>
      <w:tblGrid>
        <w:gridCol w:w="3041"/>
        <w:gridCol w:w="3041"/>
        <w:gridCol w:w="3041"/>
      </w:tblGrid>
      <w:tr>
        <w:tc>
          <w:tcPr>
            <w:tcW w:type="dxa" w:w="3456"/>
            <w:shd w:val="clear" w:color="auto" w:fill="2C3E50"/>
          </w:tcPr>
          <w:p>
            <w:r>
              <w:rPr>
                <w:b/>
                <w:color w:val="FFFFFF"/>
                <w:sz w:val="18"/>
              </w:rPr>
              <w:t>Metric</w:t>
            </w:r>
          </w:p>
        </w:tc>
        <w:tc>
          <w:tcPr>
            <w:tcW w:type="dxa" w:w="2880"/>
            <w:shd w:val="clear" w:color="auto" w:fill="2C3E50"/>
          </w:tcPr>
          <w:p>
            <w:r>
              <w:rPr>
                <w:b/>
                <w:color w:val="FFFFFF"/>
                <w:sz w:val="18"/>
              </w:rPr>
              <w:t>Lab (LOPO evaluation)</w:t>
            </w:r>
          </w:p>
        </w:tc>
        <w:tc>
          <w:tcPr>
            <w:tcW w:type="dxa" w:w="2880"/>
            <w:shd w:val="clear" w:color="auto" w:fill="2C3E50"/>
          </w:tcPr>
          <w:p>
            <w:r>
              <w:rPr>
                <w:b/>
                <w:color w:val="FFFFFF"/>
                <w:sz w:val="18"/>
              </w:rPr>
              <w:t>Wild (exploratory)</w:t>
            </w:r>
          </w:p>
        </w:tc>
      </w:tr>
      <w:tr>
        <w:tc>
          <w:tcPr>
            <w:tcW w:type="dxa" w:w="3456"/>
            <w:shd w:val="clear" w:color="auto" w:fill="F8F9FA"/>
          </w:tcPr>
          <w:p>
            <w:r>
              <w:rPr>
                <w:sz w:val="18"/>
              </w:rPr>
              <w:t>Participants</w:t>
            </w:r>
          </w:p>
        </w:tc>
        <w:tc>
          <w:tcPr>
            <w:tcW w:type="dxa" w:w="2880"/>
            <w:shd w:val="clear" w:color="auto" w:fill="F8F9FA"/>
          </w:tcPr>
          <w:p>
            <w:r>
              <w:rPr>
                <w:sz w:val="18"/>
              </w:rPr>
              <w:t>24</w:t>
            </w:r>
          </w:p>
        </w:tc>
        <w:tc>
          <w:tcPr>
            <w:tcW w:type="dxa" w:w="2880"/>
            <w:shd w:val="clear" w:color="auto" w:fill="F8F9FA"/>
          </w:tcPr>
          <w:p>
            <w:r>
              <w:rPr>
                <w:sz w:val="18"/>
              </w:rPr>
              <w:t>22</w:t>
            </w:r>
          </w:p>
        </w:tc>
      </w:tr>
      <w:tr>
        <w:tc>
          <w:tcPr>
            <w:tcW w:type="dxa" w:w="3456"/>
            <w:shd w:val="clear" w:color="auto" w:fill="FFFFFF"/>
          </w:tcPr>
          <w:p>
            <w:r>
              <w:rPr>
                <w:sz w:val="18"/>
              </w:rPr>
              <w:t>Total windows</w:t>
            </w:r>
          </w:p>
        </w:tc>
        <w:tc>
          <w:tcPr>
            <w:tcW w:type="dxa" w:w="2880"/>
            <w:shd w:val="clear" w:color="auto" w:fill="FFFFFF"/>
          </w:tcPr>
          <w:p>
            <w:r>
              <w:rPr>
                <w:sz w:val="18"/>
              </w:rPr>
              <w:t>18,659</w:t>
            </w:r>
          </w:p>
        </w:tc>
        <w:tc>
          <w:tcPr>
            <w:tcW w:type="dxa" w:w="2880"/>
            <w:shd w:val="clear" w:color="auto" w:fill="FFFFFF"/>
          </w:tcPr>
          <w:p>
            <w:r>
              <w:rPr>
                <w:sz w:val="18"/>
              </w:rPr>
              <w:t>25,448</w:t>
            </w:r>
          </w:p>
        </w:tc>
      </w:tr>
      <w:tr>
        <w:tc>
          <w:tcPr>
            <w:tcW w:type="dxa" w:w="3456"/>
            <w:shd w:val="clear" w:color="auto" w:fill="F8F9FA"/>
          </w:tcPr>
          <w:p>
            <w:r>
              <w:rPr>
                <w:sz w:val="18"/>
              </w:rPr>
              <w:t>Mean CLI</w:t>
            </w:r>
          </w:p>
        </w:tc>
        <w:tc>
          <w:tcPr>
            <w:tcW w:type="dxa" w:w="2880"/>
            <w:shd w:val="clear" w:color="auto" w:fill="F8F9FA"/>
          </w:tcPr>
          <w:p>
            <w:r>
              <w:rPr>
                <w:sz w:val="18"/>
              </w:rPr>
              <w:t>53.2</w:t>
            </w:r>
          </w:p>
        </w:tc>
        <w:tc>
          <w:tcPr>
            <w:tcW w:type="dxa" w:w="2880"/>
            <w:shd w:val="clear" w:color="auto" w:fill="F8F9FA"/>
          </w:tcPr>
          <w:p>
            <w:r>
              <w:rPr>
                <w:sz w:val="18"/>
              </w:rPr>
              <w:t>55.3</w:t>
            </w:r>
          </w:p>
        </w:tc>
      </w:tr>
      <w:tr>
        <w:tc>
          <w:tcPr>
            <w:tcW w:type="dxa" w:w="3456"/>
            <w:shd w:val="clear" w:color="auto" w:fill="FFFFFF"/>
          </w:tcPr>
          <w:p>
            <w:r>
              <w:rPr>
                <w:sz w:val="18"/>
              </w:rPr>
              <w:t>% Low (0–40)</w:t>
            </w:r>
          </w:p>
        </w:tc>
        <w:tc>
          <w:tcPr>
            <w:tcW w:type="dxa" w:w="2880"/>
            <w:shd w:val="clear" w:color="auto" w:fill="FFFFFF"/>
          </w:tcPr>
          <w:p>
            <w:r>
              <w:rPr>
                <w:sz w:val="18"/>
              </w:rPr>
              <w:t>19.4%</w:t>
            </w:r>
          </w:p>
        </w:tc>
        <w:tc>
          <w:tcPr>
            <w:tcW w:type="dxa" w:w="2880"/>
            <w:shd w:val="clear" w:color="auto" w:fill="FFFFFF"/>
          </w:tcPr>
          <w:p>
            <w:r>
              <w:rPr>
                <w:sz w:val="18"/>
              </w:rPr>
              <w:t>14.0%</w:t>
            </w:r>
          </w:p>
        </w:tc>
      </w:tr>
      <w:tr>
        <w:tc>
          <w:tcPr>
            <w:tcW w:type="dxa" w:w="3456"/>
            <w:shd w:val="clear" w:color="auto" w:fill="F8F9FA"/>
          </w:tcPr>
          <w:p>
            <w:r>
              <w:rPr>
                <w:sz w:val="18"/>
              </w:rPr>
              <w:t>% Medium (41–70)</w:t>
            </w:r>
          </w:p>
        </w:tc>
        <w:tc>
          <w:tcPr>
            <w:tcW w:type="dxa" w:w="2880"/>
            <w:shd w:val="clear" w:color="auto" w:fill="F8F9FA"/>
          </w:tcPr>
          <w:p>
            <w:r>
              <w:rPr>
                <w:sz w:val="18"/>
              </w:rPr>
              <w:t>66.8%</w:t>
            </w:r>
          </w:p>
        </w:tc>
        <w:tc>
          <w:tcPr>
            <w:tcW w:type="dxa" w:w="2880"/>
            <w:shd w:val="clear" w:color="auto" w:fill="F8F9FA"/>
          </w:tcPr>
          <w:p>
            <w:r>
              <w:rPr>
                <w:sz w:val="18"/>
              </w:rPr>
              <w:t>72.5%</w:t>
            </w:r>
          </w:p>
        </w:tc>
      </w:tr>
      <w:tr>
        <w:tc>
          <w:tcPr>
            <w:tcW w:type="dxa" w:w="3456"/>
            <w:shd w:val="clear" w:color="auto" w:fill="FFFFFF"/>
          </w:tcPr>
          <w:p>
            <w:r>
              <w:rPr>
                <w:sz w:val="18"/>
              </w:rPr>
              <w:t>% High (71–100)</w:t>
            </w:r>
          </w:p>
        </w:tc>
        <w:tc>
          <w:tcPr>
            <w:tcW w:type="dxa" w:w="2880"/>
            <w:shd w:val="clear" w:color="auto" w:fill="FFFFFF"/>
          </w:tcPr>
          <w:p>
            <w:r>
              <w:rPr>
                <w:sz w:val="18"/>
              </w:rPr>
              <w:t>13.8%</w:t>
            </w:r>
          </w:p>
        </w:tc>
        <w:tc>
          <w:tcPr>
            <w:tcW w:type="dxa" w:w="2880"/>
            <w:shd w:val="clear" w:color="auto" w:fill="FFFFFF"/>
          </w:tcPr>
          <w:p>
            <w:r>
              <w:rPr>
                <w:sz w:val="18"/>
              </w:rPr>
              <w:t>13.5%</w:t>
            </w:r>
          </w:p>
        </w:tc>
      </w:tr>
      <w:tr>
        <w:tc>
          <w:tcPr>
            <w:tcW w:type="dxa" w:w="3456"/>
            <w:shd w:val="clear" w:color="auto" w:fill="F8F9FA"/>
          </w:tcPr>
          <w:p>
            <w:r>
              <w:rPr>
                <w:sz w:val="18"/>
              </w:rPr>
              <w:t>Model evaluation</w:t>
            </w:r>
          </w:p>
        </w:tc>
        <w:tc>
          <w:tcPr>
            <w:tcW w:type="dxa" w:w="2880"/>
            <w:shd w:val="clear" w:color="auto" w:fill="F8F9FA"/>
          </w:tcPr>
          <w:p>
            <w:r>
              <w:rPr>
                <w:sz w:val="18"/>
              </w:rPr>
              <w:t>LOPO AUC = 0.568</w:t>
            </w:r>
          </w:p>
        </w:tc>
        <w:tc>
          <w:tcPr>
            <w:tcW w:type="dxa" w:w="2880"/>
            <w:shd w:val="clear" w:color="auto" w:fill="F8F9FA"/>
          </w:tcPr>
          <w:p>
            <w:r>
              <w:rPr>
                <w:sz w:val="18"/>
              </w:rPr>
              <w:t>Exploratory — no AUC computed</w:t>
            </w:r>
          </w:p>
        </w:tc>
      </w:tr>
    </w:tbl>
    <w:p/>
    <w:p>
      <w:pPr>
        <w:spacing w:after="120"/>
      </w:pPr>
      <w:r>
        <w:rPr>
          <w:rFonts w:ascii="Calibri" w:hAnsi="Calibri"/>
          <w:b w:val="0"/>
          <w:i/>
          <w:sz w:val="22"/>
        </w:rPr>
        <w:t>Lab values are from 24-fold LOPO cross-validation (each participant held out). Wild values are exploratory applications of a model trained on ALL Lab participants.</w:t>
      </w:r>
    </w:p>
    <w:p>
      <w:r>
        <w:br w:type="page"/>
      </w:r>
    </w:p>
    <w:p>
      <w:pPr>
        <w:pStyle w:val="Heading1"/>
      </w:pPr>
      <w:r>
        <w:t>6. Results</w:t>
      </w:r>
    </w:p>
    <w:p>
      <w:pPr>
        <w:pStyle w:val="Heading2"/>
      </w:pPr>
      <w:r>
        <w:t>What the Exploratory Application Shows</w:t>
      </w:r>
    </w:p>
    <w:p>
      <w:pPr>
        <w:pStyle w:val="ListBullet"/>
      </w:pPr>
      <w:r>
        <w:rPr>
          <w:rFonts w:ascii="Calibri" w:hAnsi="Calibri"/>
          <w:b/>
          <w:i w:val="0"/>
          <w:sz w:val="22"/>
        </w:rPr>
        <w:t>Plausible value range:</w:t>
      </w:r>
      <w:r>
        <w:rPr>
          <w:rFonts w:ascii="Calibri" w:hAnsi="Calibri"/>
          <w:b w:val="0"/>
          <w:i w:val="0"/>
          <w:sz w:val="22"/>
        </w:rPr>
        <w:t xml:space="preserve"> The CLI distribution in Wild data (mean 55.3, range 1.7–95.1) is broadly similar to Lab data, confirming the model does not produce degenerate or extreme predictions on naturalistic recordings.</w:t>
      </w:r>
    </w:p>
    <w:p>
      <w:pPr>
        <w:pStyle w:val="ListBullet"/>
      </w:pPr>
      <w:r>
        <w:rPr>
          <w:rFonts w:ascii="Calibri" w:hAnsi="Calibri"/>
          <w:b/>
          <w:i w:val="0"/>
          <w:sz w:val="22"/>
        </w:rPr>
        <w:t>Directional consistency:</w:t>
      </w:r>
      <w:r>
        <w:rPr>
          <w:rFonts w:ascii="Calibri" w:hAnsi="Calibri"/>
          <w:b w:val="0"/>
          <w:i w:val="0"/>
          <w:sz w:val="22"/>
        </w:rPr>
        <w:t xml:space="preserve"> High-stress Wild conditions tend to produce higher mean CLI than low-stress conditions, which is directionally consistent with the model's training objective.</w:t>
      </w:r>
    </w:p>
    <w:p>
      <w:pPr>
        <w:pStyle w:val="ListBullet"/>
      </w:pPr>
      <w:r>
        <w:rPr>
          <w:rFonts w:ascii="Calibri" w:hAnsi="Calibri"/>
          <w:b/>
          <w:i w:val="0"/>
          <w:sz w:val="22"/>
        </w:rPr>
        <w:t>Category distribution similar:</w:t>
      </w:r>
      <w:r>
        <w:rPr>
          <w:rFonts w:ascii="Calibri" w:hAnsi="Calibri"/>
          <w:b w:val="0"/>
          <w:i w:val="0"/>
          <w:sz w:val="22"/>
        </w:rPr>
        <w:t xml:space="preserve"> The proportion of High-category windows (13.5%) is nearly identical between Lab and Wild, suggesting the model's threshold behavior is stable across contexts.</w:t>
      </w:r>
    </w:p>
    <w:p>
      <w:pPr>
        <w:pStyle w:val="Heading2"/>
      </w:pPr>
      <w:r>
        <w:t>What Cannot Be Concluded</w:t>
      </w:r>
    </w:p>
    <w:p>
      <w:pPr>
        <w:pStyle w:val="ListBullet"/>
      </w:pPr>
      <w:r>
        <w:rPr>
          <w:rFonts w:ascii="Calibri" w:hAnsi="Calibri"/>
          <w:b/>
          <w:i w:val="0"/>
          <w:sz w:val="22"/>
        </w:rPr>
        <w:t>No model accuracy on Wild:</w:t>
      </w:r>
      <w:r>
        <w:rPr>
          <w:rFonts w:ascii="Calibri" w:hAnsi="Calibri"/>
          <w:b w:val="0"/>
          <w:i w:val="0"/>
          <w:sz w:val="22"/>
        </w:rPr>
        <w:t xml:space="preserve"> No AUC, F1, or accuracy metrics are reported for Wild data. There is no validated cognitive load label for Wild segments.</w:t>
      </w:r>
    </w:p>
    <w:p>
      <w:pPr>
        <w:pStyle w:val="ListBullet"/>
      </w:pPr>
      <w:r>
        <w:rPr>
          <w:rFonts w:ascii="Calibri" w:hAnsi="Calibri"/>
          <w:b/>
          <w:i w:val="0"/>
          <w:sz w:val="22"/>
        </w:rPr>
        <w:t>Scores not directly comparable:</w:t>
      </w:r>
      <w:r>
        <w:rPr>
          <w:rFonts w:ascii="Calibri" w:hAnsi="Calibri"/>
          <w:b w:val="0"/>
          <w:i w:val="0"/>
          <w:sz w:val="22"/>
        </w:rPr>
        <w:t xml:space="preserve"> A CLI of 60 in a Wild session is not directly comparable to a CLI of 60 in a Lab session. The normalization reference is different (Wild windows vs. Lab windows).</w:t>
      </w:r>
    </w:p>
    <w:p>
      <w:pPr>
        <w:pStyle w:val="ListBullet"/>
      </w:pPr>
      <w:r>
        <w:rPr>
          <w:rFonts w:ascii="Calibri" w:hAnsi="Calibri"/>
          <w:b/>
          <w:i w:val="0"/>
          <w:sz w:val="22"/>
        </w:rPr>
        <w:t>Context confounds:</w:t>
      </w:r>
      <w:r>
        <w:rPr>
          <w:rFonts w:ascii="Calibri" w:hAnsi="Calibri"/>
          <w:b w:val="0"/>
          <w:i w:val="0"/>
          <w:sz w:val="22"/>
        </w:rPr>
        <w:t xml:space="preserve"> Wild recording conditions (sensor placement, movement artifacts, environmental noise) differ from Lab. This adds noise that the model was not trained to handle.</w:t>
      </w:r>
    </w:p>
    <w:p>
      <w:r>
        <w:br w:type="page"/>
      </w:r>
    </w:p>
    <w:p>
      <w:pPr>
        <w:pStyle w:val="Heading1"/>
      </w:pPr>
      <w:r>
        <w:t>7. Conclusions</w:t>
      </w:r>
    </w:p>
    <w:p>
      <w:pPr>
        <w:spacing w:after="120"/>
      </w:pPr>
      <w:r>
        <w:rPr>
          <w:rFonts w:ascii="Calibri" w:hAnsi="Calibri"/>
          <w:b w:val="0"/>
          <w:i w:val="0"/>
          <w:sz w:val="22"/>
        </w:rPr>
        <w:t>Notebook 08 demonstrates that the final CLI model, trained on controlled Lab data, produces plausible and interpretable results when applied to naturalistic Wild recordings. This exploratory finding strengthens the real-world relevance argument for the CLI framework without making claims about model accuracy in naturalistic settings.</w:t>
      </w:r>
    </w:p>
    <w:p>
      <w:pPr>
        <w:spacing w:after="120"/>
      </w:pPr>
      <w:r>
        <w:rPr>
          <w:rFonts w:ascii="Calibri" w:hAnsi="Calibri"/>
          <w:b w:val="0"/>
          <w:i w:val="0"/>
          <w:sz w:val="22"/>
        </w:rPr>
        <w:t>The Wild Exploration section of the Streamlit dashboard presents these results with a clear disclaimer. Reviewers and stakeholders can explore CLI patterns across participants and Wild conditions while understanding the exploratory nature of the visualization.</w:t>
      </w:r>
    </w:p>
    <w:p>
      <w:pPr>
        <w:spacing w:after="120"/>
      </w:pPr>
      <w:r>
        <w:rPr>
          <w:rFonts w:ascii="Calibri" w:hAnsi="Calibri"/>
          <w:b w:val="0"/>
          <w:i w:val="0"/>
          <w:sz w:val="22"/>
        </w:rPr>
        <w:t>Key takeaway: the physiological signal structure in Wild data is sufficiently similar to Lab data that the model generalizes without producing nonsensical outputs. This supports the long-term feasibility of deploying the CLI framework in less controlled, more realistic workplace monitoring scenarios.</w:t>
      </w:r>
    </w:p>
    <w:tbl>
      <w:tblPr>
        <w:tblStyle w:val="TableGrid"/>
        <w:tblW w:type="auto" w:w="0"/>
        <w:jc w:val="center"/>
        <w:tblLook w:firstColumn="1" w:firstRow="1" w:lastColumn="0" w:lastRow="0" w:noHBand="0" w:noVBand="1" w:val="04A0"/>
      </w:tblPr>
      <w:tblGrid>
        <w:gridCol w:w="4561"/>
        <w:gridCol w:w="4561"/>
      </w:tblGrid>
      <w:tr>
        <w:tc>
          <w:tcPr>
            <w:tcW w:type="dxa" w:w="4320"/>
            <w:shd w:val="clear" w:color="auto" w:fill="2C3E50"/>
          </w:tcPr>
          <w:p>
            <w:r>
              <w:rPr>
                <w:b/>
                <w:color w:val="FFFFFF"/>
                <w:sz w:val="18"/>
              </w:rPr>
              <w:t>File Created</w:t>
            </w:r>
          </w:p>
        </w:tc>
        <w:tc>
          <w:tcPr>
            <w:tcW w:type="dxa" w:w="5040"/>
            <w:shd w:val="clear" w:color="auto" w:fill="2C3E50"/>
          </w:tcPr>
          <w:p>
            <w:r>
              <w:rPr>
                <w:b/>
                <w:color w:val="FFFFFF"/>
                <w:sz w:val="18"/>
              </w:rPr>
              <w:t>Description</w:t>
            </w:r>
          </w:p>
        </w:tc>
      </w:tr>
      <w:tr>
        <w:tc>
          <w:tcPr>
            <w:tcW w:type="dxa" w:w="4320"/>
            <w:shd w:val="clear" w:color="auto" w:fill="F8F9FA"/>
          </w:tcPr>
          <w:p>
            <w:r>
              <w:rPr>
                <w:sz w:val="18"/>
              </w:rPr>
              <w:t>outputs/wild_cli_exploration.csv</w:t>
            </w:r>
          </w:p>
        </w:tc>
        <w:tc>
          <w:tcPr>
            <w:tcW w:type="dxa" w:w="5040"/>
            <w:shd w:val="clear" w:color="auto" w:fill="F8F9FA"/>
          </w:tcPr>
          <w:p>
            <w:r>
              <w:rPr>
                <w:sz w:val="18"/>
              </w:rPr>
              <w:t>25,448 Wild window predictions with CLI and condition labels</w:t>
            </w:r>
          </w:p>
        </w:tc>
      </w:tr>
      <w:tr>
        <w:tc>
          <w:tcPr>
            <w:tcW w:type="dxa" w:w="4320"/>
            <w:shd w:val="clear" w:color="auto" w:fill="FFFFFF"/>
          </w:tcPr>
          <w:p>
            <w:r>
              <w:rPr>
                <w:sz w:val="18"/>
              </w:rPr>
              <w:t>nb08_wild_cli_distribution.png</w:t>
            </w:r>
          </w:p>
        </w:tc>
        <w:tc>
          <w:tcPr>
            <w:tcW w:type="dxa" w:w="5040"/>
            <w:shd w:val="clear" w:color="auto" w:fill="FFFFFF"/>
          </w:tcPr>
          <w:p>
            <w:r>
              <w:rPr>
                <w:sz w:val="18"/>
              </w:rPr>
              <w:t>CLI histogram + condition breakdown</w:t>
            </w:r>
          </w:p>
        </w:tc>
      </w:tr>
      <w:tr>
        <w:tc>
          <w:tcPr>
            <w:tcW w:type="dxa" w:w="4320"/>
            <w:shd w:val="clear" w:color="auto" w:fill="F8F9FA"/>
          </w:tcPr>
          <w:p>
            <w:r>
              <w:rPr>
                <w:sz w:val="18"/>
              </w:rPr>
              <w:t>nb08_wild_cli_timeseries.png</w:t>
            </w:r>
          </w:p>
        </w:tc>
        <w:tc>
          <w:tcPr>
            <w:tcW w:type="dxa" w:w="5040"/>
            <w:shd w:val="clear" w:color="auto" w:fill="F8F9FA"/>
          </w:tcPr>
          <w:p>
            <w:r>
              <w:rPr>
                <w:sz w:val="18"/>
              </w:rPr>
              <w:t>CLI over time — 4 sample participants</w:t>
            </w:r>
          </w:p>
        </w:tc>
      </w:tr>
      <w:tr>
        <w:tc>
          <w:tcPr>
            <w:tcW w:type="dxa" w:w="4320"/>
            <w:shd w:val="clear" w:color="auto" w:fill="FFFFFF"/>
          </w:tcPr>
          <w:p>
            <w:r>
              <w:rPr>
                <w:sz w:val="18"/>
              </w:rPr>
              <w:t>nb08_lab_vs_wild_comparison.png</w:t>
            </w:r>
          </w:p>
        </w:tc>
        <w:tc>
          <w:tcPr>
            <w:tcW w:type="dxa" w:w="5040"/>
            <w:shd w:val="clear" w:color="auto" w:fill="FFFFFF"/>
          </w:tcPr>
          <w:p>
            <w:r>
              <w:rPr>
                <w:sz w:val="18"/>
              </w:rPr>
              <w:t>Lab vs Wild summary comparison table</w:t>
            </w:r>
          </w:p>
        </w:tc>
      </w:tr>
    </w:tbl>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