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BEEF AI Transparency Disclosure</w:t>
      </w:r>
    </w:p>
    <w:p>
      <w:pPr>
        <w:jc w:val="center"/>
      </w:pPr>
      <w:r>
        <w:rPr>
          <w:i/>
        </w:rPr>
        <w:t>What the AI judge does—and does not—do</w:t>
      </w:r>
    </w:p>
    <w:p>
      <w:r>
        <w:t>Effective date: July 14, 2026</w:t>
      </w:r>
    </w:p>
    <w:p>
      <w:r>
        <w:t>Operator: [LEGAL ENTITY NAME]</w:t>
      </w:r>
    </w:p>
    <w:p>
      <w:pPr>
        <w:pStyle w:val="Heading2"/>
      </w:pPr>
      <w:r>
        <w:t>1. AI is part of the experience</w:t>
      </w:r>
    </w:p>
    <w:p>
      <w:r>
        <w:t>BEEF uses an automated AI system to analyze the two sides of a submitted case and generate a non-binding entertainment output. The output can include a winner, scores, reasoning, a roast, and an appeal result.</w:t>
      </w:r>
    </w:p>
    <w:p>
      <w:pPr>
        <w:pStyle w:val="Heading2"/>
      </w:pPr>
      <w:r>
        <w:t>2. What the AI does not do</w:t>
      </w:r>
    </w:p>
    <w:p>
      <w:r>
        <w:t>The AI does not independently investigate facts, authenticate evidence, determine truth, apply law, provide legal advice, make binding decisions, or replace human judgment. It may be wrong, incomplete, inconsistent, or influenced by the wording and omissions in a submission.</w:t>
      </w:r>
    </w:p>
    <w:p>
      <w:pPr>
        <w:pStyle w:val="Heading2"/>
      </w:pPr>
      <w:r>
        <w:t>3. Human impact and choices</w:t>
      </w:r>
    </w:p>
    <w:p>
      <w:r>
        <w:t>BEEF should not be used to make decisions about employment, housing, credit, insurance, education, healthcare, legal rights, safety, or other high-impact matters. Users decide whether to submit, share, react to, or disregard an output.</w:t>
      </w:r>
    </w:p>
    <w:p>
      <w:pPr>
        <w:pStyle w:val="Heading2"/>
      </w:pPr>
      <w:r>
        <w:t>4. Input restrictions</w:t>
      </w:r>
    </w:p>
    <w:p>
      <w:r>
        <w:t>Do not submit sensitive personal data, private messages without permission, identifying information about others, or content involving minors. See the Privacy Notice and Community &amp; Content Policy.</w:t>
      </w:r>
    </w:p>
    <w:p>
      <w:pPr>
        <w:pStyle w:val="Heading2"/>
      </w:pPr>
      <w:r>
        <w:t>5. Tone and safety</w:t>
      </w:r>
    </w:p>
    <w:p>
      <w:r>
        <w:t>The selected judge tone controls style, not factual reliability. “Savage” means playful critique of arguments; it must not be used to target protected characteristics or vulnerable personal traits. We may filter, limit, revise, remove, or refuse content and outputs for safety, quality, or legal reasons.</w:t>
      </w:r>
    </w:p>
    <w:p>
      <w:pPr>
        <w:pStyle w:val="Heading2"/>
      </w:pPr>
      <w:r>
        <w:t>6. Feedback and reporting</w:t>
      </w:r>
    </w:p>
    <w:p>
      <w:r>
        <w:t>If an output is unsafe, discriminatory, clearly inaccurate, or otherwise problematic, do not rely on it or amplify it. Report it at [LEGAL CONTACT EMAIL] with the case URL and a brief explanation.</w:t>
      </w:r>
    </w:p>
    <w:p/>
    <w:p>
      <w:r>
        <w:rPr>
          <w:b/>
        </w:rPr>
        <w:t xml:space="preserve">Implementation note: </w:t>
      </w:r>
      <w:r>
        <w:t>Replace every bracketed placeholder before publishing. This starter document is not legal advice and should be reviewed by a qualified lawyer for the operator’s entity, launch locations, and actual data practices.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