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BEEF IP, Copyright &amp; DMCA Policy</w:t>
      </w:r>
    </w:p>
    <w:p>
      <w:pPr>
        <w:jc w:val="center"/>
      </w:pPr>
      <w:r>
        <w:rPr>
          <w:i/>
        </w:rPr>
        <w:t>Copyright reporting and content-removal process</w:t>
      </w:r>
    </w:p>
    <w:p>
      <w:r>
        <w:t>Effective date: July 14, 2026</w:t>
      </w:r>
    </w:p>
    <w:p>
      <w:r>
        <w:t>Operator: [LEGAL ENTITY NAME]</w:t>
      </w:r>
    </w:p>
    <w:p>
      <w:pPr>
        <w:pStyle w:val="Heading2"/>
      </w:pPr>
      <w:r>
        <w:t>1. Respect for intellectual property</w:t>
      </w:r>
    </w:p>
    <w:p>
      <w:r>
        <w:t>Do not upload material that infringes another person’s copyright, trademark, privacy, publicity, or other rights. You are responsible for ensuring you can submit and share your content.</w:t>
      </w:r>
    </w:p>
    <w:p>
      <w:pPr>
        <w:pStyle w:val="Heading2"/>
      </w:pPr>
      <w:r>
        <w:t>2. Reporting claimed copyright infringement</w:t>
      </w:r>
    </w:p>
    <w:p>
      <w:r>
        <w:t>To submit a copyright complaint, send [LEGAL CONTACT EMAIL] a written notice containing: (a) identification of the copyrighted work; (b) identification and URL of the allegedly infringing material; (c) your name, address, phone number, and email; (d) a statement that you have a good-faith belief the use is unauthorized; (e) a statement, under penalty of perjury, that the information is accurate and that you are authorized to act for the rights holder; and (f) your physical or electronic signature.</w:t>
      </w:r>
    </w:p>
    <w:p>
      <w:pPr>
        <w:pStyle w:val="Heading2"/>
      </w:pPr>
      <w:r>
        <w:t>3. Counter-notice</w:t>
      </w:r>
    </w:p>
    <w:p>
      <w:r>
        <w:t>If you believe material was removed by mistake or misidentification, send a counter-notice to [LEGAL CONTACT EMAIL] containing the information required by applicable law, including identification of the removed material, a good-faith statement, consent to the relevant court jurisdiction, contact information, and a signature. Obtain legal advice if you are unsure whether to send a counter-notice.</w:t>
      </w:r>
    </w:p>
    <w:p>
      <w:pPr>
        <w:pStyle w:val="Heading2"/>
      </w:pPr>
      <w:r>
        <w:t>4. Repeat infringement and other removals</w:t>
      </w:r>
    </w:p>
    <w:p>
      <w:r>
        <w:t>We may remove content, disable access, or restrict repeat infringers and may act on complaints involving privacy, impersonation, defamation, safety, or unlawful content even where copyright law does not apply.</w:t>
      </w:r>
    </w:p>
    <w:p>
      <w:pPr>
        <w:pStyle w:val="Heading2"/>
      </w:pPr>
      <w:r>
        <w:t>5. Designated agent</w:t>
      </w:r>
    </w:p>
    <w:p>
      <w:r>
        <w:t>For U.S. DMCA safe-harbor purposes, the operator should register a designated agent with the U.S. Copyright Office before relying on DMCA protections. Designated agent details: [LEGAL ENTITY NAME], [BUSINESS MAILING ADDRESS], [LEGAL CONTACT EMAIL].</w:t>
      </w:r>
    </w:p>
    <w:p/>
    <w:p>
      <w:r>
        <w:rPr>
          <w:b/>
        </w:rPr>
        <w:t xml:space="preserve">Implementation note: </w:t>
      </w:r>
      <w:r>
        <w:t>Replace every bracketed placeholder before publishing. This starter document is not legal advice and should be reviewed by a qualified lawyer for the operator’s entity, launch locations, and actual data practices.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