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08" w:rsidRDefault="000C5908" w:rsidP="003E261D">
      <w:pPr>
        <w:bidi/>
        <w:rPr>
          <w:rtl/>
        </w:rPr>
      </w:pPr>
    </w:p>
    <w:p w:rsidR="000C5908" w:rsidRDefault="000C5908" w:rsidP="000C5908">
      <w:pPr>
        <w:bidi/>
        <w:rPr>
          <w:rtl/>
        </w:rPr>
      </w:pPr>
    </w:p>
    <w:p w:rsidR="000C5908" w:rsidRPr="000C5908" w:rsidRDefault="000C5908" w:rsidP="000C5908">
      <w:pPr>
        <w:bidi/>
        <w:rPr>
          <w:b/>
          <w:bCs/>
          <w:u w:val="single"/>
          <w:rtl/>
        </w:rPr>
      </w:pPr>
      <w:r w:rsidRPr="000C5908">
        <w:rPr>
          <w:rFonts w:cs="Arial"/>
          <w:b/>
          <w:bCs/>
          <w:u w:val="single"/>
          <w:rtl/>
        </w:rPr>
        <w:t>ניתוח דפוסים בטעויות המודל</w:t>
      </w:r>
      <w:r w:rsidRPr="000C5908">
        <w:rPr>
          <w:b/>
          <w:bCs/>
          <w:u w:val="single"/>
        </w:rPr>
        <w:t>:</w:t>
      </w:r>
    </w:p>
    <w:p w:rsidR="000C5908" w:rsidRDefault="000C5908" w:rsidP="000C5908">
      <w:pPr>
        <w:pStyle w:val="a3"/>
        <w:numPr>
          <w:ilvl w:val="0"/>
          <w:numId w:val="1"/>
        </w:numPr>
        <w:bidi/>
        <w:rPr>
          <w:rtl/>
        </w:rPr>
      </w:pPr>
      <w:r w:rsidRPr="000C5908">
        <w:rPr>
          <w:rFonts w:cs="Arial"/>
          <w:rtl/>
        </w:rPr>
        <w:t>החלטות ללא עונש: המודל נוטה להניח שברגע שאין עונש בפועל, מדובר בהחלטה שלילית עבור הצד החזק, למרות שלעיתים מדובר בפסקי דין שמיטיבים עם הנאשם</w:t>
      </w:r>
      <w:r>
        <w:t>.</w:t>
      </w:r>
    </w:p>
    <w:p w:rsidR="000C5908" w:rsidRDefault="000C5908" w:rsidP="000C5908">
      <w:pPr>
        <w:pStyle w:val="a3"/>
        <w:numPr>
          <w:ilvl w:val="0"/>
          <w:numId w:val="1"/>
        </w:numPr>
        <w:bidi/>
        <w:rPr>
          <w:rtl/>
        </w:rPr>
      </w:pPr>
      <w:r w:rsidRPr="000C5908">
        <w:rPr>
          <w:rFonts w:cs="Arial"/>
          <w:rtl/>
        </w:rPr>
        <w:t>החלטות חלקיות או פשרות: תוצאות כמו "נדחה למעט דו"ח" או "זיכוי מעבירה מסוימת בלבד" מציבות אתגר להבנת התוצאה הכללית</w:t>
      </w:r>
      <w:r>
        <w:t>.</w:t>
      </w:r>
    </w:p>
    <w:p w:rsidR="000C5908" w:rsidRPr="000C5908" w:rsidRDefault="000C5908" w:rsidP="000C5908">
      <w:pPr>
        <w:pStyle w:val="a3"/>
        <w:numPr>
          <w:ilvl w:val="0"/>
          <w:numId w:val="1"/>
        </w:numPr>
        <w:bidi/>
        <w:rPr>
          <w:rtl/>
        </w:rPr>
      </w:pPr>
      <w:r w:rsidRPr="000C5908">
        <w:rPr>
          <w:rFonts w:cs="Arial"/>
          <w:rtl/>
        </w:rPr>
        <w:t>שפה לא ישירה: שימוש במונחים משפטיים שלא מתארים באופן ישיר את תוצאת הערעור, כמו "דיון בגלגול שלישי נדחה", גורמים לבלבול.</w:t>
      </w:r>
    </w:p>
    <w:p w:rsidR="000C5908" w:rsidRDefault="000C5908" w:rsidP="000C5908">
      <w:pPr>
        <w:bidi/>
        <w:rPr>
          <w:rtl/>
        </w:rPr>
      </w:pPr>
    </w:p>
    <w:p w:rsidR="007F7376" w:rsidRDefault="007F7376" w:rsidP="007F7376">
      <w:pPr>
        <w:bidi/>
        <w:rPr>
          <w:rtl/>
        </w:rPr>
      </w:pPr>
    </w:p>
    <w:p w:rsidR="007F7376" w:rsidRPr="007F7376" w:rsidRDefault="007F7376" w:rsidP="007F7376">
      <w:pPr>
        <w:bidi/>
        <w:rPr>
          <w:b/>
          <w:bCs/>
          <w:u w:val="single"/>
          <w:rtl/>
        </w:rPr>
      </w:pPr>
      <w:r w:rsidRPr="007F7376">
        <w:rPr>
          <w:rFonts w:cs="Arial"/>
          <w:b/>
          <w:bCs/>
          <w:u w:val="single"/>
          <w:rtl/>
        </w:rPr>
        <w:t>סיבות עיקריות לטעויות של המודל</w:t>
      </w:r>
      <w:r w:rsidRPr="007F7376">
        <w:rPr>
          <w:b/>
          <w:bCs/>
          <w:u w:val="single"/>
        </w:rPr>
        <w:t>:</w:t>
      </w:r>
    </w:p>
    <w:p w:rsidR="007F7376" w:rsidRDefault="007F7376" w:rsidP="007F7376">
      <w:pPr>
        <w:pStyle w:val="a3"/>
        <w:numPr>
          <w:ilvl w:val="0"/>
          <w:numId w:val="2"/>
        </w:numPr>
        <w:bidi/>
        <w:rPr>
          <w:rtl/>
        </w:rPr>
      </w:pPr>
      <w:r w:rsidRPr="007F7376">
        <w:rPr>
          <w:rFonts w:cs="Arial"/>
          <w:u w:val="single"/>
          <w:rtl/>
        </w:rPr>
        <w:t>מורכבות ההחלטות המשפטיות</w:t>
      </w:r>
      <w:r w:rsidRPr="007F7376">
        <w:rPr>
          <w:u w:val="single"/>
        </w:rPr>
        <w:t>:</w:t>
      </w:r>
      <w:r>
        <w:rPr>
          <w:rtl/>
        </w:rPr>
        <w:br/>
      </w:r>
      <w:r w:rsidRPr="007F7376">
        <w:rPr>
          <w:rFonts w:cs="Arial"/>
          <w:rtl/>
        </w:rPr>
        <w:t xml:space="preserve">במקרים רבים ההחלטות המשפטיות </w:t>
      </w:r>
      <w:r w:rsidRPr="007F7376">
        <w:rPr>
          <w:rFonts w:cs="Arial"/>
          <w:u w:val="single"/>
          <w:rtl/>
        </w:rPr>
        <w:t xml:space="preserve">אינן חד-משמעיות </w:t>
      </w:r>
      <w:r w:rsidRPr="007F7376">
        <w:rPr>
          <w:rFonts w:cs="Arial"/>
          <w:rtl/>
        </w:rPr>
        <w:t xml:space="preserve">ומערבות אלמנטים סותרים, כמו החלטות שמתקבלות חלקית, פשרות, או תוצאות ללא עונש ממשי. המודל התבלבל בזיהוי של תוצאות מורכבות אלו (למשל, בקשה שהתקבלה אך ללא השלכות </w:t>
      </w:r>
      <w:proofErr w:type="spellStart"/>
      <w:r w:rsidRPr="007F7376">
        <w:rPr>
          <w:rFonts w:cs="Arial"/>
          <w:rtl/>
        </w:rPr>
        <w:t>עונשיות</w:t>
      </w:r>
      <w:proofErr w:type="spellEnd"/>
      <w:r w:rsidRPr="007F7376">
        <w:rPr>
          <w:rFonts w:cs="Arial"/>
          <w:rtl/>
        </w:rPr>
        <w:t>)</w:t>
      </w:r>
      <w:r>
        <w:t>.</w:t>
      </w:r>
    </w:p>
    <w:p w:rsidR="007F7376" w:rsidRDefault="007F7376" w:rsidP="007F7376">
      <w:pPr>
        <w:pStyle w:val="a3"/>
        <w:numPr>
          <w:ilvl w:val="0"/>
          <w:numId w:val="2"/>
        </w:numPr>
        <w:bidi/>
        <w:rPr>
          <w:rtl/>
        </w:rPr>
      </w:pPr>
      <w:r w:rsidRPr="007F7376">
        <w:rPr>
          <w:rFonts w:cs="Arial"/>
          <w:u w:val="single"/>
          <w:rtl/>
        </w:rPr>
        <w:t>פורמט וארגון המידע</w:t>
      </w:r>
      <w:r w:rsidRPr="007F7376">
        <w:rPr>
          <w:u w:val="single"/>
        </w:rPr>
        <w:t>:</w:t>
      </w:r>
      <w:r>
        <w:rPr>
          <w:rtl/>
        </w:rPr>
        <w:br/>
      </w:r>
      <w:r w:rsidRPr="007F7376">
        <w:rPr>
          <w:rFonts w:cs="Arial"/>
          <w:rtl/>
        </w:rPr>
        <w:t xml:space="preserve">פסקי הדין מכילים כמות גדולה של טקסט, ולעיתים </w:t>
      </w:r>
      <w:r w:rsidRPr="007F7376">
        <w:rPr>
          <w:rFonts w:cs="Arial"/>
          <w:u w:val="single"/>
          <w:rtl/>
        </w:rPr>
        <w:t>המידע הקריטי מוסתר בתוך פרטים טכניים</w:t>
      </w:r>
      <w:r w:rsidRPr="007F7376">
        <w:rPr>
          <w:rFonts w:cs="Arial"/>
          <w:rtl/>
        </w:rPr>
        <w:t>, כמו החלטות ביניים, דחיות, או הקטנת עונש. המודל מתקשה למקד את ניתוחו בפרטים החשובים בלבד</w:t>
      </w:r>
      <w:r>
        <w:t>.</w:t>
      </w:r>
    </w:p>
    <w:p w:rsidR="007F7376" w:rsidRDefault="007F7376" w:rsidP="007F7376">
      <w:pPr>
        <w:pStyle w:val="a3"/>
        <w:numPr>
          <w:ilvl w:val="0"/>
          <w:numId w:val="2"/>
        </w:numPr>
        <w:bidi/>
        <w:rPr>
          <w:rtl/>
        </w:rPr>
      </w:pPr>
      <w:r w:rsidRPr="007F7376">
        <w:rPr>
          <w:rFonts w:cs="Arial"/>
          <w:u w:val="single"/>
          <w:rtl/>
        </w:rPr>
        <w:t>שפה לא חד-משמעית</w:t>
      </w:r>
      <w:r w:rsidRPr="007F7376">
        <w:rPr>
          <w:u w:val="single"/>
        </w:rPr>
        <w:t>:</w:t>
      </w:r>
      <w:r>
        <w:rPr>
          <w:rtl/>
        </w:rPr>
        <w:br/>
      </w:r>
      <w:r w:rsidRPr="007F7376">
        <w:rPr>
          <w:rFonts w:cs="Arial"/>
          <w:rtl/>
        </w:rPr>
        <w:t>שימוש במונחים משפטיים, כמו "התקבלה באופן חלקי" או "נדחתה למעט פרטים", עשוי להוביל לבלבול בין תוצאה חיובית לשלילית</w:t>
      </w:r>
      <w:r>
        <w:t>.</w:t>
      </w:r>
    </w:p>
    <w:p w:rsidR="007F7376" w:rsidRDefault="007F7376" w:rsidP="007F7376">
      <w:pPr>
        <w:pStyle w:val="a3"/>
        <w:numPr>
          <w:ilvl w:val="0"/>
          <w:numId w:val="2"/>
        </w:numPr>
        <w:bidi/>
        <w:rPr>
          <w:rtl/>
        </w:rPr>
      </w:pPr>
      <w:r w:rsidRPr="007F7376">
        <w:rPr>
          <w:rFonts w:cs="Arial"/>
          <w:u w:val="single"/>
          <w:rtl/>
        </w:rPr>
        <w:t>תלויות בקונטקסט הכללי</w:t>
      </w:r>
      <w:r w:rsidRPr="007F7376">
        <w:rPr>
          <w:u w:val="single"/>
        </w:rPr>
        <w:t>:</w:t>
      </w:r>
      <w:r>
        <w:rPr>
          <w:rtl/>
        </w:rPr>
        <w:br/>
      </w:r>
      <w:r w:rsidRPr="007F7376">
        <w:rPr>
          <w:rFonts w:cs="Arial"/>
          <w:rtl/>
        </w:rPr>
        <w:t>המודל מתעלם לעיתים מהקשר משפטי רחב יותר, כמו הסכמה של המדינה לשינויים שאינם משפיעים בפועל על הנאשם. זה מוביל לאי-דיוק בזיהוי התוצאה הסופית</w:t>
      </w:r>
      <w:r>
        <w:t>.</w:t>
      </w:r>
    </w:p>
    <w:p w:rsidR="007F7376" w:rsidRPr="007F7376" w:rsidRDefault="007F7376" w:rsidP="007F7376">
      <w:pPr>
        <w:pStyle w:val="a3"/>
        <w:numPr>
          <w:ilvl w:val="0"/>
          <w:numId w:val="2"/>
        </w:numPr>
        <w:bidi/>
      </w:pPr>
      <w:r w:rsidRPr="007F7376">
        <w:rPr>
          <w:rFonts w:cs="Arial"/>
          <w:u w:val="single"/>
          <w:rtl/>
        </w:rPr>
        <w:t>מחסור במידע ייעודי לתווית</w:t>
      </w:r>
      <w:r w:rsidRPr="007F7376">
        <w:rPr>
          <w:u w:val="single"/>
        </w:rPr>
        <w:t>:</w:t>
      </w:r>
      <w:r>
        <w:rPr>
          <w:rtl/>
        </w:rPr>
        <w:br/>
      </w:r>
      <w:r w:rsidRPr="007F7376">
        <w:rPr>
          <w:rFonts w:cs="Arial"/>
          <w:rtl/>
        </w:rPr>
        <w:t>חלק מהמידע שמוביל להחלטה על התווית "1" אינו בולט או מוסתר בין השורות. לדוגמה, ייתכן שהמודל לא הבין את החשיבות של הסכמה או ויתור מצד המדינה בתיק.</w:t>
      </w:r>
    </w:p>
    <w:p w:rsidR="007F7376" w:rsidRDefault="007F7376" w:rsidP="007F7376">
      <w:pPr>
        <w:bidi/>
        <w:rPr>
          <w:rtl/>
        </w:rPr>
      </w:pPr>
    </w:p>
    <w:p w:rsidR="007F7376" w:rsidRPr="007F7376" w:rsidRDefault="007F7376" w:rsidP="007F7376">
      <w:pPr>
        <w:bidi/>
        <w:rPr>
          <w:b/>
          <w:bCs/>
          <w:u w:val="single"/>
          <w:rtl/>
        </w:rPr>
      </w:pPr>
    </w:p>
    <w:p w:rsidR="003E261D" w:rsidRPr="007F7376" w:rsidRDefault="003E261D" w:rsidP="000C5908">
      <w:pPr>
        <w:bidi/>
        <w:rPr>
          <w:b/>
          <w:bCs/>
          <w:u w:val="single"/>
        </w:rPr>
      </w:pPr>
      <w:r w:rsidRPr="007F7376">
        <w:rPr>
          <w:b/>
          <w:bCs/>
          <w:u w:val="single"/>
        </w:rPr>
        <w:t>False Negative Cases (True Label: 1, Predicted Label: 0):</w:t>
      </w:r>
    </w:p>
    <w:p w:rsidR="003E261D" w:rsidRDefault="003E261D" w:rsidP="003E261D">
      <w:pPr>
        <w:bidi/>
      </w:pPr>
    </w:p>
    <w:p w:rsidR="003E261D" w:rsidRPr="007F7376" w:rsidRDefault="003E261D" w:rsidP="003E261D">
      <w:pPr>
        <w:bidi/>
        <w:rPr>
          <w:u w:val="single"/>
          <w:rtl/>
        </w:rPr>
      </w:pPr>
      <w:r w:rsidRPr="007F7376">
        <w:rPr>
          <w:u w:val="single"/>
        </w:rPr>
        <w:t>Case 1:</w:t>
      </w:r>
    </w:p>
    <w:p w:rsidR="003D28CF" w:rsidRDefault="003D28CF" w:rsidP="003D28CF">
      <w:pPr>
        <w:bidi/>
      </w:pPr>
      <w:r w:rsidRPr="003D28CF">
        <w:rPr>
          <w:highlight w:val="yellow"/>
          <w:rtl/>
        </w:rPr>
        <w:t xml:space="preserve">בית המשפט קיבל את ערעור המדינה, החזיר את החלטת בית משפט השלום על כנה, אך בהסכמת המדינה, לא הוטלו השלכות </w:t>
      </w:r>
      <w:proofErr w:type="spellStart"/>
      <w:r w:rsidRPr="003D28CF">
        <w:rPr>
          <w:highlight w:val="yellow"/>
          <w:rtl/>
        </w:rPr>
        <w:t>עונשיות</w:t>
      </w:r>
      <w:proofErr w:type="spellEnd"/>
      <w:r w:rsidRPr="003D28CF">
        <w:rPr>
          <w:highlight w:val="yellow"/>
          <w:rtl/>
        </w:rPr>
        <w:t xml:space="preserve"> על הנאשם. ההכרעה מדגישה את חשיבות האכיפה הפשוטה והאפקטיבית בדיני תעבורה לשמירה על בטיחות הציבור</w:t>
      </w:r>
      <w:r w:rsidRPr="003D28CF">
        <w:rPr>
          <w:highlight w:val="yellow"/>
        </w:rPr>
        <w:t>.</w:t>
      </w:r>
      <w:r>
        <w:rPr>
          <w:rFonts w:hint="cs"/>
          <w:rtl/>
        </w:rPr>
        <w:t xml:space="preserve"> </w:t>
      </w:r>
      <w:r w:rsidRPr="003D28CF">
        <w:rPr>
          <w:b/>
          <w:bCs/>
          <w:highlight w:val="yellow"/>
          <w:u w:val="single"/>
          <w:rtl/>
        </w:rPr>
        <w:t>במקרה הנדון, הנאשם לא קיבל עונש, וההכרעה שימשה בעיקר ליצירת תקדים משפטי</w:t>
      </w:r>
      <w:r w:rsidRPr="003D28CF">
        <w:rPr>
          <w:b/>
          <w:bCs/>
          <w:highlight w:val="yellow"/>
          <w:u w:val="single"/>
        </w:rPr>
        <w:t>.</w:t>
      </w:r>
    </w:p>
    <w:p w:rsidR="003E261D" w:rsidRDefault="003E261D" w:rsidP="003E261D">
      <w:pPr>
        <w:bidi/>
      </w:pPr>
      <w:r>
        <w:lastRenderedPageBreak/>
        <w:t>--------------------------------------------------------------------------------</w:t>
      </w:r>
    </w:p>
    <w:p w:rsidR="003E261D" w:rsidRDefault="003E261D" w:rsidP="003E261D">
      <w:pPr>
        <w:bidi/>
      </w:pPr>
      <w:r>
        <w:t>Index in Original Data:</w:t>
      </w:r>
    </w:p>
    <w:p w:rsidR="003E261D" w:rsidRDefault="003E261D" w:rsidP="003E261D">
      <w:pPr>
        <w:bidi/>
      </w:pPr>
      <w:r>
        <w:t>7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Original Outcome of Case:</w:t>
      </w:r>
    </w:p>
    <w:p w:rsidR="003E261D" w:rsidRDefault="003E261D" w:rsidP="003E261D">
      <w:pPr>
        <w:bidi/>
      </w:pPr>
      <w:r>
        <w:t xml:space="preserve">G R </w:t>
      </w:r>
      <w:proofErr w:type="spellStart"/>
      <w:r>
        <w:t>substential</w:t>
      </w:r>
      <w:proofErr w:type="spellEnd"/>
      <w:r>
        <w:t xml:space="preserve"> matter that was resolved with no consequences on the defendant (as the state consented)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Binary Outcome (True Label):</w:t>
      </w:r>
    </w:p>
    <w:p w:rsidR="003E261D" w:rsidRDefault="003E261D" w:rsidP="003E261D">
      <w:pPr>
        <w:bidi/>
      </w:pPr>
      <w:r>
        <w:t>1.0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Predicted Label:</w:t>
      </w:r>
    </w:p>
    <w:p w:rsidR="003E261D" w:rsidRDefault="003E261D" w:rsidP="003E261D">
      <w:pPr>
        <w:bidi/>
      </w:pPr>
      <w:r>
        <w:t>0.0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Formatted Text:</w:t>
      </w:r>
    </w:p>
    <w:p w:rsidR="003E261D" w:rsidRDefault="003E261D" w:rsidP="003E261D">
      <w:pPr>
        <w:bidi/>
      </w:pPr>
      <w:r>
        <w:t>['</w:t>
      </w:r>
      <w:r>
        <w:rPr>
          <w:rFonts w:cs="Arial"/>
          <w:rtl/>
        </w:rPr>
        <w:t xml:space="preserve">פסק דין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2929/04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2929/04 בפני: כבוד הנשיאה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ד\' ביניש כבוד השופטת מ\' נאור כבוד השופטת א\' חיות המבקשת: מדינת ישראל נגד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המשיב: רפאל אוחנה בקשת רשות ערעור על פסק דינו של בית המשפט המחוזי בירושלים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ב-ע"פ 7629/03 מיום 17.2.2004 שניתן על-ידי </w:t>
      </w:r>
      <w:proofErr w:type="spellStart"/>
      <w:r>
        <w:rPr>
          <w:rFonts w:cs="Arial"/>
          <w:rtl/>
        </w:rPr>
        <w:t>כב</w:t>
      </w:r>
      <w:proofErr w:type="spellEnd"/>
      <w:r>
        <w:rPr>
          <w:rFonts w:cs="Arial"/>
          <w:rtl/>
        </w:rPr>
        <w:t>\' השופטת א\' אפעל-גבאי תאריך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הישיבה: כ"ו בניסן </w:t>
      </w:r>
      <w:proofErr w:type="spellStart"/>
      <w:r>
        <w:rPr>
          <w:rFonts w:cs="Arial"/>
          <w:rtl/>
        </w:rPr>
        <w:t>התשס"ו</w:t>
      </w:r>
      <w:proofErr w:type="spellEnd"/>
      <w:r>
        <w:rPr>
          <w:rFonts w:cs="Arial"/>
          <w:rtl/>
        </w:rPr>
        <w:t xml:space="preserve"> (24.4.2006) בשם המבקשת: עו"ד אורלי מור אל בשם המשיב</w:t>
      </w:r>
      <w:r>
        <w:t xml:space="preserve">: </w:t>
      </w:r>
    </w:p>
    <w:p w:rsidR="003E261D" w:rsidRDefault="003E261D" w:rsidP="003E261D">
      <w:pPr>
        <w:bidi/>
      </w:pPr>
      <w:r>
        <w:rPr>
          <w:rFonts w:cs="Arial"/>
          <w:rtl/>
        </w:rPr>
        <w:t>עו"ד שלומי בר פסק דין השופטת מ\' נאור: בקשת רשות ערעור על פסק-דינו של בית המשפט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המחוזי (ירושלים) ב-ע"פ 7629/03 שניתן על ידי כבוד השופטת אורית אפעל-גבאי. ביום</w:t>
      </w:r>
      <w:r>
        <w:t xml:space="preserve"> </w:t>
      </w:r>
    </w:p>
    <w:p w:rsidR="003E261D" w:rsidRDefault="003E261D" w:rsidP="003E261D">
      <w:pPr>
        <w:bidi/>
      </w:pPr>
      <w:proofErr w:type="gramStart"/>
      <w:r>
        <w:t xml:space="preserve">24.4.2006 </w:t>
      </w:r>
      <w:r w:rsidR="004E3B5F">
        <w:rPr>
          <w:rFonts w:hint="cs"/>
          <w:rtl/>
        </w:rPr>
        <w:t xml:space="preserve"> </w:t>
      </w:r>
      <w:r>
        <w:rPr>
          <w:rFonts w:cs="Arial"/>
          <w:rtl/>
        </w:rPr>
        <w:t>החלטנו</w:t>
      </w:r>
      <w:proofErr w:type="gramEnd"/>
      <w:r>
        <w:rPr>
          <w:rFonts w:cs="Arial"/>
          <w:rtl/>
        </w:rPr>
        <w:t xml:space="preserve"> </w:t>
      </w:r>
      <w:proofErr w:type="spellStart"/>
      <w:r w:rsidRPr="00C05E2B">
        <w:rPr>
          <w:rFonts w:cs="Arial"/>
          <w:highlight w:val="green"/>
          <w:rtl/>
        </w:rPr>
        <w:t>ליתן</w:t>
      </w:r>
      <w:proofErr w:type="spellEnd"/>
      <w:r w:rsidRPr="00C05E2B">
        <w:rPr>
          <w:rFonts w:cs="Arial"/>
          <w:highlight w:val="green"/>
          <w:rtl/>
        </w:rPr>
        <w:t xml:space="preserve"> רשות ערעור</w:t>
      </w:r>
      <w:r>
        <w:rPr>
          <w:rFonts w:cs="Arial"/>
          <w:rtl/>
        </w:rPr>
        <w:t xml:space="preserve"> בשאלה העקרונית והיא האם תקנה 308(ד) לתקנות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התעבורה, תשכ"א-1961 היא עבירה של אחריות קפידה. רשמנו לפנינו את הסכמת המדינה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לפיה גם אם יתקבל הערעור לא תהיינה לכך תוצאות </w:t>
      </w:r>
      <w:proofErr w:type="spellStart"/>
      <w:r>
        <w:rPr>
          <w:rFonts w:cs="Arial"/>
          <w:rtl/>
        </w:rPr>
        <w:t>עונשיות</w:t>
      </w:r>
      <w:proofErr w:type="spellEnd"/>
      <w:r>
        <w:rPr>
          <w:rFonts w:cs="Arial"/>
          <w:rtl/>
        </w:rPr>
        <w:t xml:space="preserve"> לגבי המשיב. השאלה המשפטית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פסיקת בית המשפט לענייני תעבורה ופסיקת בית המשפט המחוזי תקנה 308(ד) לתקנות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התעבורה, תשכ"א-1961 קובעת: "לא ישתמש אדם ברכב שעליו נמסרה הודעת אי שימוש, אלא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לשם נסיעה לתיקונו או למילוי התנאים שפורטו בה וכן כדי להביאו למשרד הרישוי לשם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עריכת בדיקה נוספת." השאלה בגינה ניתנה רשות הערעור היא, כאמור, האם עבירה זו היא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מסוג העבירות של אחריות קפידה. סעיף 22 לחוק העונשין, התשל"ז-1977 (להלן "חוק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העונשין") קובע: 22. אחריות קפידה והיקפה [תיקון: תשנ"ד, תשנ"ה] (א) אדם נושא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באחריות קפידה בשל עבירה, אם נקבע בחיקוק שהעבירה אינה טעונה הוכחת מחשבה פלילית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או רשלנות; ואולם, אין בהוראות סעיף קטן זה כדי לבטל את האחריות בשל עבירות שחוקקו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טרם כניסתו לתוקף של חוק זה ונקבע בדין שאינן טעונות הוכחת מחשבה פלילית או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רשלנות. </w:t>
      </w:r>
      <w:proofErr w:type="spellStart"/>
      <w:r>
        <w:rPr>
          <w:rFonts w:cs="Arial"/>
          <w:rtl/>
        </w:rPr>
        <w:t>לענין</w:t>
      </w:r>
      <w:proofErr w:type="spellEnd"/>
      <w:r>
        <w:rPr>
          <w:rFonts w:cs="Arial"/>
          <w:rtl/>
        </w:rPr>
        <w:t xml:space="preserve"> סעיף קטן זה, "בדין" - לרבות בהלכה פסוקה. (ב) לא יישא אדם באחריות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לפי סעיף זה אם נהג ללא מחשבה פלילית וללא רשלנות ועשה כל שניתן למנוע את העבירה</w:t>
      </w:r>
      <w:r>
        <w:t xml:space="preserve">;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הטוען טענה כאמור – עליו הראיה. (ג) </w:t>
      </w:r>
      <w:proofErr w:type="spellStart"/>
      <w:r>
        <w:rPr>
          <w:rFonts w:cs="Arial"/>
          <w:rtl/>
        </w:rPr>
        <w:t>לענין</w:t>
      </w:r>
      <w:proofErr w:type="spellEnd"/>
      <w:r>
        <w:rPr>
          <w:rFonts w:cs="Arial"/>
          <w:rtl/>
        </w:rPr>
        <w:t xml:space="preserve"> אחריות לפי סעיף זה, לא יידון אדם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למאסר, אלא אם כן הוכחה מחשבה פלילית או רשלנות." משמעות הסעיף היא כי לאחר חקיקת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הסעיף, על מנת לקבוע שעבירה הינה עבירה של אחריות קפידה, על המחוקק לציין זאת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בחיקוק עצמו. עם זאת, על מנת שלא לבטל את האחריות בשל עבירות שחוקקו בטרם נכנס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לתוקף התיקון במסגרתו חוקק הסעיף (חוק העונשין (תיקון 39)(חלק מקדמי וחלק כללי</w:t>
      </w:r>
      <w:r>
        <w:t xml:space="preserve">), </w:t>
      </w:r>
    </w:p>
    <w:p w:rsidR="003E261D" w:rsidRPr="00C05E2B" w:rsidRDefault="003E261D" w:rsidP="003E261D">
      <w:pPr>
        <w:bidi/>
        <w:rPr>
          <w:highlight w:val="green"/>
        </w:rPr>
      </w:pPr>
      <w:r>
        <w:rPr>
          <w:rFonts w:cs="Arial"/>
          <w:rtl/>
        </w:rPr>
        <w:t xml:space="preserve">התשנ"ד-1994; להלן: תיקון 39) - </w:t>
      </w:r>
      <w:r w:rsidRPr="00C05E2B">
        <w:rPr>
          <w:rFonts w:cs="Arial"/>
          <w:highlight w:val="green"/>
          <w:rtl/>
        </w:rPr>
        <w:t>תשארנה העבירות אשר לגביהן נקבע בדין שאינן טעונות</w:t>
      </w:r>
      <w:r w:rsidRPr="00C05E2B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C05E2B">
        <w:rPr>
          <w:rFonts w:cs="Arial"/>
          <w:highlight w:val="green"/>
          <w:rtl/>
        </w:rPr>
        <w:t>הוכחת מחשבה פלילית או רשלנות - עבירות של אחריות קפידה.</w:t>
      </w:r>
      <w:r>
        <w:rPr>
          <w:rFonts w:cs="Arial"/>
          <w:rtl/>
        </w:rPr>
        <w:t xml:space="preserve"> הסעיף מגדיר במפורש בהקשר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זה כי "דין" כולל את ההלכה הפסוקה. בבית המשפט לענייני תעבורה הכריע כבוד השופט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ד"ר א\' </w:t>
      </w:r>
      <w:proofErr w:type="spellStart"/>
      <w:r>
        <w:rPr>
          <w:rFonts w:cs="Arial"/>
          <w:rtl/>
        </w:rPr>
        <w:t>טננבוים</w:t>
      </w:r>
      <w:proofErr w:type="spellEnd"/>
      <w:r>
        <w:rPr>
          <w:rFonts w:cs="Arial"/>
          <w:rtl/>
        </w:rPr>
        <w:t xml:space="preserve"> שלמרות שאין ביכולתו להראות מקום בו נפסק כי אין על התביעה חובה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להוכיח את היסוד הנפשי בעבירה לפי סעיף 308(ד) - הרי שהעבירה, בכל זאת, הינה עבירה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של אחריות קפידה. לשיטתו, "אין לדרוש קביעה חד-משמעית של הלכה פסוקה בכל סעיף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וסעיף" (פסקה 17 לפסק דינו) אלא ניתן להיעזר בהנחה כי חלק גדול מעבירות התעבורה הן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עבירות של אחריות קפידה. בית המשפט הטעים כי ישנן מאות רבות של תקנות תעבורה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מתוכן רבות אשר טרם נפסק בעניין היסוד הנפשי הנדרש להוכחתן, ואין זה סביר כי למרות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שלשם הגשמת תכליתם של דיני התעבורה צריכות עבירות אלה להיות עבירות של אחריות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קפידה - יתפרש מדברי המחוקק כאילו אין הן יכולות להיות כאלה שכן ידי בית המשפט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נקשרו במועד חקיקת תיקון 39. בבית המשפט המחוזי נהפכו היוצרות. מחד גיסא, סבר בית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המשפט המחוזי כי ישנה לבית המשפט </w:t>
      </w:r>
      <w:proofErr w:type="spellStart"/>
      <w:r>
        <w:rPr>
          <w:rFonts w:cs="Arial"/>
          <w:rtl/>
        </w:rPr>
        <w:t>דהיום</w:t>
      </w:r>
      <w:proofErr w:type="spellEnd"/>
      <w:r>
        <w:rPr>
          <w:rFonts w:cs="Arial"/>
          <w:rtl/>
        </w:rPr>
        <w:t xml:space="preserve"> סמכות לקבוע, לגבי אותן עבירות שחוקקו קודם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לתיקון 39 - מהו היסוד הנפשי הדרוש להתגבשותן. בית המשפט גזר מסקנה זו מן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ההיסטוריה החקיקתית של תיקון 39. בלשונו: "מעשית לא ניתן היה בעת קבלתו של תיקון</w:t>
      </w:r>
      <w:r>
        <w:t xml:space="preserve"> </w:t>
      </w:r>
    </w:p>
    <w:p w:rsidR="003E261D" w:rsidRDefault="003E261D" w:rsidP="003E261D">
      <w:pPr>
        <w:bidi/>
      </w:pPr>
      <w:r>
        <w:t xml:space="preserve">39 </w:t>
      </w:r>
      <w:r>
        <w:rPr>
          <w:rFonts w:cs="Arial"/>
          <w:rtl/>
        </w:rPr>
        <w:t>לחוק העונשין לאתר את כל דברי החקיקה הקיימים (בעיקר תקנות) ולקבוע לגביהם, אם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העבירות הקבועות בהם הן עבירות של אחריות קפידה, אם לאו. נזכיר כי רק בתחום עבירות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התעבורה המדובר במאות עבירות. לפיכך, יש מקום לפרש את סעיף 22(א) לחוק העונשין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כקובע, כי לגבי דברי החקיקה שהיו קיימים בעת קבלת התיקון לחוק העונשין, ימשיכו בתי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המשפט לקבוע באמצעות ההלכה הפסוקה את סיווגן של העבירות הקבועות בהם." לעומת זאת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לא קיבל בית המשפט המחוזי את הטענה לפיה יש להשקיף על דיני התעבורה בכללם כאילו הם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משמיעים אחריות קפידה ביחס לכל אחת מן התקנות הקבועות בהם. להיפך, בית המשפט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המחוזי ניתח את העבירה הקבועה בסעי</w:t>
      </w:r>
      <w:r w:rsidR="00C05E2B">
        <w:rPr>
          <w:rFonts w:cs="Arial"/>
          <w:rtl/>
        </w:rPr>
        <w:t>ף 308(ד) לפי המבחנים הקבועים בפ</w:t>
      </w:r>
      <w:r>
        <w:rPr>
          <w:rFonts w:cs="Arial"/>
          <w:rtl/>
        </w:rPr>
        <w:t>ס</w:t>
      </w:r>
      <w:r w:rsidR="00C05E2B">
        <w:rPr>
          <w:rFonts w:cs="Arial" w:hint="cs"/>
          <w:rtl/>
        </w:rPr>
        <w:t>י</w:t>
      </w:r>
      <w:r>
        <w:rPr>
          <w:rFonts w:cs="Arial"/>
          <w:rtl/>
        </w:rPr>
        <w:t>קה לזיהוין של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עבירות של אחריות קפידה - והגיע למסקנה שהעבירה שבתקנה 308(ד) אינה כזו, אלא עבירה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של מחשבה פלילית היא. על ניתוחו אעמוד בהמשך הדברים. דיון 1. סעיף 19 לחוק העונשין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קובע את דרישת המחשבה הפלילית: אדם מבצע עבירה רק אם </w:t>
      </w:r>
      <w:proofErr w:type="spellStart"/>
      <w:r>
        <w:rPr>
          <w:rFonts w:cs="Arial"/>
          <w:rtl/>
        </w:rPr>
        <w:t>עשאה</w:t>
      </w:r>
      <w:proofErr w:type="spellEnd"/>
      <w:r>
        <w:rPr>
          <w:rFonts w:cs="Arial"/>
          <w:rtl/>
        </w:rPr>
        <w:t xml:space="preserve"> במחשבה פלילית, זולת אם</w:t>
      </w:r>
      <w:r>
        <w:t xml:space="preserve"> </w:t>
      </w:r>
    </w:p>
    <w:p w:rsidR="003E261D" w:rsidRDefault="003E261D" w:rsidP="003E261D">
      <w:pPr>
        <w:bidi/>
      </w:pPr>
      <w:r>
        <w:t xml:space="preserve">- (1) </w:t>
      </w:r>
      <w:r>
        <w:rPr>
          <w:rFonts w:cs="Arial"/>
          <w:rtl/>
        </w:rPr>
        <w:t>נקבע בהגדרת העבירה כי רשלנות היא היסוד הנפשי הדרוש לשם התהוותה; או</w:t>
      </w:r>
      <w:r>
        <w:t xml:space="preserve"> (2) </w:t>
      </w:r>
    </w:p>
    <w:p w:rsidR="003E261D" w:rsidRDefault="003E261D" w:rsidP="003E261D">
      <w:pPr>
        <w:bidi/>
      </w:pPr>
      <w:r>
        <w:rPr>
          <w:rFonts w:cs="Arial"/>
          <w:rtl/>
        </w:rPr>
        <w:t>העבירה היא מסוג העבירות של אחריות קפידה. 2. מן הסעיף עולה כי ישנן בשיטתנו שתי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צורות של יסוד נפשי על פיהן ניתן להרשיע בפלילים: המחשבה הפלילית והרשלנות. צורה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שלישית היא עבירות של אחריות קפידה בהן לא נדרשת הוכחת יסוד נפשי. בהתקיים היסוד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העובדתי של עבירות אלה קמה חזקה כי נתקיים גם היסוד הנפשי. הנאשם יכול להסיר מעליו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את האחריות הפלילית אם יסתור את היסוד הנפשי המיוחס לו, היינו - יראה כי פעל ללא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מחשבה פלילית וללא רשלנות. בנוסף לכך על הנאשם להראות, כאמור בסעיף 22(ב), כי עשה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את כל שניתן כדי למנוע את העבירה. יסוד נפשי של רשלנות מספיק לשם התהוותה של עבירה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רק כאשר הדבר נקבע בהגדרת העבירה. בעבירה שלפנינו, עבירה לפי סעיף 308(ד), לא נקבע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כי זהו היסוד הנפשי הדרוש. נותרת אם-כן השאלה האם העבירה היא מסוג העבירות של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אחריות קפידה, שאם לא כן – היסוד הנפשי הנדרש להוכחתה יהיה מחשבה פלילית. 3. השאלה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מתי יש לסווג עבירות שחוקקו לפני תיקון 39 לחוק העונשין כעבירות של אחריות קפידה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התעוררה בבית משפט זה במספר פרשות, אם כי לא הוכרעה. ב-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26/97 לקס נ\' מדינת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ישראל פ"ד נב(2) 673 (1998) נחלקו הדעות לגבי סיווגן של העבירות שנדונו שם, האם הן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עבירות של אחריות קפידה וכפועל יוצא מכך האם ניתן היה להטיל על המערערים שם עונשי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מאסר בפועל. השופט קדמי קבע כי העבירה לפי סעיף 219 לפקודת מס הכנסה אינה עבירה של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אחריות קפידה כיוון שבאי כוח המערערים לא הראו כי "נקבע בדין" – לרבות בהלכה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הפסוקה - שעבירה זו, שנחקקה לפני תיקון 39, הינה עבירה של אחריות קפידה (שם 683)</w:t>
      </w:r>
      <w:r>
        <w:t xml:space="preserve">. </w:t>
      </w:r>
    </w:p>
    <w:p w:rsidR="003E261D" w:rsidRDefault="003E261D" w:rsidP="003E261D">
      <w:pPr>
        <w:bidi/>
      </w:pPr>
      <w:r>
        <w:rPr>
          <w:rFonts w:cs="Arial"/>
          <w:rtl/>
        </w:rPr>
        <w:t>גם לעניין העבירה לפי סעיף 117(א)(6) לחוק המע"מ קבע השופט קדמי כי מלשון הסעיף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ניתן ללמוד שאין מדובר בעבירה של אחריות קפידה. על פי גישתו תיקון 39 "הקפיא" מצב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קיים: אם לא נפסקה הלכה לגבי אותה עבירה עצמה, אין המדובר בעבירה של אחריות קפידה</w:t>
      </w:r>
      <w:r>
        <w:t xml:space="preserve">. </w:t>
      </w:r>
    </w:p>
    <w:p w:rsidR="003E261D" w:rsidRDefault="003E261D" w:rsidP="003E261D">
      <w:pPr>
        <w:bidi/>
      </w:pPr>
      <w:r>
        <w:rPr>
          <w:rFonts w:cs="Arial"/>
          <w:rtl/>
        </w:rPr>
        <w:t>חברתי השופטת ביניש הביעה ספק אם שאלת סיווגן של העבירות אכן היה דרוש לצורך הכרעה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בשאלה אם ניתן להטיל על המערערים עונש מאסר, וזאת כיוון שהתביעה הוכיחה את היסוד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הנפשי הנדרש. בבחינת למעלה מן הצורך, לשיטתה, ונוכח המבוכה הקיימת בערכאות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הדיוניות הביעה חברתי את עמדתה. במאמר מוסגר אומר כי המקרה הנוכחי ואחרים מוכיחים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לטעמי, כי אותה מבוכה – עודנה קיימת. כך הסבירה חברתי: "בחקיקה חדשה שתחוקק לאחר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כניסתו לתוקף של תיקון 39 לחוק העונשין, יתייתר החיפוש אחר סימני ההיכר המאפיינים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עבירות של \'אחריות קפידה\', ואנו נעבור לעידן החקיקה הברורה והמפורשת כמצוות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הוראת סעיף 22(א) לחוק העונשין. אולם, בכל הנוגע לעבירות שקדמו לתיקון חוק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העונשין, חיים אנו לפי הדין שנהג עד לאותו מועד, ובהיעדר הוראות סטטוטוריות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מפורשות נקבע סיווגן של העבירות על יסוד פרשנות החוק ועל-פי ההלכה הפסוקה." (שם</w:t>
      </w:r>
      <w:r>
        <w:t xml:space="preserve"> </w:t>
      </w:r>
    </w:p>
    <w:p w:rsidR="003E261D" w:rsidRDefault="003E261D" w:rsidP="003E261D">
      <w:pPr>
        <w:bidi/>
      </w:pPr>
      <w:r>
        <w:t xml:space="preserve">693). </w:t>
      </w:r>
      <w:r>
        <w:rPr>
          <w:rFonts w:cs="Arial"/>
          <w:rtl/>
        </w:rPr>
        <w:t>בעבר, כך הסבירה, נהגנו לסווג את עבירות האחריות הקפידה לפי מאפיינים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וסימנים ובהם תכלית החקיקה במסגרתה נקבעו העבירות והתחומים שהחקיקה נועדה להסדיר</w:t>
      </w:r>
      <w:r>
        <w:t xml:space="preserve">. </w:t>
      </w:r>
    </w:p>
    <w:p w:rsidR="003E261D" w:rsidRDefault="003E261D" w:rsidP="003E261D">
      <w:pPr>
        <w:bidi/>
      </w:pPr>
      <w:r>
        <w:rPr>
          <w:rFonts w:cs="Arial"/>
          <w:rtl/>
        </w:rPr>
        <w:t>לצורך סיווגן של עבירות שנחקקו לפני תיקון 39 אין לנו אלא לשוב ולבחון סימנים אלה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וכן לברר אם סווגו כבר על ידי הפסיקה כעבירות אחריות קפידה. מדובר בעבירות שלא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מוזכר בהן היסוד הנפשי, והעונשים הקבועים להן - קלים יחסית. עוד הוסיפה חברתי</w:t>
      </w:r>
      <w:r>
        <w:t xml:space="preserve">: </w:t>
      </w:r>
    </w:p>
    <w:p w:rsidR="003E261D" w:rsidRDefault="003E261D" w:rsidP="003E261D">
      <w:pPr>
        <w:bidi/>
      </w:pPr>
      <w:r>
        <w:t>"</w:t>
      </w:r>
      <w:r>
        <w:rPr>
          <w:rFonts w:cs="Arial"/>
          <w:rtl/>
        </w:rPr>
        <w:t>האחריות הקפידה הונהגה על-ידי המחוקק בעבירות מיוחדות שנועדו להסדיר תחומים</w:t>
      </w:r>
      <w:r>
        <w:t xml:space="preserve"> </w:t>
      </w:r>
    </w:p>
    <w:p w:rsidR="003E261D" w:rsidRDefault="00C05E2B" w:rsidP="003E261D">
      <w:pPr>
        <w:bidi/>
      </w:pPr>
      <w:r>
        <w:rPr>
          <w:rFonts w:cs="Arial"/>
          <w:rtl/>
        </w:rPr>
        <w:t>מסוי</w:t>
      </w:r>
      <w:r w:rsidR="003E261D">
        <w:rPr>
          <w:rFonts w:cs="Arial"/>
          <w:rtl/>
        </w:rPr>
        <w:t>מים בחיי החברה. המדובר בתחומים המחייבים הסדרים כלכליים וחברתיים אחידים</w:t>
      </w:r>
      <w:r w:rsidR="003E261D"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ובני-אכיפה, שיש בהם כדי לקבוע סטנדרט התנהגות מותאם לצורכי החברה בת זמננו. כדי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להבטיח אכיפה פשוטה ויעילה של אותם כללי התנהגות וכדי להעמיק את האכיפה באותם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תחומים, נקבעו עבירות שדרכי הוכחתן פשוטות, ומטעם זה פטר המחוקק את התביעה מהוכחת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היסוד הנפשי של העבירה." (שם שם) לעניין העבירה לפי סעיף 219 לפקודת מס הכנסה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והעבירה לפי סעיף 117(א) לחוק מס ערך מוסף הגיעה השופטת ביניש לכלל מסקנה כי על אף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שיש לעבירות אלה מאפיינים המצביעים לכאורה על היות העבירה עבירה של אחריות קפידה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אין מקום, בסופו של דבר, לסווגן ככאלה. טעם הדבר הוא שעבירות אלה טרם סווגו בעבר</w:t>
      </w:r>
      <w:r>
        <w:t xml:space="preserve">: </w:t>
      </w:r>
    </w:p>
    <w:p w:rsidR="003E261D" w:rsidRDefault="003E261D" w:rsidP="003E261D">
      <w:pPr>
        <w:bidi/>
      </w:pPr>
      <w:r>
        <w:t>"</w:t>
      </w:r>
      <w:r>
        <w:rPr>
          <w:rFonts w:cs="Arial"/>
          <w:rtl/>
        </w:rPr>
        <w:t>המגמה הבאה לידי ביטוי בתיקון 39 לחוק העונשין מחייבת אותנו לצמצם את סיווג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העבירות של אחריות קפידה ככל הניתן, ולהותירו רק לעבירות שכבר סווגו ככאלה על פי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הדין, לרבות ההלכה הפסוקה." (שם 695) מכאן שעל התביעה להוכיח בעבירות האמורות את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היסוד הנפשי הנדרש. לעומת זאת לעניין עבירות של "נושאי משרה", הן העבירות לפי סעיף</w:t>
      </w:r>
      <w:r>
        <w:t xml:space="preserve"> </w:t>
      </w:r>
    </w:p>
    <w:p w:rsidR="003E261D" w:rsidRDefault="003E261D" w:rsidP="003E261D">
      <w:pPr>
        <w:bidi/>
      </w:pPr>
      <w:r>
        <w:t>224</w:t>
      </w:r>
      <w:r>
        <w:rPr>
          <w:rFonts w:cs="Arial"/>
          <w:rtl/>
        </w:rPr>
        <w:t>א לפקודת מס הכנסה וסעיף 119 לחוק מס ערך מוסף הגיעה חברתי לכלל מסקנה כי אלו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הן עבירות של אחריות קפידה הן משום שנתמלאו בהן כל המאפיינים הנדרשים, והן בשל כך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שעבירות אלה כבר סווגו בעבר כעבירות של אחריות קפידה. אציין כי השופט קדמי סבר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שסעיפי חוק אלו כלל אינם קובעים עבירות עצמאיות אלא רק מרחיבים את האחריות הפלילית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בגין עבירות אחרות, ולפיכך לא נדרש לשאלת סיווגן. ודוק: בסקירת הפסיקה התייחסה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השופטת ביניש (שם 698-700) לסעיפים דומים בהם נדונה שאלת אחריות נושאי משרה, תוך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שהיא מדגישה כי העבירות המסוימות לא נדונו עד כה בפסיקת בית משפט זה. וכך סיכמה</w:t>
      </w:r>
      <w:r>
        <w:t xml:space="preserve">: </w:t>
      </w:r>
    </w:p>
    <w:p w:rsidR="003E261D" w:rsidRDefault="003E261D" w:rsidP="003E261D">
      <w:pPr>
        <w:bidi/>
      </w:pPr>
      <w:r>
        <w:t>"</w:t>
      </w:r>
      <w:r>
        <w:rPr>
          <w:rFonts w:cs="Arial"/>
          <w:rtl/>
        </w:rPr>
        <w:t>הנה-כי-כן, המסע בנבכי העבירות הנדונות לפנינו הביאני למסקנה, כי לצורך הסיווג יש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להבחין בין עבירות האחריות האישית-הישירה לבין העבירות של נושאי משרה בתאגיד, שרק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אלה האחרונות הן עבירות של אחריות קפידה. מגמתו של התיקון לחוק העונשין לצמצם את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העבירות של אחריות קפידה, רק לאותן עבירות שכבר נקבע כי זה טיבן, מתיישבת עם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הרתיעה מפני הטלת אחריות פלילית ללא הוכחת יסוד נפשי. אולם, יש להביא בחשבון כי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החוק לא שינה את סיווגן של העבירות שהוכרו בעבר כעבירות של אחריות קפידה, ולשיטתי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עבירות נושאי המשרה הן בכלל אלה." (שם 700) השופטת </w:t>
      </w:r>
      <w:proofErr w:type="spellStart"/>
      <w:r>
        <w:rPr>
          <w:rFonts w:cs="Arial"/>
          <w:rtl/>
        </w:rPr>
        <w:t>שטרסברג</w:t>
      </w:r>
      <w:proofErr w:type="spellEnd"/>
      <w:r>
        <w:rPr>
          <w:rFonts w:cs="Arial"/>
          <w:rtl/>
        </w:rPr>
        <w:t xml:space="preserve"> כהן ציינה כי נוטה היא</w:t>
      </w:r>
      <w:r>
        <w:t xml:space="preserve"> </w:t>
      </w:r>
    </w:p>
    <w:p w:rsidR="003E261D" w:rsidRPr="00270DEF" w:rsidRDefault="003E261D" w:rsidP="003E261D">
      <w:pPr>
        <w:bidi/>
        <w:rPr>
          <w:highlight w:val="green"/>
        </w:rPr>
      </w:pPr>
      <w:r>
        <w:rPr>
          <w:rFonts w:cs="Arial"/>
          <w:rtl/>
        </w:rPr>
        <w:t xml:space="preserve">להצטרף לדעתה של השופטת ביניש, אך אין הכרח להכריע בדבר כיוון </w:t>
      </w:r>
      <w:r w:rsidRPr="00270DEF">
        <w:rPr>
          <w:rFonts w:cs="Arial"/>
          <w:highlight w:val="green"/>
          <w:rtl/>
        </w:rPr>
        <w:t>שדין הערעור להידחות</w:t>
      </w:r>
      <w:r w:rsidRPr="00270DEF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270DEF">
        <w:rPr>
          <w:rFonts w:cs="Arial"/>
          <w:highlight w:val="green"/>
          <w:rtl/>
        </w:rPr>
        <w:t>מכל מהטעמים עליהם עמדה שם.</w:t>
      </w:r>
      <w:r>
        <w:rPr>
          <w:rFonts w:cs="Arial"/>
          <w:rtl/>
        </w:rPr>
        <w:t xml:space="preserve"> הנה כי כן - מפסק הדין בפרשת לקס קשה לחלץ הלכה מחייבת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בשאלת סיווגן של עבירות שחוקקו לפני תיקון 39 לחוק העונשין כעבירות של אחריות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קפידה. 4. בפרשה מאוחרת יותר נקרתה לפני הנשיא ברק שאלה דומה (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1875/98 אורן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בנגב מתכות נ\' מדינת ישראל, פ"ד נד(4) 529</w:t>
      </w:r>
      <w:r>
        <w:t xml:space="preserve"> (2000)). </w:t>
      </w:r>
      <w:r>
        <w:rPr>
          <w:rFonts w:cs="Arial"/>
          <w:rtl/>
        </w:rPr>
        <w:t>בפרשה זו התייחס הנשיא ברק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לפרשת לקס והביע </w:t>
      </w:r>
      <w:proofErr w:type="spellStart"/>
      <w:r>
        <w:rPr>
          <w:rFonts w:cs="Arial"/>
          <w:rtl/>
        </w:rPr>
        <w:t>באימרת</w:t>
      </w:r>
      <w:proofErr w:type="spellEnd"/>
      <w:r>
        <w:rPr>
          <w:rFonts w:cs="Arial"/>
          <w:rtl/>
        </w:rPr>
        <w:t xml:space="preserve"> אגב את דעתו החולקת. לפי עמדת הנשיא גם היום ישנה לבית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המשפט סמכות לפתח את ההלכה ולפסוק כי עבירה מסוימת, אשר חוקקה לפני תיקון 39 ואשר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לא נקבע עובר לתיקון 39 מהו היסוד הנפשי הדרוש לה, היא עבירה של אחריות קפידה. וכך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אמר: "...נקבע בפרשת לקס, כי כיום לא ניתן עוד לסווג כעבירות של אחריות קפידה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עבירות שלא סווגו כך לפני חקיקתו של סעיף 22 לחוק העונשין [...] נקבע על ידי השופט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קדמי כי הוראת סעיף 22 לחוק העונשין - שלפיה האחריות בשל עבירות שנחקקו טרם כניסתו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לתוקף של תיקון מס\' 39 ושנקבע בהלכה הפסוקה כי הן אינן טעונות הוכחת מחשבה פלילית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או רשלנות ממשיכה להיות אחריות קפידה - מתייחסת להלכה פסוקה שקדמה לכניסתו של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תיקון מס\' 39, ולא להלכה פסוקה שנקבעה לאחריה. כשלעצמי, ספק בעיניי אם פירוש זה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נכון הוא. לכאורה אין להבחין בין "הלכה פסוקה" לפני תיקון מס\' 39 או לאחריו. אך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ניתן להשאיר עניין זה </w:t>
      </w:r>
      <w:proofErr w:type="spellStart"/>
      <w:r>
        <w:rPr>
          <w:rFonts w:cs="Arial"/>
          <w:rtl/>
        </w:rPr>
        <w:t>בצריך</w:t>
      </w:r>
      <w:proofErr w:type="spellEnd"/>
      <w:r>
        <w:rPr>
          <w:rFonts w:cs="Arial"/>
          <w:rtl/>
        </w:rPr>
        <w:t xml:space="preserve"> עיון..." (שם 536) 5. לסיכום ביניים, דומה שבדברי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השופטים שנזכרו לעיל ניתן להצביע על שלוש גישות: גישה מצמצמת, גישת ביניים וגישה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מרחיבה. עם זאת, אין לראות, כפי שתואר, באף אחת מן הגישות הלכה מחייבת. הגישה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המצמצמת היא גישתו של השופט קדמי ולפיה יש להראות כי נפסקה הלכה בעבר לגבי עבירה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קונקרטית; הגישה המרחיבה היא גישתו של הנשיא ברק ולפיה ניתן להמשיך לפתח בהלכה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הפסוקה את רשימת העבירות של אחריות קפידה, והכל לגבי עבירות שקדמו לתיקון 39. גישת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הביניים היא גישתה של חברתי השופטת ביניש בפרשת לקס. לפי גישה זו אין אמנם מקום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לפתח סוגים חדשים של עבירות אחריות קפידה. מאידך גיסא – אין הכרח להראות שנפסקה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בעבר הלכה לגבי אותה עבירה עצמה. די בכך שהפסיקה הכירה בסוג עבירות דומה כדי להחיל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את קביעתה על עבירה ספציפית שחוקקה לפני תיקון 39 וטרם הוחלט בעניין סיווגה. בפרשת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לקס סוג העבירות היה עבירות של נושאי משרה. העבירות לגביהן נפסקה ההלכה נמצאו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בחוקים אחרים, הכל כפי שפורט על ידי חברתי השופטת ביניש, אך היה להן מכנה משותף</w:t>
      </w:r>
      <w:r>
        <w:t xml:space="preserve">. </w:t>
      </w:r>
    </w:p>
    <w:p w:rsidR="003E261D" w:rsidRDefault="003E261D" w:rsidP="003E261D">
      <w:pPr>
        <w:bidi/>
      </w:pPr>
      <w:r>
        <w:rPr>
          <w:rFonts w:cs="Arial"/>
          <w:rtl/>
        </w:rPr>
        <w:t>דומה שגישה דומה לעניין עבירות תעבורה ניתן למצוא בדברי השופט לוי (בדן יחיד)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ב-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4010/04 בן </w:t>
      </w:r>
      <w:proofErr w:type="spellStart"/>
      <w:r>
        <w:rPr>
          <w:rFonts w:cs="Arial"/>
          <w:rtl/>
        </w:rPr>
        <w:t>תאבת</w:t>
      </w:r>
      <w:proofErr w:type="spellEnd"/>
      <w:r>
        <w:rPr>
          <w:rFonts w:cs="Arial"/>
          <w:rtl/>
        </w:rPr>
        <w:t xml:space="preserve"> נ\' מדינת ישראל (מיום 6.5.2004). בעניין זה ציין השופט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לוי, </w:t>
      </w:r>
      <w:r w:rsidRPr="00270DEF">
        <w:rPr>
          <w:rFonts w:cs="Arial"/>
          <w:highlight w:val="green"/>
          <w:rtl/>
        </w:rPr>
        <w:t>שדחה בקשת רשות ערעור</w:t>
      </w:r>
      <w:r>
        <w:rPr>
          <w:rFonts w:cs="Arial"/>
          <w:rtl/>
        </w:rPr>
        <w:t>: "הלכה היא שהעבירות על פי תקנות התעבורה הן עבירות של</w:t>
      </w:r>
      <w:r>
        <w:t xml:space="preserve"> </w:t>
      </w:r>
    </w:p>
    <w:p w:rsidR="003E261D" w:rsidRDefault="003E261D" w:rsidP="003E261D">
      <w:pPr>
        <w:bidi/>
      </w:pPr>
      <w:r>
        <w:t>\'</w:t>
      </w:r>
      <w:r>
        <w:rPr>
          <w:rFonts w:cs="Arial"/>
          <w:rtl/>
        </w:rPr>
        <w:t>אחריות קפידה\', שאינן דורשות הוכחה של יסוד נפשי של המבצע, ובלשונו של הנשיא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מ\' שמגר </w:t>
      </w:r>
      <w:proofErr w:type="spellStart"/>
      <w:r>
        <w:rPr>
          <w:rFonts w:cs="Arial"/>
          <w:rtl/>
        </w:rPr>
        <w:t>בר"ע</w:t>
      </w:r>
      <w:proofErr w:type="spellEnd"/>
      <w:r>
        <w:rPr>
          <w:rFonts w:cs="Arial"/>
          <w:rtl/>
        </w:rPr>
        <w:t xml:space="preserve"> 213/89 יצחק אסולין נ\' מדינת ישראל, פ"ד לח(1), 519: \'עבירות על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הוראות הקבועות בתקנות התעבורה, כדוגמת תקנה 54(א)(1), הן עבירות של \'איסור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מוחלט\'. בעבירות מסוג זה מסתפק בית המשפט בהוכחת היסודות העובדתיים של העבירה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ובקיומה של רצייה </w:t>
      </w:r>
      <w:proofErr w:type="spellStart"/>
      <w:r>
        <w:rPr>
          <w:rFonts w:cs="Arial"/>
          <w:rtl/>
        </w:rPr>
        <w:t>מצידו</w:t>
      </w:r>
      <w:proofErr w:type="spellEnd"/>
      <w:r>
        <w:rPr>
          <w:rFonts w:cs="Arial"/>
          <w:rtl/>
        </w:rPr>
        <w:t xml:space="preserve"> של הנאשם ואינו יורד לחקר מצבו הנפשי של הנאשם בעת ביצוע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העבירה ... אין זו שאלה של מדיניות עונשין, שכן מוסכם כיום, שיש להקפיד על ענישה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הולמת על עבירות תעבורה, שהן כנגע שפשה במדינה, אלא זוהי תולדה של מושכלות יסוד של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דיני העונשין\'. עם תיקון 39 לחוק העונשין החליפה ה\'אחריות הקפידה\' את ה\'אחריות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המוחלטת\', והיא מעוגנת כיום בסעיף 22 לחוק העונשין, התשל"ז-1977. לפיכך, משהוכיחה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התביעה כי המבקש ביצע את יסודותיה העובדתיים של העבירה לפי תקנה 64(א)(2) לתקנות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התעבורה, כאשר נכנס לצומת בזמן שהרכב המסחרי התקרב אליו, עבר הנטל למבקש להוכיח כי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נהג ללא רשלנות, וכי \'עשה כל שניתן למנוע את העבירה\' (בלשון סעיף 22(ב) לחוק</w:t>
      </w:r>
      <w:r>
        <w:t xml:space="preserve"> </w:t>
      </w:r>
    </w:p>
    <w:p w:rsidR="003E261D" w:rsidRPr="00270DEF" w:rsidRDefault="003E261D" w:rsidP="003E261D">
      <w:pPr>
        <w:bidi/>
        <w:rPr>
          <w:highlight w:val="green"/>
        </w:rPr>
      </w:pPr>
      <w:r>
        <w:rPr>
          <w:rFonts w:cs="Arial"/>
          <w:rtl/>
        </w:rPr>
        <w:t xml:space="preserve">העונשין). את הנטל הזה לא הצליח המבקש להרים, </w:t>
      </w:r>
      <w:r w:rsidRPr="00270DEF">
        <w:rPr>
          <w:rFonts w:cs="Arial"/>
          <w:highlight w:val="green"/>
          <w:rtl/>
        </w:rPr>
        <w:t xml:space="preserve">ועל כן דינה של הבקשה </w:t>
      </w:r>
      <w:proofErr w:type="spellStart"/>
      <w:r w:rsidRPr="00270DEF">
        <w:rPr>
          <w:rFonts w:cs="Arial"/>
          <w:highlight w:val="green"/>
          <w:rtl/>
        </w:rPr>
        <w:t>להדחות</w:t>
      </w:r>
      <w:proofErr w:type="spellEnd"/>
      <w:r>
        <w:rPr>
          <w:rFonts w:cs="Arial"/>
          <w:rtl/>
        </w:rPr>
        <w:t xml:space="preserve">, </w:t>
      </w:r>
      <w:r w:rsidRPr="00270DEF">
        <w:rPr>
          <w:rFonts w:cs="Arial"/>
          <w:highlight w:val="green"/>
          <w:rtl/>
        </w:rPr>
        <w:t>וכך</w:t>
      </w:r>
      <w:r w:rsidRPr="00270DEF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270DEF">
        <w:rPr>
          <w:rFonts w:cs="Arial"/>
          <w:highlight w:val="green"/>
          <w:rtl/>
        </w:rPr>
        <w:t>אני עושה</w:t>
      </w:r>
      <w:r>
        <w:rPr>
          <w:rFonts w:cs="Arial"/>
          <w:rtl/>
        </w:rPr>
        <w:t xml:space="preserve">." (ההדגשות הוספו – </w:t>
      </w:r>
      <w:proofErr w:type="spellStart"/>
      <w:r>
        <w:rPr>
          <w:rFonts w:cs="Arial"/>
          <w:rtl/>
        </w:rPr>
        <w:t>מ"נ</w:t>
      </w:r>
      <w:proofErr w:type="spellEnd"/>
      <w:r>
        <w:rPr>
          <w:rFonts w:cs="Arial"/>
          <w:rtl/>
        </w:rPr>
        <w:t>) גם אנוכי נקטתי בגישה דומה לגבי עבירות תעבורה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שלא סווגו בעבר ב-ע"פ 6811/01 אחמד נ\' מדינת ישראל, פ"ד </w:t>
      </w:r>
      <w:proofErr w:type="spellStart"/>
      <w:r>
        <w:rPr>
          <w:rFonts w:cs="Arial"/>
          <w:rtl/>
        </w:rPr>
        <w:t>נז</w:t>
      </w:r>
      <w:proofErr w:type="spellEnd"/>
      <w:r>
        <w:rPr>
          <w:rFonts w:cs="Arial"/>
          <w:rtl/>
        </w:rPr>
        <w:t>(1) 21, 41</w:t>
      </w:r>
      <w:r>
        <w:t xml:space="preserve"> (2002).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אולם דעתי נותרה שם דעת יחיד שכן חברי להרכב, השופטים </w:t>
      </w:r>
      <w:proofErr w:type="spellStart"/>
      <w:r>
        <w:rPr>
          <w:rFonts w:cs="Arial"/>
          <w:rtl/>
        </w:rPr>
        <w:t>טירקל</w:t>
      </w:r>
      <w:proofErr w:type="spellEnd"/>
      <w:r>
        <w:rPr>
          <w:rFonts w:cs="Arial"/>
          <w:rtl/>
        </w:rPr>
        <w:t xml:space="preserve"> ולוי, לא נזקקו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לשיטתם, לשאלת סיווג העבירה. 6. עמדתי היא כי גישת הביניים אותה הביאה חברתי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השופטת ביניש בפרשת לקס היא הגישה הראויה. גישה זו נותנת תוקף לכוונת המחוקק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בתיקון 39, מחד להבטיח שבחקיקה עתידית יצוין מפורשות שמדובר באחריות קפידה, ומאידך</w:t>
      </w:r>
      <w:r>
        <w:t xml:space="preserve"> </w:t>
      </w:r>
    </w:p>
    <w:p w:rsidR="003E261D" w:rsidRDefault="003E261D" w:rsidP="003E261D">
      <w:pPr>
        <w:bidi/>
      </w:pPr>
      <w:r w:rsidRPr="00270DEF">
        <w:rPr>
          <w:highlight w:val="green"/>
        </w:rPr>
        <w:t xml:space="preserve">– </w:t>
      </w:r>
      <w:r w:rsidRPr="00270DEF">
        <w:rPr>
          <w:rFonts w:cs="Arial"/>
          <w:highlight w:val="green"/>
          <w:rtl/>
        </w:rPr>
        <w:t>לא לבטל במחי יד את כל שנפסק בעבר לגבי חקיקה קיימת</w:t>
      </w:r>
      <w:r>
        <w:rPr>
          <w:rFonts w:cs="Arial"/>
          <w:rtl/>
        </w:rPr>
        <w:t xml:space="preserve"> בעניין סיווגן של עבירות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כעבירות אחריות מוחלטת. לעניין עבירות על תקנות התעבורה, שיש להן מכנה משותף רחב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יש הצדקה, לדעתי, לראותן כקבוצה אחת, ואם אין כוונה אחרת – יש לראותן כעבירות של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אחריות קפידה. בכך דומה דרכי לדרכו של בית המשפט המחוזי אך מסקנתי – שונה היא. 7</w:t>
      </w:r>
      <w:r>
        <w:t xml:space="preserve">. </w:t>
      </w:r>
    </w:p>
    <w:p w:rsidR="003E261D" w:rsidRDefault="003E261D" w:rsidP="003E261D">
      <w:pPr>
        <w:bidi/>
      </w:pPr>
      <w:r>
        <w:rPr>
          <w:rFonts w:cs="Arial"/>
          <w:rtl/>
        </w:rPr>
        <w:t>בית המשפט המחוזי סבר, כאמור, כי בעבירה לפי סעיף 308(ד) לא יהיה זה ראוי להחיל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משטר של אחריות קפידה כיוון שהדבר יהיה בבחינת תקנה שהציבור לא יוכל לעמוד בה</w:t>
      </w:r>
      <w:r>
        <w:t xml:space="preserve">. </w:t>
      </w:r>
    </w:p>
    <w:p w:rsidR="003E261D" w:rsidRDefault="003E261D" w:rsidP="003E261D">
      <w:pPr>
        <w:bidi/>
      </w:pPr>
      <w:r>
        <w:rPr>
          <w:rFonts w:cs="Arial"/>
          <w:rtl/>
        </w:rPr>
        <w:t>לשיטת בית המשפט המחוזי, במצב בו הנוהג ברכב קיבל לידיו את הרכב לצורך נהיגה בלא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שבדק את קיומו של </w:t>
      </w:r>
      <w:proofErr w:type="spellStart"/>
      <w:r>
        <w:rPr>
          <w:rFonts w:cs="Arial"/>
          <w:rtl/>
        </w:rPr>
        <w:t>רשיון</w:t>
      </w:r>
      <w:proofErr w:type="spellEnd"/>
      <w:r>
        <w:rPr>
          <w:rFonts w:cs="Arial"/>
          <w:rtl/>
        </w:rPr>
        <w:t xml:space="preserve"> רכב יש להרשיעו רק בעבירה של נהיגה ברכב ללא </w:t>
      </w:r>
      <w:proofErr w:type="spellStart"/>
      <w:r>
        <w:rPr>
          <w:rFonts w:cs="Arial"/>
          <w:rtl/>
        </w:rPr>
        <w:t>רשיון</w:t>
      </w:r>
      <w:proofErr w:type="spellEnd"/>
      <w:r>
        <w:rPr>
          <w:rFonts w:cs="Arial"/>
          <w:rtl/>
        </w:rPr>
        <w:t xml:space="preserve"> רכב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תקף, עבירה שהיא בפני עצמה עבירה של אחריות קפידה. עבירה זו מקימה חובה על הנהג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לוודא כי יש </w:t>
      </w:r>
      <w:proofErr w:type="spellStart"/>
      <w:r>
        <w:rPr>
          <w:rFonts w:cs="Arial"/>
          <w:rtl/>
        </w:rPr>
        <w:t>רשיון</w:t>
      </w:r>
      <w:proofErr w:type="spellEnd"/>
      <w:r>
        <w:rPr>
          <w:rFonts w:cs="Arial"/>
          <w:rtl/>
        </w:rPr>
        <w:t xml:space="preserve"> רכב תקף, אולם לא ראוי, כך לשיטת בית המשפט המחוזי, להכביד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ולדרוש מהנהג לקיים חקירה ולבדוק גם האם נמסרה לבעל הרכב הודעת אי שימוש כאמור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בסעיף 308(ד). לפיכך קבע בית המשפט המחוזי כי לצורך הוכחת יסודות העבירה לפי סעיף</w:t>
      </w:r>
      <w:r>
        <w:t xml:space="preserve"> </w:t>
      </w:r>
    </w:p>
    <w:p w:rsidR="003E261D" w:rsidRDefault="003E261D" w:rsidP="003E261D">
      <w:pPr>
        <w:bidi/>
      </w:pPr>
      <w:r>
        <w:t>308</w:t>
      </w:r>
      <w:r>
        <w:rPr>
          <w:rFonts w:cs="Arial"/>
          <w:rtl/>
        </w:rPr>
        <w:t>(ד) נדרש להוכיח כי הנוהג ברכב ידע שנמסרה לגבי הרכב הודעת אי שימוש או למצער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חשד בכך ונמנע מלברר את העניין. בית המשפט אף סבר כי פרשנות זו מתיישבת עם הכלל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הפרשני המעוגן בסעיף 34כא לחוק העונשין לפיו כאשר ישנן שתי פרשנויות אפשריות לדין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יש לבחור בפרשנות </w:t>
      </w:r>
      <w:proofErr w:type="spellStart"/>
      <w:r>
        <w:rPr>
          <w:rFonts w:cs="Arial"/>
          <w:rtl/>
        </w:rPr>
        <w:t>המקילה</w:t>
      </w:r>
      <w:proofErr w:type="spellEnd"/>
      <w:r>
        <w:rPr>
          <w:rFonts w:cs="Arial"/>
          <w:rtl/>
        </w:rPr>
        <w:t xml:space="preserve"> עם הנאשם. לדידי, </w:t>
      </w:r>
      <w:r w:rsidRPr="003D28CF">
        <w:rPr>
          <w:rFonts w:cs="Arial"/>
          <w:highlight w:val="green"/>
          <w:rtl/>
        </w:rPr>
        <w:t>אין לקבל</w:t>
      </w:r>
      <w:r>
        <w:rPr>
          <w:rFonts w:cs="Arial"/>
          <w:rtl/>
        </w:rPr>
        <w:t xml:space="preserve"> את ההבחנה שביצע בית המשפט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המחוזי לעניין העבירה לפי סעיף 308(ד). העבירה של נהיגה ברכב שניתנה לגביו הודעת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אי שימוש, כמו גם העבירה של נהיגה ללא </w:t>
      </w:r>
      <w:proofErr w:type="spellStart"/>
      <w:r>
        <w:rPr>
          <w:rFonts w:cs="Arial"/>
          <w:rtl/>
        </w:rPr>
        <w:t>רשיון</w:t>
      </w:r>
      <w:proofErr w:type="spellEnd"/>
      <w:r>
        <w:rPr>
          <w:rFonts w:cs="Arial"/>
          <w:rtl/>
        </w:rPr>
        <w:t xml:space="preserve"> נהיגה בתוקף ועבירות רבות נוספות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בדיני התעבורה הן עבירות שתכליתן לקבוע את סטנדרט ההתנהגות של נוהג ברכב, בין אם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הוא הבעלים של הרכב או שהוא הנוהג בו. הודעת אי שימוש ניתנת לרכב לפי סעיף 308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במצבים בהם הרכב עלול לסכן את התנועה או שלא נתמלאו בו תנאים שנקבעו לגביו בדין</w:t>
      </w:r>
      <w:r>
        <w:t xml:space="preserve">. </w:t>
      </w:r>
    </w:p>
    <w:p w:rsidR="003E261D" w:rsidRDefault="003E261D" w:rsidP="003E261D">
      <w:pPr>
        <w:bidi/>
      </w:pPr>
      <w:r>
        <w:rPr>
          <w:rFonts w:cs="Arial"/>
          <w:rtl/>
        </w:rPr>
        <w:t>דעתי היא כי הדרישה שהנוהג ברכב יהיה אחראי לבדוק האם הרכב בו הוא נוהג הוא תקין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שמיש ובעל הרשאה לנסוע בכבישים היא דרישה סבירה וראויה. וזאת יש לזכור: היום, שלא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כמו בעת משטר ה"אחריות המוחלטת" ניתן לסתור את חזקת היסוד הנפשי, ולהראות כי הנדון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עשה את כל שניתן כדי למנוע את העבירה, הכל כאמור בסעיף 22(ב) לחוק העונשין. דומה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שכדי לעמוד בדרישה זו – כי בבירור קצר עם בעל הרכב. אין זו הטלת דרישה שאין הציבור</w:t>
      </w:r>
      <w:r>
        <w:t xml:space="preserve"> </w:t>
      </w:r>
    </w:p>
    <w:p w:rsidR="003E261D" w:rsidRPr="003D28CF" w:rsidRDefault="003E261D" w:rsidP="003E261D">
      <w:pPr>
        <w:bidi/>
        <w:rPr>
          <w:highlight w:val="green"/>
        </w:rPr>
      </w:pPr>
      <w:r>
        <w:rPr>
          <w:rFonts w:cs="Arial"/>
          <w:rtl/>
        </w:rPr>
        <w:t xml:space="preserve">יכול לעמוד בה. 8. על כן, ואם תישמע דעתי, </w:t>
      </w:r>
      <w:r w:rsidRPr="003D28CF">
        <w:rPr>
          <w:rFonts w:cs="Arial"/>
          <w:highlight w:val="green"/>
          <w:rtl/>
        </w:rPr>
        <w:t>נחזיר על כנה את קביעת בית משפט השלום</w:t>
      </w:r>
      <w:r w:rsidRPr="003D28CF">
        <w:rPr>
          <w:highlight w:val="green"/>
        </w:rPr>
        <w:t xml:space="preserve">, </w:t>
      </w:r>
    </w:p>
    <w:p w:rsidR="003E261D" w:rsidRPr="003D28CF" w:rsidRDefault="003E261D" w:rsidP="003E261D">
      <w:pPr>
        <w:bidi/>
        <w:rPr>
          <w:highlight w:val="green"/>
        </w:rPr>
      </w:pPr>
      <w:r w:rsidRPr="003D28CF">
        <w:rPr>
          <w:rFonts w:cs="Arial"/>
          <w:highlight w:val="green"/>
          <w:rtl/>
        </w:rPr>
        <w:t>ונקבע כי העבירה לפי סעיף 308(ד) שצוטטה לעיל היא עבירה של אחריות קפידה. בהסכמת</w:t>
      </w:r>
      <w:r w:rsidRPr="003D28CF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3D28CF">
        <w:rPr>
          <w:rFonts w:cs="Arial"/>
          <w:highlight w:val="green"/>
          <w:rtl/>
        </w:rPr>
        <w:t xml:space="preserve">המדינה, כאמור, לא יהיו לכך תוצאות </w:t>
      </w:r>
      <w:proofErr w:type="spellStart"/>
      <w:r w:rsidRPr="003D28CF">
        <w:rPr>
          <w:rFonts w:cs="Arial"/>
          <w:highlight w:val="green"/>
          <w:rtl/>
        </w:rPr>
        <w:t>עונשיות</w:t>
      </w:r>
      <w:proofErr w:type="spellEnd"/>
      <w:r>
        <w:rPr>
          <w:rFonts w:cs="Arial"/>
          <w:rtl/>
        </w:rPr>
        <w:t>. ש ו פ ט ת הנשיאה ד\' ביניש: אני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מסכימה. ה נ ש י א ה השופטת א\' חיות: אני מסכימה. ש ו פ ט ת הוחלט כאמור בפסק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דינה של השופטת מ\' נאור. ניתן היום, ט\' בתמוז, תשס"ז (25.6.2007). ה נ ש י א ה ש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ו פ ט ת ש ו פ ט ת _________________________ העותק כפוף לשינויי עריכה וניסוח</w:t>
      </w:r>
      <w:r>
        <w:t xml:space="preserve">. </w:t>
      </w:r>
    </w:p>
    <w:p w:rsidR="003E261D" w:rsidRDefault="003E261D" w:rsidP="003E261D">
      <w:pPr>
        <w:bidi/>
      </w:pPr>
      <w:r>
        <w:t xml:space="preserve">04029290_C06.doc </w:t>
      </w:r>
      <w:proofErr w:type="spellStart"/>
      <w:r>
        <w:rPr>
          <w:rFonts w:cs="Arial"/>
          <w:rtl/>
        </w:rPr>
        <w:t>עע</w:t>
      </w:r>
      <w:proofErr w:type="spellEnd"/>
      <w:r>
        <w:rPr>
          <w:rFonts w:cs="Arial"/>
          <w:rtl/>
        </w:rPr>
        <w:t xml:space="preserve"> מרכז מידע, טל\' 02-</w:t>
      </w:r>
      <w:proofErr w:type="gramStart"/>
      <w:r>
        <w:rPr>
          <w:rFonts w:cs="Arial"/>
          <w:rtl/>
        </w:rPr>
        <w:t>6593666 ;</w:t>
      </w:r>
      <w:proofErr w:type="gramEnd"/>
      <w:r>
        <w:rPr>
          <w:rFonts w:cs="Arial"/>
          <w:rtl/>
        </w:rPr>
        <w:t xml:space="preserve"> אתר אינטרנט</w:t>
      </w:r>
      <w:r>
        <w:t xml:space="preserve">, </w:t>
      </w:r>
    </w:p>
    <w:p w:rsidR="003E261D" w:rsidRDefault="003E261D" w:rsidP="003E261D">
      <w:pPr>
        <w:bidi/>
      </w:pPr>
      <w:r>
        <w:t>www.court.gov.il']</w:t>
      </w:r>
    </w:p>
    <w:p w:rsidR="003E261D" w:rsidRDefault="003E261D" w:rsidP="003E261D">
      <w:pPr>
        <w:bidi/>
      </w:pPr>
      <w:r>
        <w:t>--------------------------------------------------------------------------------</w:t>
      </w:r>
    </w:p>
    <w:p w:rsidR="003E261D" w:rsidRDefault="003E261D" w:rsidP="003E261D">
      <w:pPr>
        <w:bidi/>
      </w:pPr>
    </w:p>
    <w:p w:rsidR="003E261D" w:rsidRPr="007F7376" w:rsidRDefault="003E261D" w:rsidP="003E261D">
      <w:pPr>
        <w:bidi/>
        <w:rPr>
          <w:b/>
          <w:bCs/>
          <w:u w:val="single"/>
          <w:rtl/>
        </w:rPr>
      </w:pPr>
      <w:r w:rsidRPr="007F7376">
        <w:rPr>
          <w:b/>
          <w:bCs/>
          <w:u w:val="single"/>
        </w:rPr>
        <w:t>Case 2:</w:t>
      </w:r>
    </w:p>
    <w:p w:rsidR="0078784B" w:rsidRDefault="0078784B" w:rsidP="0078784B">
      <w:pPr>
        <w:bidi/>
      </w:pPr>
      <w:r w:rsidRPr="0078784B">
        <w:rPr>
          <w:rFonts w:hint="cs"/>
          <w:highlight w:val="yellow"/>
          <w:rtl/>
        </w:rPr>
        <w:t>ניתן זיכוי מעבירת סירוב לה</w:t>
      </w:r>
      <w:r w:rsidR="007F7376">
        <w:rPr>
          <w:rFonts w:hint="cs"/>
          <w:highlight w:val="yellow"/>
          <w:rtl/>
        </w:rPr>
        <w:t>י</w:t>
      </w:r>
      <w:r w:rsidRPr="0078784B">
        <w:rPr>
          <w:rFonts w:hint="cs"/>
          <w:highlight w:val="yellow"/>
          <w:rtl/>
        </w:rPr>
        <w:t>בדק, אך ה</w:t>
      </w:r>
      <w:r>
        <w:rPr>
          <w:rFonts w:hint="cs"/>
          <w:highlight w:val="yellow"/>
          <w:rtl/>
        </w:rPr>
        <w:t>רוב</w:t>
      </w:r>
      <w:r w:rsidR="007F7376">
        <w:rPr>
          <w:rFonts w:hint="cs"/>
          <w:highlight w:val="yellow"/>
          <w:rtl/>
        </w:rPr>
        <w:t xml:space="preserve"> (כולל הערעור)</w:t>
      </w:r>
      <w:r w:rsidRPr="0078784B">
        <w:rPr>
          <w:rFonts w:hint="cs"/>
          <w:highlight w:val="yellow"/>
          <w:rtl/>
        </w:rPr>
        <w:t xml:space="preserve"> נדחה.</w:t>
      </w:r>
    </w:p>
    <w:p w:rsidR="003E261D" w:rsidRDefault="003E261D" w:rsidP="003E261D">
      <w:pPr>
        <w:bidi/>
      </w:pPr>
      <w:r>
        <w:t>--------------------------------------------------------------------------------</w:t>
      </w:r>
    </w:p>
    <w:p w:rsidR="003E261D" w:rsidRDefault="003E261D" w:rsidP="003E261D">
      <w:pPr>
        <w:bidi/>
      </w:pPr>
      <w:r>
        <w:t>Index in Original Data:</w:t>
      </w:r>
    </w:p>
    <w:p w:rsidR="003E261D" w:rsidRDefault="003E261D" w:rsidP="003E261D">
      <w:pPr>
        <w:bidi/>
      </w:pPr>
      <w:r>
        <w:t>54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Original Outcome of Case:</w:t>
      </w:r>
    </w:p>
    <w:p w:rsidR="003E261D" w:rsidRDefault="003E261D" w:rsidP="003E261D">
      <w:pPr>
        <w:bidi/>
      </w:pPr>
      <w:r>
        <w:t xml:space="preserve">G A at most- defendant was acquitted of one felony with plaintiff's consent. The </w:t>
      </w:r>
      <w:proofErr w:type="spellStart"/>
      <w:r>
        <w:t>sunction</w:t>
      </w:r>
      <w:proofErr w:type="spellEnd"/>
      <w:r>
        <w:t xml:space="preserve"> remained.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Binary Outcome (True Label):</w:t>
      </w:r>
    </w:p>
    <w:p w:rsidR="003E261D" w:rsidRDefault="003E261D" w:rsidP="003E261D">
      <w:pPr>
        <w:bidi/>
      </w:pPr>
      <w:r>
        <w:t>1.0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Predicted Label:</w:t>
      </w:r>
    </w:p>
    <w:p w:rsidR="003E261D" w:rsidRDefault="003E261D" w:rsidP="003E261D">
      <w:pPr>
        <w:bidi/>
      </w:pPr>
      <w:r>
        <w:t>0.0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Formatted Text:</w:t>
      </w:r>
    </w:p>
    <w:p w:rsidR="003E261D" w:rsidRDefault="003E261D" w:rsidP="003E261D">
      <w:pPr>
        <w:bidi/>
      </w:pPr>
      <w:r>
        <w:t>['</w:t>
      </w:r>
      <w:r>
        <w:rPr>
          <w:rFonts w:cs="Arial"/>
          <w:rtl/>
        </w:rPr>
        <w:t xml:space="preserve">החלטה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10758/05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10758/05 בפני: כבוד השופט א</w:t>
      </w:r>
      <w:r>
        <w:t xml:space="preserve">\'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א\' לוי כבוד השופטת ע\' ארבל כבוד השופט ס\' ג\'ובראן המבקש: אמין </w:t>
      </w:r>
      <w:proofErr w:type="spellStart"/>
      <w:r>
        <w:rPr>
          <w:rFonts w:cs="Arial"/>
          <w:rtl/>
        </w:rPr>
        <w:t>טאהא</w:t>
      </w:r>
      <w:proofErr w:type="spellEnd"/>
      <w:r>
        <w:rPr>
          <w:rFonts w:cs="Arial"/>
          <w:rtl/>
        </w:rPr>
        <w:t xml:space="preserve"> נ ג ד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המשיבה: מדינת ישראל בקשת רשות ערעור על פסק-דין של בית-המשפט המחוזי בתל-אביב-יפו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בע"פ 71154/05 מיום 13.11.2005, שניתן על-ידי כבוד השופטת נ\' אהד בשם המבקש: עו"ד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דוד גולן בשם המשיבה: עו"ד ליאנה </w:t>
      </w:r>
      <w:proofErr w:type="spellStart"/>
      <w:r>
        <w:rPr>
          <w:rFonts w:cs="Arial"/>
          <w:rtl/>
        </w:rPr>
        <w:t>בלומנפלד</w:t>
      </w:r>
      <w:proofErr w:type="spellEnd"/>
      <w:r>
        <w:rPr>
          <w:rFonts w:cs="Arial"/>
          <w:rtl/>
        </w:rPr>
        <w:t xml:space="preserve"> החלטה השופט ס\' ג\'ובראן: המבקש הועמד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לדין בבית-משפט השלום לתעבורה</w:t>
      </w:r>
      <w:r w:rsidR="00F313C8">
        <w:rPr>
          <w:rFonts w:cs="Arial" w:hint="cs"/>
          <w:rtl/>
        </w:rPr>
        <w:t xml:space="preserve"> </w:t>
      </w:r>
      <w:r>
        <w:rPr>
          <w:rFonts w:cs="Arial"/>
          <w:rtl/>
        </w:rPr>
        <w:t>בפתח-תקוה (</w:t>
      </w:r>
      <w:proofErr w:type="spellStart"/>
      <w:r>
        <w:rPr>
          <w:rFonts w:cs="Arial"/>
          <w:rtl/>
        </w:rPr>
        <w:t>פ"ל</w:t>
      </w:r>
      <w:proofErr w:type="spellEnd"/>
      <w:r>
        <w:rPr>
          <w:rFonts w:cs="Arial"/>
          <w:rtl/>
        </w:rPr>
        <w:t xml:space="preserve"> 104/04) בגין עבירה של נהיגה בזמן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פסילה, לפי סעיף 67 לפקודת</w:t>
      </w:r>
      <w:r w:rsidR="00F313C8">
        <w:rPr>
          <w:rFonts w:cs="Arial" w:hint="cs"/>
          <w:rtl/>
        </w:rPr>
        <w:t xml:space="preserve"> </w:t>
      </w:r>
      <w:r>
        <w:rPr>
          <w:rFonts w:cs="Arial"/>
          <w:rtl/>
        </w:rPr>
        <w:t>התעבורה [נוסח חדש], תשכ"א-1961 (להלן: פקודת התעבורה)</w:t>
      </w:r>
      <w:r>
        <w:t xml:space="preserve">; </w:t>
      </w:r>
    </w:p>
    <w:p w:rsidR="003E261D" w:rsidRDefault="003E261D" w:rsidP="003E261D">
      <w:pPr>
        <w:bidi/>
      </w:pPr>
      <w:r>
        <w:rPr>
          <w:rFonts w:cs="Arial"/>
          <w:rtl/>
        </w:rPr>
        <w:t>עבירה של נהיגה ללא</w:t>
      </w:r>
      <w:r w:rsidR="00F313C8">
        <w:rPr>
          <w:rFonts w:cs="Arial" w:hint="cs"/>
          <w:rtl/>
        </w:rPr>
        <w:t xml:space="preserve"> </w:t>
      </w:r>
      <w:r>
        <w:rPr>
          <w:rFonts w:cs="Arial"/>
          <w:rtl/>
        </w:rPr>
        <w:t>רישיון נהיגה תקף, לפי סעיף 10 לפקודת התעבורה, עבירה של נהיגה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ללא ביטוח, לפי</w:t>
      </w:r>
      <w:r w:rsidR="00F313C8">
        <w:rPr>
          <w:rFonts w:cs="Arial" w:hint="cs"/>
          <w:rtl/>
        </w:rPr>
        <w:t xml:space="preserve"> </w:t>
      </w:r>
      <w:r>
        <w:rPr>
          <w:rFonts w:cs="Arial"/>
          <w:rtl/>
        </w:rPr>
        <w:t>סעיף 2(א) לפקודת ביטוח רכב מנועי [נוסח חדש], תש"ל-1970 (להלן</w:t>
      </w:r>
      <w:r>
        <w:t xml:space="preserve">: </w:t>
      </w:r>
    </w:p>
    <w:p w:rsidR="003E261D" w:rsidRDefault="003E261D" w:rsidP="003E261D">
      <w:pPr>
        <w:bidi/>
      </w:pPr>
      <w:r>
        <w:rPr>
          <w:rFonts w:cs="Arial"/>
          <w:rtl/>
        </w:rPr>
        <w:t>פקודת</w:t>
      </w:r>
      <w:r w:rsidR="00F313C8">
        <w:rPr>
          <w:rFonts w:cs="Arial" w:hint="cs"/>
          <w:rtl/>
        </w:rPr>
        <w:t xml:space="preserve"> </w:t>
      </w:r>
      <w:r>
        <w:rPr>
          <w:rFonts w:cs="Arial"/>
          <w:rtl/>
        </w:rPr>
        <w:t>הביטוח), עבירה של נהיגה תחת השפעת אלכוהול, לפי סעיפים 62(3) ו-39א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לפקודת</w:t>
      </w:r>
      <w:r w:rsidR="00F313C8">
        <w:rPr>
          <w:rFonts w:cs="Arial" w:hint="cs"/>
          <w:rtl/>
        </w:rPr>
        <w:t xml:space="preserve"> </w:t>
      </w:r>
      <w:r>
        <w:rPr>
          <w:rFonts w:cs="Arial"/>
          <w:rtl/>
        </w:rPr>
        <w:t>התעבורה ועבירה של סירוב להיבדק, לפי תקנה 169ו לתקנות התעבורה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תשכ"א-1961(להלן: תקנות התעבורה). לפי הנטען בכתב האישום, נהג המבקש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ביום17.3.2004, ברכבו בכביש </w:t>
      </w:r>
      <w:proofErr w:type="spellStart"/>
      <w:r>
        <w:rPr>
          <w:rFonts w:cs="Arial"/>
          <w:rtl/>
        </w:rPr>
        <w:t>אורנית</w:t>
      </w:r>
      <w:proofErr w:type="spellEnd"/>
      <w:r>
        <w:rPr>
          <w:rFonts w:cs="Arial"/>
          <w:rtl/>
        </w:rPr>
        <w:t xml:space="preserve"> – כפר קאסם, כשהוא פסול מלנהוג, לאחר שרישיונו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נפסל</w:t>
      </w:r>
      <w:r w:rsidR="00F313C8">
        <w:rPr>
          <w:rFonts w:cs="Arial" w:hint="cs"/>
          <w:rtl/>
        </w:rPr>
        <w:t xml:space="preserve"> </w:t>
      </w:r>
      <w:r>
        <w:rPr>
          <w:rFonts w:cs="Arial"/>
          <w:rtl/>
        </w:rPr>
        <w:t>בתיקים קודמים וכשהוא ללא רישיון נהיגה בתוקף וללא פוליסת ביטוח תקפה. בנוסף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נהג</w:t>
      </w:r>
      <w:r w:rsidR="00F313C8">
        <w:rPr>
          <w:rFonts w:cs="Arial" w:hint="cs"/>
          <w:rtl/>
        </w:rPr>
        <w:t xml:space="preserve"> </w:t>
      </w:r>
      <w:r>
        <w:rPr>
          <w:rFonts w:cs="Arial"/>
          <w:rtl/>
        </w:rPr>
        <w:t>המבקש כאשר הוא נתון תחת השפעת אלכוהול וסרב לדרישת שוטרים למסור דגימה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מדמו</w:t>
      </w:r>
      <w:r w:rsidR="00F313C8">
        <w:rPr>
          <w:rFonts w:cs="Arial" w:hint="cs"/>
          <w:rtl/>
        </w:rPr>
        <w:t xml:space="preserve"> </w:t>
      </w:r>
      <w:r>
        <w:rPr>
          <w:rFonts w:cs="Arial"/>
          <w:rtl/>
        </w:rPr>
        <w:t>לבדיקה. ביום 28.11.2004 הרשיע בית-המשפט לתעבורה</w:t>
      </w:r>
      <w:r w:rsidR="00F313C8">
        <w:rPr>
          <w:rFonts w:cs="Arial" w:hint="cs"/>
          <w:rtl/>
        </w:rPr>
        <w:t xml:space="preserve"> </w:t>
      </w:r>
      <w:r>
        <w:rPr>
          <w:rFonts w:cs="Arial"/>
          <w:rtl/>
        </w:rPr>
        <w:t>בפתח-תקוה (השופטת א</w:t>
      </w:r>
      <w:r>
        <w:t xml:space="preserve">\' </w:t>
      </w:r>
    </w:p>
    <w:p w:rsidR="003E261D" w:rsidRDefault="003E261D" w:rsidP="003E261D">
      <w:pPr>
        <w:bidi/>
      </w:pPr>
      <w:proofErr w:type="spellStart"/>
      <w:r>
        <w:rPr>
          <w:rFonts w:cs="Arial"/>
          <w:rtl/>
        </w:rPr>
        <w:t>וישקין</w:t>
      </w:r>
      <w:proofErr w:type="spellEnd"/>
      <w:r>
        <w:rPr>
          <w:rFonts w:cs="Arial"/>
          <w:rtl/>
        </w:rPr>
        <w:t>) את המבקש על-פי הודאתו</w:t>
      </w:r>
      <w:r w:rsidRPr="00F313C8">
        <w:rPr>
          <w:rFonts w:cs="Arial"/>
          <w:highlight w:val="green"/>
          <w:rtl/>
        </w:rPr>
        <w:t>. לאחר שדחה את בקשתו</w:t>
      </w:r>
      <w:r>
        <w:rPr>
          <w:rFonts w:cs="Arial"/>
          <w:rtl/>
        </w:rPr>
        <w:t xml:space="preserve"> לחזור בו</w:t>
      </w:r>
      <w:r w:rsidR="00F313C8">
        <w:rPr>
          <w:rFonts w:cs="Arial" w:hint="cs"/>
          <w:rtl/>
        </w:rPr>
        <w:t xml:space="preserve"> </w:t>
      </w:r>
      <w:r>
        <w:rPr>
          <w:rFonts w:cs="Arial"/>
          <w:rtl/>
        </w:rPr>
        <w:t>מהודאתו, משהחליף את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בא-כוחו, גזר בית-המשפט על המבקש ביום 7.6.2005 עונש של 30חודשים מאסר בפועל, 6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חודשי מאסר על תנאי, למשך 3 שנים ו-7 שנות פסילה מלהחזיק</w:t>
      </w:r>
      <w:r w:rsidR="00333017">
        <w:rPr>
          <w:rFonts w:cs="Arial" w:hint="cs"/>
          <w:rtl/>
        </w:rPr>
        <w:t xml:space="preserve"> </w:t>
      </w:r>
      <w:r>
        <w:rPr>
          <w:rFonts w:cs="Arial"/>
          <w:rtl/>
        </w:rPr>
        <w:t>רישיון, נוספות לאלו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שנגזרו עליו בעבר. כן הורה בית-המשפט על הפעלתם של שני עונשי</w:t>
      </w:r>
      <w:r w:rsidR="00333017">
        <w:rPr>
          <w:rFonts w:cs="Arial" w:hint="cs"/>
          <w:rtl/>
        </w:rPr>
        <w:t xml:space="preserve"> </w:t>
      </w:r>
      <w:r>
        <w:rPr>
          <w:rFonts w:cs="Arial"/>
          <w:rtl/>
        </w:rPr>
        <w:t>מאסר על תנאי, בסך של</w:t>
      </w:r>
      <w:r>
        <w:t xml:space="preserve"> </w:t>
      </w:r>
    </w:p>
    <w:p w:rsidR="003E261D" w:rsidRDefault="003E261D" w:rsidP="003E261D">
      <w:pPr>
        <w:bidi/>
      </w:pPr>
      <w:r>
        <w:t xml:space="preserve">8 </w:t>
      </w:r>
      <w:r>
        <w:rPr>
          <w:rFonts w:cs="Arial"/>
          <w:rtl/>
        </w:rPr>
        <w:t>חודשים, שהיו תלויים ועומדים כנגד המבקש, בחופף לתקופת</w:t>
      </w:r>
      <w:r w:rsidR="00333017">
        <w:rPr>
          <w:rFonts w:cs="Arial" w:hint="cs"/>
          <w:rtl/>
        </w:rPr>
        <w:t xml:space="preserve"> </w:t>
      </w:r>
      <w:r>
        <w:rPr>
          <w:rFonts w:cs="Arial"/>
          <w:rtl/>
        </w:rPr>
        <w:t>המאסר שנגזרה עליו</w:t>
      </w:r>
      <w:r>
        <w:t xml:space="preserve">. </w:t>
      </w:r>
    </w:p>
    <w:p w:rsidR="003E261D" w:rsidRDefault="003E261D" w:rsidP="003E261D">
      <w:pPr>
        <w:bidi/>
      </w:pPr>
      <w:r>
        <w:rPr>
          <w:rFonts w:cs="Arial"/>
          <w:rtl/>
        </w:rPr>
        <w:t>בגזר-דינו ציין בית-המשפט, כי הוא מתעלם מהעבירה של סירוב</w:t>
      </w:r>
      <w:r w:rsidR="00333017">
        <w:rPr>
          <w:rFonts w:cs="Arial" w:hint="cs"/>
          <w:rtl/>
        </w:rPr>
        <w:t xml:space="preserve"> </w:t>
      </w:r>
      <w:r>
        <w:rPr>
          <w:rFonts w:cs="Arial"/>
          <w:rtl/>
        </w:rPr>
        <w:t>להיבדק, אשר בה הורשע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המבקש. על פסק-דינו של בית-המשפט לתעבורה ערער</w:t>
      </w:r>
      <w:r w:rsidR="00333017">
        <w:rPr>
          <w:rFonts w:cs="Arial" w:hint="cs"/>
          <w:rtl/>
        </w:rPr>
        <w:t xml:space="preserve"> </w:t>
      </w:r>
      <w:r>
        <w:rPr>
          <w:rFonts w:cs="Arial"/>
          <w:rtl/>
        </w:rPr>
        <w:t>המבקש לבית-המשפט המחוזי</w:t>
      </w:r>
      <w:r>
        <w:t xml:space="preserve"> </w:t>
      </w:r>
    </w:p>
    <w:p w:rsidR="003E261D" w:rsidRPr="00333017" w:rsidRDefault="003E261D" w:rsidP="003E261D">
      <w:pPr>
        <w:bidi/>
        <w:rPr>
          <w:highlight w:val="green"/>
        </w:rPr>
      </w:pPr>
      <w:r>
        <w:rPr>
          <w:rFonts w:cs="Arial"/>
          <w:rtl/>
        </w:rPr>
        <w:t>בתל-אביב-יפו. בית-המשפט המחוזי בתל-אביב-יפו (</w:t>
      </w:r>
      <w:proofErr w:type="spellStart"/>
      <w:r>
        <w:rPr>
          <w:rFonts w:cs="Arial"/>
          <w:rtl/>
        </w:rPr>
        <w:t>השופטתנ</w:t>
      </w:r>
      <w:proofErr w:type="spellEnd"/>
      <w:r>
        <w:rPr>
          <w:rFonts w:cs="Arial"/>
          <w:rtl/>
        </w:rPr>
        <w:t xml:space="preserve">\' אהד) </w:t>
      </w:r>
      <w:r w:rsidRPr="00333017">
        <w:rPr>
          <w:rFonts w:cs="Arial"/>
          <w:highlight w:val="green"/>
          <w:rtl/>
        </w:rPr>
        <w:t>דחה את הערעור</w:t>
      </w:r>
      <w:r w:rsidRPr="00333017">
        <w:rPr>
          <w:highlight w:val="green"/>
        </w:rPr>
        <w:t xml:space="preserve"> </w:t>
      </w:r>
    </w:p>
    <w:p w:rsidR="003E261D" w:rsidRDefault="003E261D" w:rsidP="003E261D">
      <w:pPr>
        <w:bidi/>
      </w:pPr>
      <w:proofErr w:type="spellStart"/>
      <w:r w:rsidRPr="00333017">
        <w:rPr>
          <w:rFonts w:cs="Arial"/>
          <w:highlight w:val="green"/>
          <w:rtl/>
        </w:rPr>
        <w:t>בקובעו</w:t>
      </w:r>
      <w:proofErr w:type="spellEnd"/>
      <w:r>
        <w:rPr>
          <w:rFonts w:cs="Arial"/>
          <w:rtl/>
        </w:rPr>
        <w:t xml:space="preserve">, כי </w:t>
      </w:r>
      <w:r w:rsidRPr="00333017">
        <w:rPr>
          <w:rFonts w:cs="Arial"/>
          <w:highlight w:val="green"/>
          <w:rtl/>
        </w:rPr>
        <w:t>לא היה מקום לאפשר למבקש לחזור בו מהודאתו</w:t>
      </w:r>
      <w:r>
        <w:rPr>
          <w:rFonts w:cs="Arial"/>
          <w:rtl/>
        </w:rPr>
        <w:t>, אשר</w:t>
      </w:r>
      <w:r w:rsidR="00333017">
        <w:rPr>
          <w:rFonts w:cs="Arial" w:hint="cs"/>
          <w:rtl/>
        </w:rPr>
        <w:t xml:space="preserve"> </w:t>
      </w:r>
      <w:r>
        <w:rPr>
          <w:rFonts w:cs="Arial"/>
          <w:rtl/>
        </w:rPr>
        <w:t>ניתנה כדין. כן קבע, כי</w:t>
      </w:r>
      <w:r>
        <w:t xml:space="preserve"> </w:t>
      </w:r>
    </w:p>
    <w:p w:rsidR="003E261D" w:rsidRDefault="003E261D" w:rsidP="003E261D">
      <w:pPr>
        <w:bidi/>
      </w:pPr>
      <w:r w:rsidRPr="00333017">
        <w:rPr>
          <w:rFonts w:cs="Arial"/>
          <w:highlight w:val="green"/>
          <w:rtl/>
        </w:rPr>
        <w:t>לא מצא כל מקום להתערב בחומרת עונשו של המבקש</w:t>
      </w:r>
      <w:r>
        <w:rPr>
          <w:rFonts w:cs="Arial"/>
          <w:rtl/>
        </w:rPr>
        <w:t>. מכאן בקשת רשות הערעור שבפני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אשר</w:t>
      </w:r>
      <w:r w:rsidR="00333017">
        <w:rPr>
          <w:rFonts w:cs="Arial" w:hint="cs"/>
          <w:rtl/>
        </w:rPr>
        <w:t xml:space="preserve"> </w:t>
      </w:r>
      <w:r>
        <w:rPr>
          <w:rFonts w:cs="Arial"/>
          <w:rtl/>
        </w:rPr>
        <w:t>במסגרתה טוען המבקש, כי שגה בית-המשפט המחוזי משלא התיר לו לחזור בו מהודאתו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ומשלא</w:t>
      </w:r>
      <w:r w:rsidR="00333017">
        <w:rPr>
          <w:rFonts w:cs="Arial" w:hint="cs"/>
          <w:rtl/>
        </w:rPr>
        <w:t xml:space="preserve"> </w:t>
      </w:r>
      <w:r>
        <w:rPr>
          <w:rFonts w:cs="Arial"/>
          <w:rtl/>
        </w:rPr>
        <w:t>הקל בעונשו, לאור נסיבותיו האישיות. מנגד, טוענת המשיבה, כי הבקשה אינה</w:t>
      </w:r>
      <w:r>
        <w:t xml:space="preserve"> </w:t>
      </w:r>
    </w:p>
    <w:p w:rsidR="003E261D" w:rsidRPr="00333017" w:rsidRDefault="003E261D" w:rsidP="003E261D">
      <w:pPr>
        <w:bidi/>
        <w:rPr>
          <w:highlight w:val="green"/>
        </w:rPr>
      </w:pPr>
      <w:r>
        <w:rPr>
          <w:rFonts w:cs="Arial"/>
          <w:rtl/>
        </w:rPr>
        <w:t>חורגת</w:t>
      </w:r>
      <w:r w:rsidR="00333017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מדלת אמותיו של מקרהו של המבקש. עוד טוענת המשיבה, כי </w:t>
      </w:r>
      <w:r w:rsidRPr="00333017">
        <w:rPr>
          <w:rFonts w:cs="Arial"/>
          <w:highlight w:val="green"/>
          <w:rtl/>
        </w:rPr>
        <w:t>המבקש לא הראה כל סיבה</w:t>
      </w:r>
      <w:r w:rsidRPr="00333017">
        <w:rPr>
          <w:highlight w:val="green"/>
        </w:rPr>
        <w:t xml:space="preserve"> </w:t>
      </w:r>
    </w:p>
    <w:p w:rsidR="003E261D" w:rsidRPr="00333017" w:rsidRDefault="003E261D" w:rsidP="003E261D">
      <w:pPr>
        <w:bidi/>
        <w:rPr>
          <w:highlight w:val="green"/>
        </w:rPr>
      </w:pPr>
      <w:r w:rsidRPr="00333017">
        <w:rPr>
          <w:rFonts w:cs="Arial"/>
          <w:highlight w:val="green"/>
          <w:rtl/>
        </w:rPr>
        <w:t>ממשית</w:t>
      </w:r>
      <w:r w:rsidR="00333017" w:rsidRPr="00333017">
        <w:rPr>
          <w:rFonts w:cs="Arial" w:hint="cs"/>
          <w:highlight w:val="green"/>
          <w:rtl/>
        </w:rPr>
        <w:t xml:space="preserve"> </w:t>
      </w:r>
      <w:r w:rsidRPr="00333017">
        <w:rPr>
          <w:rFonts w:cs="Arial"/>
          <w:highlight w:val="green"/>
          <w:rtl/>
        </w:rPr>
        <w:t>בגינה יש לאפשר לו לחזור בו מהודאתו, וכי נסיבות העבירה אותה ביצע המבקש</w:t>
      </w:r>
      <w:r w:rsidRPr="00333017">
        <w:rPr>
          <w:highlight w:val="green"/>
        </w:rPr>
        <w:t xml:space="preserve"> </w:t>
      </w:r>
    </w:p>
    <w:p w:rsidR="003E261D" w:rsidRPr="00333017" w:rsidRDefault="003E261D" w:rsidP="003E261D">
      <w:pPr>
        <w:bidi/>
        <w:rPr>
          <w:highlight w:val="green"/>
        </w:rPr>
      </w:pPr>
      <w:r w:rsidRPr="00333017">
        <w:rPr>
          <w:rFonts w:cs="Arial"/>
          <w:highlight w:val="green"/>
          <w:rtl/>
        </w:rPr>
        <w:t>מצדיקות</w:t>
      </w:r>
      <w:r w:rsidR="00333017">
        <w:rPr>
          <w:rFonts w:cs="Arial" w:hint="cs"/>
          <w:highlight w:val="green"/>
          <w:rtl/>
        </w:rPr>
        <w:t xml:space="preserve"> </w:t>
      </w:r>
      <w:r w:rsidRPr="00333017">
        <w:rPr>
          <w:rFonts w:cs="Arial"/>
          <w:highlight w:val="green"/>
          <w:rtl/>
        </w:rPr>
        <w:t>את העונש שהוטל עליו.</w:t>
      </w:r>
      <w:r>
        <w:rPr>
          <w:rFonts w:cs="Arial"/>
          <w:rtl/>
        </w:rPr>
        <w:t xml:space="preserve"> עם זאת, מסכימה המשיבה, כי י</w:t>
      </w:r>
      <w:r w:rsidRPr="00333017">
        <w:rPr>
          <w:rFonts w:cs="Arial"/>
          <w:highlight w:val="green"/>
          <w:rtl/>
        </w:rPr>
        <w:t>ש לזכות את המבקש מהעבירה</w:t>
      </w:r>
      <w:r w:rsidRPr="00333017">
        <w:rPr>
          <w:highlight w:val="green"/>
        </w:rPr>
        <w:t xml:space="preserve"> </w:t>
      </w:r>
    </w:p>
    <w:p w:rsidR="003E261D" w:rsidRPr="00333017" w:rsidRDefault="003E261D" w:rsidP="003E261D">
      <w:pPr>
        <w:bidi/>
        <w:rPr>
          <w:highlight w:val="green"/>
        </w:rPr>
      </w:pPr>
      <w:r w:rsidRPr="00333017">
        <w:rPr>
          <w:rFonts w:cs="Arial"/>
          <w:highlight w:val="green"/>
          <w:rtl/>
        </w:rPr>
        <w:t>שלסירוב להיבדק</w:t>
      </w:r>
      <w:r>
        <w:rPr>
          <w:rFonts w:cs="Arial"/>
          <w:rtl/>
        </w:rPr>
        <w:t xml:space="preserve">. </w:t>
      </w:r>
      <w:r w:rsidRPr="00333017">
        <w:rPr>
          <w:rFonts w:cs="Arial"/>
          <w:highlight w:val="green"/>
          <w:rtl/>
        </w:rPr>
        <w:t>דין בקשת רשות הערעור להידחות</w:t>
      </w:r>
      <w:r>
        <w:rPr>
          <w:rFonts w:cs="Arial"/>
          <w:rtl/>
        </w:rPr>
        <w:t xml:space="preserve">, </w:t>
      </w:r>
      <w:r w:rsidRPr="00333017">
        <w:rPr>
          <w:rFonts w:cs="Arial"/>
          <w:highlight w:val="green"/>
          <w:rtl/>
        </w:rPr>
        <w:t>פרט</w:t>
      </w:r>
      <w:r w:rsidR="00333017" w:rsidRPr="00333017">
        <w:rPr>
          <w:rFonts w:cs="Arial" w:hint="cs"/>
          <w:highlight w:val="green"/>
          <w:rtl/>
        </w:rPr>
        <w:t xml:space="preserve"> </w:t>
      </w:r>
      <w:r w:rsidRPr="00333017">
        <w:rPr>
          <w:rFonts w:cs="Arial"/>
          <w:highlight w:val="green"/>
          <w:rtl/>
        </w:rPr>
        <w:t>לעניין הרשעתו של המבקש בעבירה</w:t>
      </w:r>
      <w:r w:rsidRPr="00333017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333017">
        <w:rPr>
          <w:rFonts w:cs="Arial"/>
          <w:highlight w:val="green"/>
          <w:rtl/>
        </w:rPr>
        <w:t>של סירוב להיבדק</w:t>
      </w:r>
      <w:r>
        <w:rPr>
          <w:rFonts w:cs="Arial"/>
          <w:rtl/>
        </w:rPr>
        <w:t>, כמפורט להלן. עניינו של המבקש כבר נדון בפני שתי</w:t>
      </w:r>
      <w:r w:rsidR="00787323">
        <w:rPr>
          <w:rFonts w:cs="Arial" w:hint="cs"/>
          <w:rtl/>
        </w:rPr>
        <w:t xml:space="preserve"> </w:t>
      </w:r>
      <w:r>
        <w:rPr>
          <w:rFonts w:cs="Arial"/>
          <w:rtl/>
        </w:rPr>
        <w:t>ערכאות. כידוע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הכלל הנוהג הינו, </w:t>
      </w:r>
      <w:r w:rsidRPr="00787323">
        <w:rPr>
          <w:rFonts w:cs="Arial"/>
          <w:highlight w:val="green"/>
          <w:rtl/>
        </w:rPr>
        <w:t>כי הרשות לערעור שני, אינה ניתנת כדבר שבשגרה</w:t>
      </w:r>
      <w:r>
        <w:rPr>
          <w:rFonts w:cs="Arial"/>
          <w:rtl/>
        </w:rPr>
        <w:t>,</w:t>
      </w:r>
      <w:r w:rsidR="00787323">
        <w:rPr>
          <w:rFonts w:cs="Arial" w:hint="cs"/>
          <w:rtl/>
        </w:rPr>
        <w:t xml:space="preserve"> </w:t>
      </w:r>
      <w:r>
        <w:rPr>
          <w:rFonts w:cs="Arial"/>
          <w:rtl/>
        </w:rPr>
        <w:t>אלא מוגבלת למקרים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המעוררים שאלה בעלת חשיבות משפטית או ציבורית, החורגת מעניינם</w:t>
      </w:r>
      <w:r w:rsidR="00787323">
        <w:rPr>
          <w:rFonts w:cs="Arial" w:hint="cs"/>
          <w:rtl/>
        </w:rPr>
        <w:t xml:space="preserve"> </w:t>
      </w:r>
      <w:r>
        <w:rPr>
          <w:rFonts w:cs="Arial"/>
          <w:rtl/>
        </w:rPr>
        <w:t>הפרטני של הצדדים</w:t>
      </w:r>
      <w:r>
        <w:t xml:space="preserve">. </w:t>
      </w:r>
    </w:p>
    <w:p w:rsidR="003E261D" w:rsidRDefault="003E261D" w:rsidP="003E261D">
      <w:pPr>
        <w:bidi/>
      </w:pPr>
      <w:r>
        <w:rPr>
          <w:rFonts w:cs="Arial"/>
          <w:rtl/>
        </w:rPr>
        <w:t>בענייננו, בקשת רשות הערעור איננה מעוררת כל שאלה משפטית</w:t>
      </w:r>
      <w:r w:rsidR="00787323">
        <w:rPr>
          <w:rFonts w:cs="Arial" w:hint="cs"/>
          <w:rtl/>
        </w:rPr>
        <w:t xml:space="preserve"> </w:t>
      </w:r>
      <w:r>
        <w:rPr>
          <w:rFonts w:cs="Arial"/>
          <w:rtl/>
        </w:rPr>
        <w:t>עקרונית שכזו והמבקש לא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הצביע על כל עילה המצדיקה דיון "בגלגול שלישי",</w:t>
      </w:r>
      <w:r w:rsidR="00787323">
        <w:rPr>
          <w:rFonts w:cs="Arial" w:hint="cs"/>
          <w:rtl/>
        </w:rPr>
        <w:t xml:space="preserve"> </w:t>
      </w:r>
      <w:r>
        <w:rPr>
          <w:rFonts w:cs="Arial"/>
          <w:rtl/>
        </w:rPr>
        <w:t>בהתאם להלכת ר"ע 103/82 חניון חיפה</w:t>
      </w:r>
      <w:r>
        <w:t xml:space="preserve"> </w:t>
      </w:r>
    </w:p>
    <w:p w:rsidR="003E261D" w:rsidRPr="00787323" w:rsidRDefault="003E261D" w:rsidP="003E261D">
      <w:pPr>
        <w:bidi/>
        <w:rPr>
          <w:highlight w:val="green"/>
        </w:rPr>
      </w:pPr>
      <w:r>
        <w:rPr>
          <w:rFonts w:cs="Arial"/>
          <w:rtl/>
        </w:rPr>
        <w:t xml:space="preserve">בע"מ נ\' מצת אור (הדר חיפה)בע"מ, פ"ד לו(3) 123. </w:t>
      </w:r>
      <w:r w:rsidRPr="00787323">
        <w:rPr>
          <w:rFonts w:cs="Arial"/>
          <w:highlight w:val="green"/>
          <w:rtl/>
        </w:rPr>
        <w:t>דין הבקשה להידחות גם לעצם</w:t>
      </w:r>
      <w:r w:rsidRPr="00787323">
        <w:rPr>
          <w:highlight w:val="green"/>
        </w:rPr>
        <w:t xml:space="preserve"> </w:t>
      </w:r>
    </w:p>
    <w:p w:rsidR="003E261D" w:rsidRPr="00787323" w:rsidRDefault="003E261D" w:rsidP="003E261D">
      <w:pPr>
        <w:bidi/>
        <w:rPr>
          <w:highlight w:val="green"/>
        </w:rPr>
      </w:pPr>
      <w:r w:rsidRPr="00787323">
        <w:rPr>
          <w:rFonts w:cs="Arial"/>
          <w:highlight w:val="green"/>
          <w:rtl/>
        </w:rPr>
        <w:t>העניין</w:t>
      </w:r>
      <w:r>
        <w:rPr>
          <w:rFonts w:cs="Arial"/>
          <w:rtl/>
        </w:rPr>
        <w:t xml:space="preserve">. </w:t>
      </w:r>
      <w:r w:rsidRPr="00787323">
        <w:rPr>
          <w:rFonts w:cs="Arial"/>
          <w:highlight w:val="green"/>
          <w:rtl/>
        </w:rPr>
        <w:t>חרף</w:t>
      </w:r>
      <w:r w:rsidR="00787323" w:rsidRPr="00787323">
        <w:rPr>
          <w:rFonts w:cs="Arial" w:hint="cs"/>
          <w:highlight w:val="green"/>
          <w:rtl/>
        </w:rPr>
        <w:t xml:space="preserve"> </w:t>
      </w:r>
      <w:r w:rsidRPr="00787323">
        <w:rPr>
          <w:rFonts w:cs="Arial"/>
          <w:highlight w:val="green"/>
          <w:rtl/>
        </w:rPr>
        <w:t>טענת בא-כוח המבקש, לפיה קיים מכלול של נסיבות חריגות המצדיקות לאפשר</w:t>
      </w:r>
      <w:r w:rsidRPr="00787323">
        <w:rPr>
          <w:highlight w:val="green"/>
        </w:rPr>
        <w:t xml:space="preserve"> </w:t>
      </w:r>
    </w:p>
    <w:p w:rsidR="003E261D" w:rsidRPr="00787323" w:rsidRDefault="003E261D" w:rsidP="003E261D">
      <w:pPr>
        <w:bidi/>
        <w:rPr>
          <w:highlight w:val="green"/>
        </w:rPr>
      </w:pPr>
      <w:r w:rsidRPr="00787323">
        <w:rPr>
          <w:rFonts w:cs="Arial"/>
          <w:highlight w:val="green"/>
          <w:rtl/>
        </w:rPr>
        <w:t>למבקש לחזור</w:t>
      </w:r>
      <w:r w:rsidR="00787323" w:rsidRPr="00787323">
        <w:rPr>
          <w:rFonts w:cs="Arial" w:hint="cs"/>
          <w:highlight w:val="green"/>
          <w:rtl/>
        </w:rPr>
        <w:t xml:space="preserve"> </w:t>
      </w:r>
      <w:r w:rsidRPr="00787323">
        <w:rPr>
          <w:rFonts w:cs="Arial"/>
          <w:highlight w:val="green"/>
          <w:rtl/>
        </w:rPr>
        <w:t>בו מהודאתו, הרי שבקשתו אינה מגלה כל סיבה שכזו, מלבד טענה בעלמא, לפיה</w:t>
      </w:r>
      <w:r w:rsidRPr="00787323">
        <w:rPr>
          <w:highlight w:val="green"/>
        </w:rPr>
        <w:t xml:space="preserve"> </w:t>
      </w:r>
    </w:p>
    <w:p w:rsidR="003E261D" w:rsidRPr="00787323" w:rsidRDefault="003E261D" w:rsidP="003E261D">
      <w:pPr>
        <w:bidi/>
        <w:rPr>
          <w:highlight w:val="green"/>
        </w:rPr>
      </w:pPr>
      <w:r w:rsidRPr="00787323">
        <w:rPr>
          <w:rFonts w:cs="Arial"/>
          <w:highlight w:val="green"/>
          <w:rtl/>
        </w:rPr>
        <w:t>בחינה</w:t>
      </w:r>
      <w:r w:rsidR="00787323" w:rsidRPr="00787323">
        <w:rPr>
          <w:rFonts w:cs="Arial" w:hint="cs"/>
          <w:highlight w:val="green"/>
          <w:rtl/>
        </w:rPr>
        <w:t xml:space="preserve"> </w:t>
      </w:r>
      <w:r w:rsidRPr="00787323">
        <w:rPr>
          <w:rFonts w:cs="Arial"/>
          <w:highlight w:val="green"/>
          <w:rtl/>
        </w:rPr>
        <w:t>מדוקדקת של החומר מצביעה על ספק באשמת המבקש</w:t>
      </w:r>
      <w:r>
        <w:rPr>
          <w:rFonts w:cs="Arial"/>
          <w:rtl/>
        </w:rPr>
        <w:t>. משכך</w:t>
      </w:r>
      <w:r w:rsidRPr="00787323">
        <w:rPr>
          <w:rFonts w:cs="Arial"/>
          <w:highlight w:val="green"/>
          <w:rtl/>
        </w:rPr>
        <w:t>, איני רואה כל מקום להתערב</w:t>
      </w:r>
      <w:r w:rsidRPr="00787323">
        <w:rPr>
          <w:highlight w:val="green"/>
        </w:rPr>
        <w:t xml:space="preserve"> </w:t>
      </w:r>
    </w:p>
    <w:p w:rsidR="003E261D" w:rsidRPr="00787323" w:rsidRDefault="003E261D" w:rsidP="003E261D">
      <w:pPr>
        <w:bidi/>
        <w:rPr>
          <w:highlight w:val="green"/>
        </w:rPr>
      </w:pPr>
      <w:r w:rsidRPr="00787323">
        <w:rPr>
          <w:rFonts w:cs="Arial"/>
          <w:highlight w:val="green"/>
          <w:rtl/>
        </w:rPr>
        <w:t>בפסק-דינו</w:t>
      </w:r>
      <w:r w:rsidR="00787323" w:rsidRPr="00787323">
        <w:rPr>
          <w:rFonts w:cs="Arial" w:hint="cs"/>
          <w:highlight w:val="green"/>
          <w:rtl/>
        </w:rPr>
        <w:t xml:space="preserve"> </w:t>
      </w:r>
      <w:r w:rsidRPr="00787323">
        <w:rPr>
          <w:rFonts w:cs="Arial"/>
          <w:highlight w:val="green"/>
          <w:rtl/>
        </w:rPr>
        <w:t>של בית-המשפט המחוזי, בכל הנוגע להרשעת המבקש. דין הבקשה להידחות גם</w:t>
      </w:r>
      <w:r w:rsidRPr="00787323">
        <w:rPr>
          <w:highlight w:val="green"/>
        </w:rPr>
        <w:t xml:space="preserve"> </w:t>
      </w:r>
    </w:p>
    <w:p w:rsidR="003E261D" w:rsidRPr="00787323" w:rsidRDefault="003E261D" w:rsidP="003E261D">
      <w:pPr>
        <w:bidi/>
        <w:rPr>
          <w:highlight w:val="green"/>
        </w:rPr>
      </w:pPr>
      <w:r w:rsidRPr="00787323">
        <w:rPr>
          <w:rFonts w:cs="Arial"/>
          <w:highlight w:val="green"/>
          <w:rtl/>
        </w:rPr>
        <w:t>לעניין העונש.</w:t>
      </w:r>
      <w:r>
        <w:rPr>
          <w:rFonts w:cs="Arial"/>
          <w:rtl/>
        </w:rPr>
        <w:t xml:space="preserve"> הלכה</w:t>
      </w:r>
      <w:r w:rsidR="00787323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היא, כי טענות בנוגע לחומרת העונש כשלעצמה, </w:t>
      </w:r>
      <w:r w:rsidRPr="00787323">
        <w:rPr>
          <w:rFonts w:cs="Arial"/>
          <w:highlight w:val="green"/>
          <w:rtl/>
        </w:rPr>
        <w:t>אינן מקימות עילה</w:t>
      </w:r>
      <w:r w:rsidRPr="00787323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787323">
        <w:rPr>
          <w:rFonts w:cs="Arial"/>
          <w:highlight w:val="green"/>
          <w:rtl/>
        </w:rPr>
        <w:t>למתן רשות ערעור בפני</w:t>
      </w:r>
      <w:r w:rsidR="00787323">
        <w:rPr>
          <w:rFonts w:cs="Arial" w:hint="cs"/>
          <w:highlight w:val="green"/>
          <w:rtl/>
        </w:rPr>
        <w:t xml:space="preserve"> </w:t>
      </w:r>
      <w:r w:rsidRPr="00787323">
        <w:rPr>
          <w:rFonts w:cs="Arial"/>
          <w:highlight w:val="green"/>
          <w:rtl/>
        </w:rPr>
        <w:t>בית-משפט זה</w:t>
      </w:r>
      <w:r>
        <w:rPr>
          <w:rFonts w:cs="Arial"/>
          <w:rtl/>
        </w:rPr>
        <w:t>, אלא בנסיבות של סטייה ניכרת ממדיניות הענישה</w:t>
      </w:r>
      <w:r>
        <w:t xml:space="preserve"> </w:t>
      </w:r>
    </w:p>
    <w:p w:rsidR="003E261D" w:rsidRDefault="003E261D" w:rsidP="003E261D">
      <w:pPr>
        <w:bidi/>
      </w:pPr>
      <w:r>
        <w:t>(</w:t>
      </w:r>
      <w:r>
        <w:rPr>
          <w:rFonts w:cs="Arial"/>
          <w:rtl/>
        </w:rPr>
        <w:t xml:space="preserve">ראו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1174/97 עזרא </w:t>
      </w:r>
      <w:proofErr w:type="spellStart"/>
      <w:r>
        <w:rPr>
          <w:rFonts w:cs="Arial"/>
          <w:rtl/>
        </w:rPr>
        <w:t>רפאלינ</w:t>
      </w:r>
      <w:proofErr w:type="spellEnd"/>
      <w:r>
        <w:rPr>
          <w:rFonts w:cs="Arial"/>
          <w:rtl/>
        </w:rPr>
        <w:t xml:space="preserve">\' מדינת ישראל (לא פורסם);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7201/97 דב בשירי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נ\' היועץ</w:t>
      </w:r>
      <w:r w:rsidR="00787323">
        <w:rPr>
          <w:rFonts w:cs="Arial" w:hint="cs"/>
          <w:rtl/>
        </w:rPr>
        <w:t xml:space="preserve"> </w:t>
      </w:r>
      <w:r>
        <w:rPr>
          <w:rFonts w:cs="Arial"/>
          <w:rtl/>
        </w:rPr>
        <w:t>המשפטי לממשלה (לא פורסם)). בענייננו, העונש שהוטל על המבקש אינו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חורג</w:t>
      </w:r>
      <w:r w:rsidR="00787323">
        <w:rPr>
          <w:rFonts w:cs="Arial" w:hint="cs"/>
          <w:rtl/>
        </w:rPr>
        <w:t xml:space="preserve"> </w:t>
      </w:r>
      <w:r>
        <w:rPr>
          <w:rFonts w:cs="Arial"/>
          <w:rtl/>
        </w:rPr>
        <w:t>ממתחם הענישה המקובל בעבירות מהסוג שביצע ונסיבות המקרה אינן מצדיקות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התערבות</w:t>
      </w:r>
      <w:r w:rsidR="00787323">
        <w:rPr>
          <w:rFonts w:cs="Arial" w:hint="cs"/>
          <w:rtl/>
        </w:rPr>
        <w:t xml:space="preserve"> </w:t>
      </w:r>
      <w:r>
        <w:rPr>
          <w:rFonts w:cs="Arial"/>
          <w:rtl/>
        </w:rPr>
        <w:t>בית-משפט זה. לא זו בלבד שהמבקש התעלם מעונשי הפסילה שנגזרו עליו ושב לאחוז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בהגה,</w:t>
      </w:r>
      <w:r w:rsidR="00787323">
        <w:rPr>
          <w:rFonts w:cs="Arial" w:hint="cs"/>
          <w:rtl/>
        </w:rPr>
        <w:t xml:space="preserve"> </w:t>
      </w:r>
      <w:r>
        <w:rPr>
          <w:rFonts w:cs="Arial"/>
          <w:rtl/>
        </w:rPr>
        <w:t>ללא רישיון נהיגה וביטוח תקפים, אלא שהוסיף לכך גם את העבירה החמורה של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נהיגה</w:t>
      </w:r>
      <w:r w:rsidR="00787323">
        <w:rPr>
          <w:rFonts w:cs="Arial" w:hint="cs"/>
          <w:rtl/>
        </w:rPr>
        <w:t xml:space="preserve"> </w:t>
      </w:r>
      <w:r>
        <w:rPr>
          <w:rFonts w:cs="Arial"/>
          <w:rtl/>
        </w:rPr>
        <w:t>בשכרות. עם זאת, בכל הנוגע לעבירה של סירוב</w:t>
      </w:r>
      <w:r w:rsidR="00787323">
        <w:rPr>
          <w:rFonts w:cs="Arial" w:hint="cs"/>
          <w:rtl/>
        </w:rPr>
        <w:t xml:space="preserve"> </w:t>
      </w:r>
      <w:r>
        <w:rPr>
          <w:rFonts w:cs="Arial"/>
          <w:rtl/>
        </w:rPr>
        <w:t>להיבדק, לפי תקנה 169ו לתקנות</w:t>
      </w:r>
      <w:r>
        <w:t xml:space="preserve"> </w:t>
      </w:r>
    </w:p>
    <w:p w:rsidR="003E261D" w:rsidRPr="00787323" w:rsidRDefault="003E261D" w:rsidP="003E261D">
      <w:pPr>
        <w:bidi/>
        <w:rPr>
          <w:highlight w:val="green"/>
        </w:rPr>
      </w:pPr>
      <w:r>
        <w:rPr>
          <w:rFonts w:cs="Arial"/>
          <w:rtl/>
        </w:rPr>
        <w:t xml:space="preserve">התעבורה, לאור הסכמתה של המשיבה, </w:t>
      </w:r>
      <w:r w:rsidRPr="00787323">
        <w:rPr>
          <w:rFonts w:cs="Arial"/>
          <w:highlight w:val="green"/>
          <w:rtl/>
        </w:rPr>
        <w:t>הוחלט לדון בבקשה</w:t>
      </w:r>
      <w:r w:rsidR="00787323" w:rsidRPr="00787323">
        <w:rPr>
          <w:rFonts w:cs="Arial" w:hint="cs"/>
          <w:highlight w:val="green"/>
          <w:rtl/>
        </w:rPr>
        <w:t xml:space="preserve"> </w:t>
      </w:r>
      <w:r w:rsidRPr="00787323">
        <w:rPr>
          <w:rFonts w:cs="Arial"/>
          <w:highlight w:val="green"/>
          <w:rtl/>
        </w:rPr>
        <w:t>כאילו ניתנה רשות ערעור וכאילו</w:t>
      </w:r>
      <w:r w:rsidRPr="00787323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787323">
        <w:rPr>
          <w:rFonts w:cs="Arial"/>
          <w:highlight w:val="green"/>
          <w:rtl/>
        </w:rPr>
        <w:t>הוגש ערעור על-פי הרשות שניתנה, ולזכות את המבקש</w:t>
      </w:r>
      <w:r w:rsidR="00787323">
        <w:rPr>
          <w:rFonts w:cs="Arial" w:hint="cs"/>
          <w:highlight w:val="green"/>
          <w:rtl/>
        </w:rPr>
        <w:t xml:space="preserve"> </w:t>
      </w:r>
      <w:r w:rsidRPr="00787323">
        <w:rPr>
          <w:rFonts w:cs="Arial"/>
          <w:highlight w:val="green"/>
          <w:rtl/>
        </w:rPr>
        <w:t>מעבירה זו,</w:t>
      </w:r>
      <w:r>
        <w:rPr>
          <w:rFonts w:cs="Arial"/>
          <w:rtl/>
        </w:rPr>
        <w:t xml:space="preserve"> מתוקף סמכותנו לפי סעיף</w:t>
      </w:r>
      <w:r>
        <w:t xml:space="preserve"> </w:t>
      </w:r>
    </w:p>
    <w:p w:rsidR="003E261D" w:rsidRDefault="003E261D" w:rsidP="003E261D">
      <w:pPr>
        <w:bidi/>
      </w:pPr>
      <w:r>
        <w:t xml:space="preserve">205 </w:t>
      </w:r>
      <w:r>
        <w:rPr>
          <w:rFonts w:cs="Arial"/>
          <w:rtl/>
        </w:rPr>
        <w:t>לחוק סדר הדין הפלילי [נוסח משולב]</w:t>
      </w:r>
      <w:proofErr w:type="gramStart"/>
      <w:r>
        <w:rPr>
          <w:rFonts w:cs="Arial"/>
          <w:rtl/>
        </w:rPr>
        <w:t>,תשמ</w:t>
      </w:r>
      <w:proofErr w:type="gramEnd"/>
      <w:r>
        <w:rPr>
          <w:rFonts w:cs="Arial"/>
          <w:rtl/>
        </w:rPr>
        <w:t>"ב-1982. עם זאת, לאור התעלמותו של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בית-המשפט לתעבורה מעבירה זו בעת</w:t>
      </w:r>
      <w:r w:rsidR="00787323">
        <w:rPr>
          <w:rFonts w:cs="Arial" w:hint="cs"/>
          <w:rtl/>
        </w:rPr>
        <w:t xml:space="preserve"> </w:t>
      </w:r>
      <w:r>
        <w:rPr>
          <w:rFonts w:cs="Arial"/>
          <w:rtl/>
        </w:rPr>
        <w:t>גזירת-דינו של המבקש, הרי שאין לכך השפעה על העונש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שהוטל על המבקש. בכפוף לאמור לעיל, </w:t>
      </w:r>
      <w:r w:rsidRPr="00787323">
        <w:rPr>
          <w:rFonts w:cs="Arial"/>
          <w:highlight w:val="green"/>
          <w:rtl/>
        </w:rPr>
        <w:t>הבקשה למתן רשות ערעור</w:t>
      </w:r>
      <w:r w:rsidR="00787323" w:rsidRPr="00787323">
        <w:rPr>
          <w:rFonts w:cs="Arial" w:hint="cs"/>
          <w:highlight w:val="green"/>
          <w:rtl/>
        </w:rPr>
        <w:t xml:space="preserve"> </w:t>
      </w:r>
      <w:r w:rsidRPr="00787323">
        <w:rPr>
          <w:rFonts w:cs="Arial"/>
          <w:highlight w:val="green"/>
          <w:rtl/>
        </w:rPr>
        <w:t>נדחית</w:t>
      </w:r>
      <w:r>
        <w:rPr>
          <w:rFonts w:cs="Arial"/>
          <w:rtl/>
        </w:rPr>
        <w:t>. החלטתי מיום</w:t>
      </w:r>
      <w:r>
        <w:t xml:space="preserve"> </w:t>
      </w:r>
    </w:p>
    <w:p w:rsidR="003E261D" w:rsidRDefault="003E261D" w:rsidP="003E261D">
      <w:pPr>
        <w:bidi/>
      </w:pPr>
      <w:r>
        <w:t xml:space="preserve">21.11.2005 </w:t>
      </w:r>
      <w:r w:rsidRPr="00787323">
        <w:rPr>
          <w:rFonts w:cs="Arial"/>
          <w:highlight w:val="green"/>
          <w:rtl/>
        </w:rPr>
        <w:t>בעניין עיכוב</w:t>
      </w:r>
      <w:r w:rsidR="00787323" w:rsidRPr="00787323">
        <w:rPr>
          <w:rFonts w:cs="Arial" w:hint="cs"/>
          <w:highlight w:val="green"/>
          <w:rtl/>
        </w:rPr>
        <w:t xml:space="preserve"> </w:t>
      </w:r>
      <w:r w:rsidRPr="00787323">
        <w:rPr>
          <w:rFonts w:cs="Arial"/>
          <w:highlight w:val="green"/>
          <w:rtl/>
        </w:rPr>
        <w:t>ביצוע עונש המאסר – מבוטלת</w:t>
      </w:r>
      <w:r>
        <w:rPr>
          <w:rFonts w:cs="Arial"/>
          <w:rtl/>
        </w:rPr>
        <w:t>. על המבקש להתייצב ביום</w:t>
      </w:r>
      <w:r>
        <w:t xml:space="preserve"> </w:t>
      </w:r>
    </w:p>
    <w:p w:rsidR="003E261D" w:rsidRDefault="003E261D" w:rsidP="003E261D">
      <w:pPr>
        <w:bidi/>
      </w:pPr>
      <w:r>
        <w:t xml:space="preserve">4.7.2006, </w:t>
      </w:r>
      <w:proofErr w:type="spellStart"/>
      <w:r>
        <w:rPr>
          <w:rFonts w:cs="Arial"/>
          <w:rtl/>
        </w:rPr>
        <w:t>לאיאוחר</w:t>
      </w:r>
      <w:proofErr w:type="spellEnd"/>
      <w:r>
        <w:rPr>
          <w:rFonts w:cs="Arial"/>
          <w:rtl/>
        </w:rPr>
        <w:t xml:space="preserve"> מהשעה 10:00, במזכירות בית-המשפט המחוזי בתל-אביב-יפו, לשם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תחילת ריצו</w:t>
      </w:r>
      <w:r w:rsidR="00F313C8">
        <w:rPr>
          <w:rFonts w:cs="Arial" w:hint="cs"/>
          <w:rtl/>
        </w:rPr>
        <w:t xml:space="preserve"> </w:t>
      </w:r>
      <w:r>
        <w:rPr>
          <w:rFonts w:cs="Arial"/>
          <w:rtl/>
        </w:rPr>
        <w:t>עונשו. ניתנה היום, ט"ז בסיוון תשס"ו(12.6.2006). ש ו פ ט ש ו פט ת ש 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פ ט _________________________העותק כפוף לשינויי עריכה וניסוח. 05107580</w:t>
      </w:r>
      <w:r>
        <w:t xml:space="preserve">_H06.doc </w:t>
      </w:r>
    </w:p>
    <w:p w:rsidR="003E261D" w:rsidRDefault="003E261D" w:rsidP="003E261D">
      <w:pPr>
        <w:bidi/>
      </w:pPr>
      <w:proofErr w:type="spellStart"/>
      <w:r>
        <w:rPr>
          <w:rFonts w:cs="Arial"/>
          <w:rtl/>
        </w:rPr>
        <w:t>דממרכז</w:t>
      </w:r>
      <w:proofErr w:type="spellEnd"/>
      <w:r>
        <w:rPr>
          <w:rFonts w:cs="Arial"/>
          <w:rtl/>
        </w:rPr>
        <w:t xml:space="preserve"> מידע, טל\' 02-6593666 ; אתר אינטרנט</w:t>
      </w:r>
      <w:r>
        <w:t>, www.court.gov.il ']</w:t>
      </w:r>
    </w:p>
    <w:p w:rsidR="003E261D" w:rsidRDefault="003E261D" w:rsidP="003E261D">
      <w:pPr>
        <w:bidi/>
      </w:pPr>
      <w:r>
        <w:t>--------------------------------------------------------------------------------</w:t>
      </w:r>
    </w:p>
    <w:p w:rsidR="003E261D" w:rsidRDefault="003E261D" w:rsidP="003E261D">
      <w:pPr>
        <w:bidi/>
      </w:pPr>
    </w:p>
    <w:p w:rsidR="003E261D" w:rsidRPr="007F7376" w:rsidRDefault="003E261D" w:rsidP="003E261D">
      <w:pPr>
        <w:bidi/>
        <w:rPr>
          <w:b/>
          <w:bCs/>
          <w:u w:val="single"/>
          <w:rtl/>
        </w:rPr>
      </w:pPr>
      <w:r w:rsidRPr="007F7376">
        <w:rPr>
          <w:b/>
          <w:bCs/>
          <w:u w:val="single"/>
        </w:rPr>
        <w:t>Case 3:</w:t>
      </w:r>
    </w:p>
    <w:p w:rsidR="003E261D" w:rsidRDefault="003E261D" w:rsidP="003E261D">
      <w:pPr>
        <w:bidi/>
        <w:rPr>
          <w:rFonts w:hint="cs"/>
          <w:rtl/>
        </w:rPr>
      </w:pPr>
      <w:r w:rsidRPr="00AA44BC">
        <w:rPr>
          <w:rFonts w:hint="cs"/>
          <w:highlight w:val="yellow"/>
          <w:rtl/>
        </w:rPr>
        <w:t xml:space="preserve">לא ברור </w:t>
      </w:r>
      <w:r w:rsidR="007F7376">
        <w:rPr>
          <w:rFonts w:hint="cs"/>
          <w:highlight w:val="yellow"/>
          <w:rtl/>
        </w:rPr>
        <w:t xml:space="preserve">לי </w:t>
      </w:r>
      <w:r w:rsidRPr="00AA44BC">
        <w:rPr>
          <w:rFonts w:hint="cs"/>
          <w:highlight w:val="yellow"/>
          <w:rtl/>
        </w:rPr>
        <w:t>מה קרה בפועל</w:t>
      </w:r>
      <w:r w:rsidR="000F4B89">
        <w:t xml:space="preserve"> </w:t>
      </w:r>
      <w:r w:rsidR="000F4B89">
        <w:rPr>
          <w:rtl/>
        </w:rPr>
        <w:t>–</w:t>
      </w:r>
      <w:r w:rsidR="000F4B89">
        <w:rPr>
          <w:rFonts w:hint="cs"/>
          <w:rtl/>
        </w:rPr>
        <w:t xml:space="preserve"> האם בכלל רשות ערעור?</w:t>
      </w:r>
      <w:bookmarkStart w:id="0" w:name="_GoBack"/>
      <w:bookmarkEnd w:id="0"/>
    </w:p>
    <w:p w:rsidR="003E261D" w:rsidRDefault="003E261D" w:rsidP="003E261D">
      <w:pPr>
        <w:bidi/>
      </w:pPr>
      <w:r>
        <w:t>--------------------------------------------------------------------------------</w:t>
      </w:r>
    </w:p>
    <w:p w:rsidR="003E261D" w:rsidRDefault="003E261D" w:rsidP="003E261D">
      <w:pPr>
        <w:bidi/>
      </w:pPr>
      <w:r>
        <w:t>Index in Original Data:</w:t>
      </w:r>
    </w:p>
    <w:p w:rsidR="003E261D" w:rsidRDefault="003E261D" w:rsidP="003E261D">
      <w:pPr>
        <w:bidi/>
      </w:pPr>
      <w:r>
        <w:t>115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Original Outcome of Case:</w:t>
      </w:r>
    </w:p>
    <w:p w:rsidR="003E261D" w:rsidRDefault="003E261D" w:rsidP="003E261D">
      <w:pPr>
        <w:bidi/>
      </w:pPr>
      <w:r>
        <w:t>G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Binary Outcome (True Label):</w:t>
      </w:r>
    </w:p>
    <w:p w:rsidR="003E261D" w:rsidRDefault="003E261D" w:rsidP="003E261D">
      <w:pPr>
        <w:bidi/>
      </w:pPr>
      <w:r>
        <w:t>1.0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Predicted Label:</w:t>
      </w:r>
    </w:p>
    <w:p w:rsidR="003E261D" w:rsidRDefault="003E261D" w:rsidP="003E261D">
      <w:pPr>
        <w:bidi/>
      </w:pPr>
      <w:r>
        <w:t>0.0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Formatted Text:</w:t>
      </w:r>
    </w:p>
    <w:p w:rsidR="003E261D" w:rsidRDefault="003E261D" w:rsidP="003E261D">
      <w:pPr>
        <w:bidi/>
      </w:pPr>
      <w:r>
        <w:t>['</w:t>
      </w:r>
      <w:r>
        <w:rPr>
          <w:rFonts w:cs="Arial"/>
          <w:rtl/>
        </w:rPr>
        <w:t xml:space="preserve">החלטה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7105/06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7105/06 בפני: כבוד השופט א</w:t>
      </w:r>
      <w:r>
        <w:t xml:space="preserve">\' </w:t>
      </w:r>
    </w:p>
    <w:p w:rsidR="003E261D" w:rsidRDefault="003E261D" w:rsidP="003E261D">
      <w:pPr>
        <w:bidi/>
      </w:pPr>
      <w:proofErr w:type="spellStart"/>
      <w:r>
        <w:rPr>
          <w:rFonts w:cs="Arial"/>
          <w:rtl/>
        </w:rPr>
        <w:t>גרוניס</w:t>
      </w:r>
      <w:proofErr w:type="spellEnd"/>
      <w:r>
        <w:rPr>
          <w:rFonts w:cs="Arial"/>
          <w:rtl/>
        </w:rPr>
        <w:t xml:space="preserve"> כבוד השופט ס\' ג\'ובראן כבוד השופטת ד\' </w:t>
      </w:r>
      <w:proofErr w:type="spellStart"/>
      <w:r>
        <w:rPr>
          <w:rFonts w:cs="Arial"/>
          <w:rtl/>
        </w:rPr>
        <w:t>ברלינר</w:t>
      </w:r>
      <w:proofErr w:type="spellEnd"/>
      <w:r>
        <w:rPr>
          <w:rFonts w:cs="Arial"/>
          <w:rtl/>
        </w:rPr>
        <w:t xml:space="preserve"> המבקש: דב יהלום נגד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המשיבים: 1. מדינת ישראל החלטה בהמשך להחלטתנו מיום 1.3.07, יש לקבוע מועד לתחילת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ביצועו של השירות לתועלת הציבור. שירות המבחן יודיע עמדתו בעניין תוך 15 ימים</w:t>
      </w:r>
      <w:r>
        <w:t xml:space="preserve">. </w:t>
      </w:r>
    </w:p>
    <w:p w:rsidR="003E261D" w:rsidRDefault="003E261D" w:rsidP="003E261D">
      <w:pPr>
        <w:bidi/>
      </w:pPr>
      <w:r>
        <w:rPr>
          <w:rFonts w:cs="Arial"/>
          <w:rtl/>
        </w:rPr>
        <w:t>המשיבה תודיע עמדתה בנושא תוך 15 ימים נוספים. לאחר מכן יגיש המבקש הודעה בעניין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וזאת תוך 15 ימים מעת שתומצא לו הודעת המשיבה. ניתנה היום, ט"ז באדר </w:t>
      </w:r>
      <w:proofErr w:type="spellStart"/>
      <w:r>
        <w:rPr>
          <w:rFonts w:cs="Arial"/>
          <w:rtl/>
        </w:rPr>
        <w:t>התשס"ז</w:t>
      </w:r>
      <w:proofErr w:type="spellEnd"/>
      <w:r>
        <w:t xml:space="preserve"> </w:t>
      </w:r>
    </w:p>
    <w:p w:rsidR="003E261D" w:rsidRDefault="003E261D" w:rsidP="003E261D">
      <w:pPr>
        <w:bidi/>
      </w:pPr>
      <w:r>
        <w:t xml:space="preserve">(6.3.2007). </w:t>
      </w:r>
      <w:r>
        <w:rPr>
          <w:rFonts w:cs="Arial"/>
          <w:rtl/>
        </w:rPr>
        <w:t>ש ו פ ט ש ו פ ט ש ו פ ט ת _________________________ העותק כפוף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לשינויי עריכה וניסוח. 06071050</w:t>
      </w:r>
      <w:r>
        <w:t xml:space="preserve">_S04.doc </w:t>
      </w:r>
      <w:proofErr w:type="spellStart"/>
      <w:r>
        <w:rPr>
          <w:rFonts w:cs="Arial"/>
          <w:rtl/>
        </w:rPr>
        <w:t>גק</w:t>
      </w:r>
      <w:proofErr w:type="spellEnd"/>
      <w:r>
        <w:rPr>
          <w:rFonts w:cs="Arial"/>
          <w:rtl/>
        </w:rPr>
        <w:t xml:space="preserve"> מרכז מידע, טל\' 02-6593666 ; אתר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אינטרנט</w:t>
      </w:r>
      <w:r>
        <w:t>, www.court.gov.il']</w:t>
      </w:r>
    </w:p>
    <w:p w:rsidR="003E261D" w:rsidRDefault="003E261D" w:rsidP="003E261D">
      <w:pPr>
        <w:bidi/>
      </w:pPr>
      <w:r>
        <w:t>--------------------------------------------------------------------------------</w:t>
      </w:r>
    </w:p>
    <w:p w:rsidR="003E261D" w:rsidRDefault="003E261D" w:rsidP="003E261D">
      <w:pPr>
        <w:bidi/>
      </w:pPr>
    </w:p>
    <w:p w:rsidR="007F7376" w:rsidRDefault="003E261D" w:rsidP="007F7376">
      <w:pPr>
        <w:bidi/>
        <w:rPr>
          <w:rtl/>
        </w:rPr>
      </w:pPr>
      <w:r w:rsidRPr="007F7376">
        <w:rPr>
          <w:b/>
          <w:bCs/>
          <w:u w:val="single"/>
        </w:rPr>
        <w:t>Case 4:</w:t>
      </w:r>
    </w:p>
    <w:p w:rsidR="003E261D" w:rsidRDefault="0060526B" w:rsidP="007F7376">
      <w:pPr>
        <w:bidi/>
      </w:pPr>
      <w:r w:rsidRPr="0060526B">
        <w:rPr>
          <w:rFonts w:hint="cs"/>
          <w:highlight w:val="yellow"/>
          <w:rtl/>
        </w:rPr>
        <w:t>התקבלה רשות הערעור</w:t>
      </w:r>
    </w:p>
    <w:p w:rsidR="003E261D" w:rsidRDefault="003E261D" w:rsidP="003E261D">
      <w:pPr>
        <w:bidi/>
      </w:pPr>
      <w:r>
        <w:t>--------------------------------------------------------------------------------</w:t>
      </w:r>
    </w:p>
    <w:p w:rsidR="003E261D" w:rsidRDefault="003E261D" w:rsidP="003E261D">
      <w:pPr>
        <w:bidi/>
      </w:pPr>
      <w:r>
        <w:t>Index in Original Data:</w:t>
      </w:r>
    </w:p>
    <w:p w:rsidR="003E261D" w:rsidRDefault="003E261D" w:rsidP="003E261D">
      <w:pPr>
        <w:bidi/>
      </w:pPr>
      <w:r>
        <w:t>170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Original Outcome of Case:</w:t>
      </w:r>
    </w:p>
    <w:p w:rsidR="003E261D" w:rsidRDefault="003E261D" w:rsidP="003E261D">
      <w:pPr>
        <w:bidi/>
      </w:pPr>
      <w:r>
        <w:t>G R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Binary Outcome (True Label):</w:t>
      </w:r>
    </w:p>
    <w:p w:rsidR="003E261D" w:rsidRDefault="003E261D" w:rsidP="003E261D">
      <w:pPr>
        <w:bidi/>
      </w:pPr>
      <w:r>
        <w:t>1.0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Predicted Label:</w:t>
      </w:r>
    </w:p>
    <w:p w:rsidR="003E261D" w:rsidRDefault="003E261D" w:rsidP="003E261D">
      <w:pPr>
        <w:bidi/>
      </w:pPr>
      <w:r>
        <w:t>0.0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Formatted Text:</w:t>
      </w:r>
    </w:p>
    <w:p w:rsidR="003E261D" w:rsidRDefault="003E261D" w:rsidP="003E261D">
      <w:pPr>
        <w:bidi/>
      </w:pPr>
      <w:r>
        <w:t>['</w:t>
      </w:r>
      <w:r>
        <w:rPr>
          <w:rFonts w:cs="Arial"/>
          <w:rtl/>
        </w:rPr>
        <w:t xml:space="preserve">החלטה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10313/06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10313/06 בפני: כבוד השופטת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א\' </w:t>
      </w:r>
      <w:proofErr w:type="spellStart"/>
      <w:r>
        <w:rPr>
          <w:rFonts w:cs="Arial"/>
          <w:rtl/>
        </w:rPr>
        <w:t>פרוקצ</w:t>
      </w:r>
      <w:proofErr w:type="spellEnd"/>
      <w:r>
        <w:rPr>
          <w:rFonts w:cs="Arial"/>
          <w:rtl/>
        </w:rPr>
        <w:t xml:space="preserve">\'יה כבוד השופטת ע\' ארבל כבוד השופט ס\' ג\'ובראן המבקש: חיים </w:t>
      </w:r>
      <w:proofErr w:type="spellStart"/>
      <w:r>
        <w:rPr>
          <w:rFonts w:cs="Arial"/>
          <w:rtl/>
        </w:rPr>
        <w:t>אמויאל</w:t>
      </w:r>
      <w:proofErr w:type="spellEnd"/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נגד המשיבה: מדינת ישראל בקשת רשות ערעור על פסק-דינו של בית המשפט המחוזי בחיפה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מיום 13.11.06 בע"פ 1050/06 שניתן על-ידי כבוד השופט מ\' פינקלשטיין בשם המבקש</w:t>
      </w:r>
      <w:r>
        <w:t xml:space="preserve">: </w:t>
      </w:r>
    </w:p>
    <w:p w:rsidR="003E261D" w:rsidRDefault="003E261D" w:rsidP="003E261D">
      <w:pPr>
        <w:bidi/>
      </w:pPr>
      <w:r>
        <w:rPr>
          <w:rFonts w:cs="Arial"/>
          <w:rtl/>
        </w:rPr>
        <w:t>עו"ד זהבית ברזילי בשם המשיבה: עו"ד עמית אופק פסק דין השופט ס\' ג\'ובראן: המבקש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הועמד לדין בבית-משפט לתעבורה בחדרה בגין עבירה של נהיגה ללא ר</w:t>
      </w:r>
      <w:r w:rsidR="00841E1E">
        <w:rPr>
          <w:rFonts w:cs="Arial" w:hint="cs"/>
          <w:rtl/>
        </w:rPr>
        <w:t>י</w:t>
      </w:r>
      <w:r>
        <w:rPr>
          <w:rFonts w:cs="Arial"/>
          <w:rtl/>
        </w:rPr>
        <w:t>שיון נהיגה וללא</w:t>
      </w:r>
      <w:r>
        <w:t xml:space="preserve"> </w:t>
      </w:r>
    </w:p>
    <w:p w:rsidR="003E261D" w:rsidRDefault="003E261D" w:rsidP="003E261D">
      <w:pPr>
        <w:bidi/>
      </w:pPr>
      <w:proofErr w:type="spellStart"/>
      <w:r>
        <w:rPr>
          <w:rFonts w:cs="Arial"/>
          <w:rtl/>
        </w:rPr>
        <w:t>רשיון</w:t>
      </w:r>
      <w:proofErr w:type="spellEnd"/>
      <w:r>
        <w:rPr>
          <w:rFonts w:cs="Arial"/>
          <w:rtl/>
        </w:rPr>
        <w:t xml:space="preserve"> רכב. בנוסף, צירף המבקש שלושה תיקי תעבורה נוספים בהם הואשם בעבירות של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נהיגה ללא </w:t>
      </w:r>
      <w:proofErr w:type="spellStart"/>
      <w:r>
        <w:rPr>
          <w:rFonts w:cs="Arial"/>
          <w:rtl/>
        </w:rPr>
        <w:t>רשיון</w:t>
      </w:r>
      <w:proofErr w:type="spellEnd"/>
      <w:r>
        <w:rPr>
          <w:rFonts w:cs="Arial"/>
          <w:rtl/>
        </w:rPr>
        <w:t xml:space="preserve"> וכן בעבירה של נסיעה מעל המהירות המותרת. ביום 31.5.06 הורשע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המבקש, בעקבות הודאתו, בעבירות שיוחסו לו והוטל עליו עונש של 1,500 ש"ח קנס, פסילת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רישיון הנהיגה לתקופה של שישה חודשים וכן שישה חודשי פסילה על תנאי לתקופה של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שנתיים. כמו-כן, קבע בית המשפט כי תקופת הפסילה בפועל תיכנס לתוקפה רק ביום</w:t>
      </w:r>
      <w:r>
        <w:t xml:space="preserve"> </w:t>
      </w:r>
    </w:p>
    <w:p w:rsidR="003E261D" w:rsidRDefault="003E261D" w:rsidP="003E261D">
      <w:pPr>
        <w:bidi/>
      </w:pPr>
      <w:r>
        <w:t xml:space="preserve">18.11.06 </w:t>
      </w:r>
      <w:r>
        <w:rPr>
          <w:rFonts w:cs="Arial"/>
          <w:rtl/>
        </w:rPr>
        <w:t>וזאת היות ובאחד התיקים בהם הורשע המבקש, בבית-המשפט לתעבורה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בתל-אביב-יפו, נשפט הוא כבר בעבר ונידון לעונש פסילה של כ-11 חודשים שהחל ביום</w:t>
      </w:r>
      <w:r>
        <w:t xml:space="preserve"> </w:t>
      </w:r>
    </w:p>
    <w:p w:rsidR="003E261D" w:rsidRDefault="003E261D" w:rsidP="003E261D">
      <w:pPr>
        <w:bidi/>
      </w:pPr>
      <w:r>
        <w:t xml:space="preserve">28.11.05. </w:t>
      </w:r>
      <w:r>
        <w:rPr>
          <w:rFonts w:cs="Arial"/>
          <w:rtl/>
        </w:rPr>
        <w:t>חשוב לציין, כי פסק דינו של בית-המשפט לתעבורה בתל-אביב-יפו, שניתן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בהיעדרו של המבקש, בוטל בחודש מאי 2006 בעקבות בקשה שהגיש לביטול פסק-הדין. המבקש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ערער לבית-המשפט המחוזי בגין החלטתו של בית-המשפט לתעבורה, לפיה הפסילה תתחיל מיום</w:t>
      </w:r>
      <w:r>
        <w:t xml:space="preserve"> </w:t>
      </w:r>
    </w:p>
    <w:p w:rsidR="003E261D" w:rsidRDefault="003E261D" w:rsidP="003E261D">
      <w:pPr>
        <w:bidi/>
      </w:pPr>
      <w:r>
        <w:t xml:space="preserve">18.11.06. </w:t>
      </w:r>
      <w:r>
        <w:rPr>
          <w:rFonts w:cs="Arial"/>
          <w:rtl/>
        </w:rPr>
        <w:t xml:space="preserve">בית-המשפט המחוזי (כבוד השופט מ\' פינקלשטיין) </w:t>
      </w:r>
      <w:r w:rsidRPr="00561127">
        <w:rPr>
          <w:rFonts w:cs="Arial"/>
          <w:highlight w:val="green"/>
          <w:rtl/>
        </w:rPr>
        <w:t>דחה את הערעור,</w:t>
      </w:r>
      <w:r>
        <w:rPr>
          <w:rFonts w:cs="Arial"/>
          <w:rtl/>
        </w:rPr>
        <w:t xml:space="preserve"> בציינו כי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שופט בית-המשפט לתעבורה התחשב בכך שהמבקש היה פסול מלנהוג עד לחודש מאי 2006, וזאת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למרות שעונש הפסילה שהוטל עליו בבית-המשפט לתעבורה בתל-אביב-יפו בוטל. כמו-כן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ציין בית-המשפט המחוזי כי המבקש היה במאסר עד לחודש אפריל 2006. מכאן בקשת רשות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הערעור שבפניי, אשר במסגרתה טוען המבקש, כי יש לקזז את התקופה בה היה פסול מלנהוג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מן העונש שהוטל עליו בבית-המשפט לתעבורה בחדרה היות וריצה את עונש הפסילה שהוטל</w:t>
      </w:r>
      <w:r>
        <w:t xml:space="preserve"> </w:t>
      </w:r>
    </w:p>
    <w:p w:rsidR="003E261D" w:rsidRPr="00561127" w:rsidRDefault="003E261D" w:rsidP="003E261D">
      <w:pPr>
        <w:bidi/>
        <w:rPr>
          <w:highlight w:val="green"/>
        </w:rPr>
      </w:pPr>
      <w:r>
        <w:rPr>
          <w:rFonts w:cs="Arial"/>
          <w:rtl/>
        </w:rPr>
        <w:t xml:space="preserve">עליו על-ידי בית-המשפט לתעבורה בתל-אביב-יפו, למרות </w:t>
      </w:r>
      <w:r w:rsidRPr="00561127">
        <w:rPr>
          <w:rFonts w:cs="Arial"/>
          <w:highlight w:val="green"/>
          <w:rtl/>
        </w:rPr>
        <w:t>שגזר-הדין בוטל על-ידי</w:t>
      </w:r>
      <w:r w:rsidRPr="00561127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561127">
        <w:rPr>
          <w:rFonts w:cs="Arial"/>
          <w:highlight w:val="green"/>
          <w:rtl/>
        </w:rPr>
        <w:t>בית-המשפט</w:t>
      </w:r>
      <w:r>
        <w:rPr>
          <w:rFonts w:cs="Arial"/>
          <w:rtl/>
        </w:rPr>
        <w:t>. המשיבה, בתגובתה מיום 14.1.07, הודיעה כי היא מסכימה להחשיב את החודשים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שבהם היה המבקש בפסילה בפועל ולקזז אותם מחודשי הפסילה שהוטלו עליו על-ידי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בית-המשפט לתעבורה בחדרה וזאת למעט התקופה בה היה במאסר, מיום 28.11.05 עד ליום</w:t>
      </w:r>
      <w:r>
        <w:t xml:space="preserve"> </w:t>
      </w:r>
    </w:p>
    <w:p w:rsidR="003E261D" w:rsidRDefault="003E261D" w:rsidP="003E261D">
      <w:pPr>
        <w:bidi/>
      </w:pPr>
      <w:r>
        <w:t xml:space="preserve">1.4.06. </w:t>
      </w:r>
      <w:r>
        <w:rPr>
          <w:rFonts w:cs="Arial"/>
          <w:rtl/>
        </w:rPr>
        <w:t>ביום 8.2.07, הודיע המבקש, כי הוא מסכים לאמור בתגובת המשיבה ומסכים לכך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שחודשי הפסילה יחושבו מיום שחרורו ממאסר בלבד, דהיינו, מיום 2.4.06. לאור האמור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בתגובת המשיבה ובתגובת המבקש לתגובת המשיבה, </w:t>
      </w:r>
      <w:r w:rsidRPr="003E261D">
        <w:rPr>
          <w:rFonts w:cs="Arial"/>
          <w:highlight w:val="green"/>
          <w:rtl/>
        </w:rPr>
        <w:t>החלטנו לתת רשות ערעור</w:t>
      </w:r>
      <w:r>
        <w:rPr>
          <w:rFonts w:cs="Arial"/>
          <w:rtl/>
        </w:rPr>
        <w:t>, לדון בבקשה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כבערעור לגופו </w:t>
      </w:r>
      <w:r w:rsidRPr="003E261D">
        <w:rPr>
          <w:rFonts w:cs="Arial"/>
          <w:highlight w:val="green"/>
          <w:rtl/>
        </w:rPr>
        <w:t>ולקבל את הערעור</w:t>
      </w:r>
      <w:r>
        <w:rPr>
          <w:rFonts w:cs="Arial"/>
          <w:rtl/>
        </w:rPr>
        <w:t xml:space="preserve"> באופן שחודשי הפסילה אותם ריצה המבקש מיום 2.4.06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ועד יום 18.11.06 יחושבו במניין חודשי הפסילה שהוטלו עליו על-ידי בית-משפט השלום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בחדרה ביום 31.5.06. ניתן היום, כ"ד בשבט </w:t>
      </w:r>
      <w:proofErr w:type="spellStart"/>
      <w:r>
        <w:rPr>
          <w:rFonts w:cs="Arial"/>
          <w:rtl/>
        </w:rPr>
        <w:t>התשס"ז</w:t>
      </w:r>
      <w:proofErr w:type="spellEnd"/>
      <w:r>
        <w:rPr>
          <w:rFonts w:cs="Arial"/>
          <w:rtl/>
        </w:rPr>
        <w:t xml:space="preserve"> (18.2.2007). ש ו פ ט ת ש ו פ ט 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 ו פ ט ________________________ העותק כפוף לשינויי עריכה וניסוח</w:t>
      </w:r>
      <w:r>
        <w:t xml:space="preserve">. </w:t>
      </w:r>
    </w:p>
    <w:p w:rsidR="003E261D" w:rsidRDefault="003E261D" w:rsidP="003E261D">
      <w:pPr>
        <w:bidi/>
      </w:pPr>
      <w:r>
        <w:t>06103130_H03.doc /</w:t>
      </w:r>
      <w:proofErr w:type="spellStart"/>
      <w:r>
        <w:rPr>
          <w:rFonts w:cs="Arial"/>
          <w:rtl/>
        </w:rPr>
        <w:t>צש</w:t>
      </w:r>
      <w:proofErr w:type="spellEnd"/>
      <w:r>
        <w:rPr>
          <w:rFonts w:cs="Arial"/>
          <w:rtl/>
        </w:rPr>
        <w:t xml:space="preserve"> מרכז מידע, טל\' 02-</w:t>
      </w:r>
      <w:proofErr w:type="gramStart"/>
      <w:r>
        <w:rPr>
          <w:rFonts w:cs="Arial"/>
          <w:rtl/>
        </w:rPr>
        <w:t>6593666 ;</w:t>
      </w:r>
      <w:proofErr w:type="gramEnd"/>
      <w:r>
        <w:rPr>
          <w:rFonts w:cs="Arial"/>
          <w:rtl/>
        </w:rPr>
        <w:t xml:space="preserve"> אתר אינטרנט</w:t>
      </w:r>
      <w:r>
        <w:t xml:space="preserve">, </w:t>
      </w:r>
    </w:p>
    <w:p w:rsidR="003E261D" w:rsidRDefault="003E261D" w:rsidP="003E261D">
      <w:pPr>
        <w:bidi/>
      </w:pPr>
      <w:r>
        <w:t>www.court.gov.il']</w:t>
      </w:r>
    </w:p>
    <w:p w:rsidR="003E261D" w:rsidRDefault="003E261D" w:rsidP="003E261D">
      <w:pPr>
        <w:bidi/>
      </w:pPr>
      <w:r>
        <w:t>--------------------------------------------------------------------------------</w:t>
      </w:r>
    </w:p>
    <w:p w:rsidR="003E261D" w:rsidRDefault="003E261D" w:rsidP="003E261D">
      <w:pPr>
        <w:bidi/>
      </w:pPr>
    </w:p>
    <w:p w:rsidR="003E261D" w:rsidRDefault="003E261D" w:rsidP="003E261D">
      <w:pPr>
        <w:bidi/>
        <w:rPr>
          <w:rtl/>
        </w:rPr>
      </w:pPr>
      <w:r>
        <w:t>Case 5:</w:t>
      </w:r>
    </w:p>
    <w:p w:rsidR="003E261D" w:rsidRPr="002D0F64" w:rsidRDefault="00841E1E" w:rsidP="003E261D">
      <w:pPr>
        <w:bidi/>
        <w:rPr>
          <w:b/>
          <w:bCs/>
          <w:u w:val="single"/>
        </w:rPr>
      </w:pPr>
      <w:r w:rsidRPr="002D0F64">
        <w:rPr>
          <w:rFonts w:hint="cs"/>
          <w:b/>
          <w:bCs/>
          <w:u w:val="single"/>
          <w:rtl/>
        </w:rPr>
        <w:t xml:space="preserve">המודל ככל הנראה התבלבל, מכיוון שמדובר בהסכמה </w:t>
      </w:r>
      <w:r w:rsidRPr="002D0F64">
        <w:rPr>
          <w:rFonts w:hint="cs"/>
          <w:b/>
          <w:bCs/>
          <w:highlight w:val="yellow"/>
          <w:u w:val="single"/>
          <w:rtl/>
        </w:rPr>
        <w:t>לדחיית</w:t>
      </w:r>
      <w:r w:rsidRPr="002D0F64">
        <w:rPr>
          <w:rFonts w:hint="cs"/>
          <w:b/>
          <w:bCs/>
          <w:u w:val="single"/>
          <w:rtl/>
        </w:rPr>
        <w:t xml:space="preserve"> ריצוי העונש.</w:t>
      </w:r>
    </w:p>
    <w:p w:rsidR="003E261D" w:rsidRDefault="003E261D" w:rsidP="003E261D">
      <w:pPr>
        <w:bidi/>
      </w:pPr>
      <w:r>
        <w:t>--------------------------------------------------------------------------------</w:t>
      </w:r>
    </w:p>
    <w:p w:rsidR="003E261D" w:rsidRDefault="003E261D" w:rsidP="003E261D">
      <w:pPr>
        <w:bidi/>
      </w:pPr>
      <w:r>
        <w:t>Index in Original Data:</w:t>
      </w:r>
    </w:p>
    <w:p w:rsidR="003E261D" w:rsidRDefault="003E261D" w:rsidP="003E261D">
      <w:pPr>
        <w:bidi/>
      </w:pPr>
      <w:r>
        <w:t>282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Original Outcome of Case:</w:t>
      </w:r>
    </w:p>
    <w:p w:rsidR="003E261D" w:rsidRDefault="003E261D" w:rsidP="003E261D">
      <w:pPr>
        <w:bidi/>
      </w:pPr>
      <w:r>
        <w:t>G A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Binary Outcome (True Label):</w:t>
      </w:r>
    </w:p>
    <w:p w:rsidR="003E261D" w:rsidRDefault="003E261D" w:rsidP="003E261D">
      <w:pPr>
        <w:bidi/>
      </w:pPr>
      <w:r>
        <w:t>1.0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Predicted Label:</w:t>
      </w:r>
    </w:p>
    <w:p w:rsidR="003E261D" w:rsidRDefault="003E261D" w:rsidP="003E261D">
      <w:pPr>
        <w:bidi/>
      </w:pPr>
      <w:r>
        <w:t>0.0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Formatted Text:</w:t>
      </w:r>
    </w:p>
    <w:p w:rsidR="003E261D" w:rsidRDefault="003E261D" w:rsidP="003E261D">
      <w:pPr>
        <w:bidi/>
      </w:pPr>
      <w:r>
        <w:t>['</w:t>
      </w:r>
      <w:r>
        <w:rPr>
          <w:rFonts w:cs="Arial"/>
          <w:rtl/>
        </w:rPr>
        <w:t xml:space="preserve">החלטה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3884/06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3884/06 - ו\' בפני: כבוד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השופטת ע\' ארבל המבקש: פיטר </w:t>
      </w:r>
      <w:proofErr w:type="spellStart"/>
      <w:r>
        <w:rPr>
          <w:rFonts w:cs="Arial"/>
          <w:rtl/>
        </w:rPr>
        <w:t>עספור</w:t>
      </w:r>
      <w:proofErr w:type="spellEnd"/>
      <w:r>
        <w:rPr>
          <w:rFonts w:cs="Arial"/>
          <w:rtl/>
        </w:rPr>
        <w:t xml:space="preserve"> נגד המשיבה: מדינת ישראל בקשה לדחיית ריצוי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עונש המאסר בשם המבקש: עו"ד מ\' </w:t>
      </w:r>
      <w:proofErr w:type="spellStart"/>
      <w:r>
        <w:rPr>
          <w:rFonts w:cs="Arial"/>
          <w:rtl/>
        </w:rPr>
        <w:t>חסאן</w:t>
      </w:r>
      <w:proofErr w:type="spellEnd"/>
      <w:r>
        <w:rPr>
          <w:rFonts w:cs="Arial"/>
          <w:rtl/>
        </w:rPr>
        <w:t xml:space="preserve"> בשם המשיבה: עו"ד א\' וינשל החלטה בהסכמת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המשיבה </w:t>
      </w:r>
      <w:r w:rsidRPr="00841E1E">
        <w:rPr>
          <w:rFonts w:cs="Arial"/>
          <w:highlight w:val="yellow"/>
          <w:rtl/>
        </w:rPr>
        <w:t>ידחה ריצוי עונשו של המבקש ליום 7.3.07.</w:t>
      </w:r>
      <w:r>
        <w:rPr>
          <w:rFonts w:cs="Arial"/>
          <w:rtl/>
        </w:rPr>
        <w:t xml:space="preserve"> המקש יתייצב ביום זה עד שעה 10:00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במזכירות הפלילית בבית המשפט המחוזי בירושלים. ניתנה היום, ד\' באדר תשס"ז</w:t>
      </w:r>
      <w:r>
        <w:t xml:space="preserve"> </w:t>
      </w:r>
    </w:p>
    <w:p w:rsidR="003E261D" w:rsidRDefault="003E261D" w:rsidP="003E261D">
      <w:pPr>
        <w:bidi/>
      </w:pPr>
      <w:r>
        <w:t xml:space="preserve">(22.2.07). </w:t>
      </w:r>
      <w:r>
        <w:rPr>
          <w:rFonts w:cs="Arial"/>
          <w:rtl/>
        </w:rPr>
        <w:t>ש ו פ ט ת _________________________ העותק כפוף לשינויי עריכה וניסוח</w:t>
      </w:r>
      <w:r>
        <w:t xml:space="preserve">. </w:t>
      </w:r>
    </w:p>
    <w:p w:rsidR="003E261D" w:rsidRDefault="003E261D" w:rsidP="003E261D">
      <w:pPr>
        <w:bidi/>
      </w:pPr>
      <w:r>
        <w:t xml:space="preserve">06038840_B07.doc </w:t>
      </w:r>
      <w:proofErr w:type="spellStart"/>
      <w:r>
        <w:rPr>
          <w:rFonts w:cs="Arial"/>
          <w:rtl/>
        </w:rPr>
        <w:t>עכ</w:t>
      </w:r>
      <w:proofErr w:type="spellEnd"/>
      <w:r>
        <w:rPr>
          <w:rFonts w:cs="Arial"/>
          <w:rtl/>
        </w:rPr>
        <w:t xml:space="preserve"> מרכז מידע, טל\' 02-</w:t>
      </w:r>
      <w:proofErr w:type="gramStart"/>
      <w:r>
        <w:rPr>
          <w:rFonts w:cs="Arial"/>
          <w:rtl/>
        </w:rPr>
        <w:t>6593666 ;</w:t>
      </w:r>
      <w:proofErr w:type="gramEnd"/>
      <w:r>
        <w:rPr>
          <w:rFonts w:cs="Arial"/>
          <w:rtl/>
        </w:rPr>
        <w:t xml:space="preserve"> אתר אינטרנט</w:t>
      </w:r>
      <w:r>
        <w:t xml:space="preserve">, </w:t>
      </w:r>
    </w:p>
    <w:p w:rsidR="003E261D" w:rsidRDefault="003E261D" w:rsidP="003E261D">
      <w:pPr>
        <w:bidi/>
      </w:pPr>
      <w:r>
        <w:t>www.court.gov.il']</w:t>
      </w:r>
    </w:p>
    <w:p w:rsidR="003E261D" w:rsidRDefault="003E261D" w:rsidP="003E261D">
      <w:pPr>
        <w:bidi/>
      </w:pPr>
      <w:r>
        <w:t>--------------------------------------------------------------------------------</w:t>
      </w:r>
    </w:p>
    <w:p w:rsidR="003E261D" w:rsidRDefault="003E261D" w:rsidP="003E261D">
      <w:pPr>
        <w:bidi/>
      </w:pPr>
    </w:p>
    <w:p w:rsidR="003E261D" w:rsidRDefault="003E261D" w:rsidP="003E261D">
      <w:pPr>
        <w:bidi/>
        <w:rPr>
          <w:rtl/>
        </w:rPr>
      </w:pPr>
      <w:r>
        <w:t>Case 6:</w:t>
      </w:r>
    </w:p>
    <w:p w:rsidR="00464011" w:rsidRPr="009D6AB8" w:rsidRDefault="00464011" w:rsidP="00464011">
      <w:pPr>
        <w:bidi/>
        <w:rPr>
          <w:b/>
          <w:bCs/>
          <w:u w:val="single"/>
        </w:rPr>
      </w:pPr>
      <w:r w:rsidRPr="009D6AB8">
        <w:rPr>
          <w:rFonts w:hint="cs"/>
          <w:b/>
          <w:bCs/>
          <w:highlight w:val="yellow"/>
          <w:u w:val="single"/>
          <w:rtl/>
        </w:rPr>
        <w:t>הרוב נדחה למעט דו"ח</w:t>
      </w:r>
    </w:p>
    <w:p w:rsidR="003E261D" w:rsidRDefault="003E261D" w:rsidP="003E261D">
      <w:pPr>
        <w:bidi/>
      </w:pPr>
      <w:r>
        <w:t>--------------------------------------------------------------------------------</w:t>
      </w:r>
    </w:p>
    <w:p w:rsidR="003E261D" w:rsidRDefault="003E261D" w:rsidP="003E261D">
      <w:pPr>
        <w:bidi/>
      </w:pPr>
      <w:r>
        <w:t>Index in Original Data:</w:t>
      </w:r>
    </w:p>
    <w:p w:rsidR="003E261D" w:rsidRDefault="003E261D" w:rsidP="003E261D">
      <w:pPr>
        <w:bidi/>
      </w:pPr>
      <w:r>
        <w:t>331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Original Outcome of Case:</w:t>
      </w:r>
    </w:p>
    <w:p w:rsidR="003E261D" w:rsidRDefault="003E261D" w:rsidP="003E261D">
      <w:pPr>
        <w:bidi/>
      </w:pPr>
      <w:r w:rsidRPr="009D6AB8">
        <w:rPr>
          <w:highlight w:val="yellow"/>
        </w:rPr>
        <w:t>G A Denied at most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Binary Outcome (True Label):</w:t>
      </w:r>
    </w:p>
    <w:p w:rsidR="003E261D" w:rsidRDefault="003E261D" w:rsidP="003E261D">
      <w:pPr>
        <w:bidi/>
      </w:pPr>
      <w:r>
        <w:t>1.0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Predicted Label:</w:t>
      </w:r>
    </w:p>
    <w:p w:rsidR="003E261D" w:rsidRDefault="003E261D" w:rsidP="003E261D">
      <w:pPr>
        <w:bidi/>
      </w:pPr>
      <w:r>
        <w:t>0.0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Formatted Text:</w:t>
      </w:r>
    </w:p>
    <w:p w:rsidR="003E261D" w:rsidRDefault="003E261D" w:rsidP="003E261D">
      <w:pPr>
        <w:bidi/>
      </w:pPr>
      <w:r>
        <w:t>['</w:t>
      </w:r>
      <w:r>
        <w:rPr>
          <w:rFonts w:cs="Arial"/>
          <w:rtl/>
        </w:rPr>
        <w:t xml:space="preserve">החלטה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2945/06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2945/06 בפני: כבוד השופטת א</w:t>
      </w:r>
      <w:r>
        <w:t xml:space="preserve">\' </w:t>
      </w:r>
    </w:p>
    <w:p w:rsidR="003E261D" w:rsidRDefault="003E261D" w:rsidP="003E261D">
      <w:pPr>
        <w:bidi/>
      </w:pPr>
      <w:proofErr w:type="spellStart"/>
      <w:r>
        <w:rPr>
          <w:rFonts w:cs="Arial"/>
          <w:rtl/>
        </w:rPr>
        <w:t>פרוקצ</w:t>
      </w:r>
      <w:proofErr w:type="spellEnd"/>
      <w:r>
        <w:rPr>
          <w:rFonts w:cs="Arial"/>
          <w:rtl/>
        </w:rPr>
        <w:t>\'יה כבוד השופט א\' רובינשטיין כבוד השופט ס\' ג\'ובראן המבקשים: 1. פרל</w:t>
      </w:r>
      <w:r>
        <w:t xml:space="preserve"> </w:t>
      </w:r>
    </w:p>
    <w:p w:rsidR="003E261D" w:rsidRDefault="003E261D" w:rsidP="003E261D">
      <w:pPr>
        <w:bidi/>
      </w:pPr>
      <w:proofErr w:type="spellStart"/>
      <w:r>
        <w:rPr>
          <w:rFonts w:cs="Arial"/>
          <w:rtl/>
        </w:rPr>
        <w:t>פרמינגר</w:t>
      </w:r>
      <w:proofErr w:type="spellEnd"/>
      <w:r>
        <w:rPr>
          <w:rFonts w:cs="Arial"/>
          <w:rtl/>
        </w:rPr>
        <w:t xml:space="preserve"> 2. גיל </w:t>
      </w:r>
      <w:proofErr w:type="spellStart"/>
      <w:r>
        <w:rPr>
          <w:rFonts w:cs="Arial"/>
          <w:rtl/>
        </w:rPr>
        <w:t>פרמינגר</w:t>
      </w:r>
      <w:proofErr w:type="spellEnd"/>
      <w:r>
        <w:rPr>
          <w:rFonts w:cs="Arial"/>
          <w:rtl/>
        </w:rPr>
        <w:t xml:space="preserve"> 3. ירוחם </w:t>
      </w:r>
      <w:proofErr w:type="spellStart"/>
      <w:r>
        <w:rPr>
          <w:rFonts w:cs="Arial"/>
          <w:rtl/>
        </w:rPr>
        <w:t>פרמינגר</w:t>
      </w:r>
      <w:proofErr w:type="spellEnd"/>
      <w:r>
        <w:rPr>
          <w:rFonts w:cs="Arial"/>
          <w:rtl/>
        </w:rPr>
        <w:t xml:space="preserve"> נ ג ד המשיבה: מדינת ישראל בקשת רשות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ערעור על פסק-דין של בית-המשפט המחוזי בחיפה בע"פ 794/05 מיום ,16.3.06 שניתן על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ידי כבוד השופטים מ\' נאמן, ר\' שפירא, </w:t>
      </w:r>
      <w:proofErr w:type="spellStart"/>
      <w:r>
        <w:rPr>
          <w:rFonts w:cs="Arial"/>
          <w:rtl/>
        </w:rPr>
        <w:t>ומ</w:t>
      </w:r>
      <w:proofErr w:type="spellEnd"/>
      <w:r>
        <w:rPr>
          <w:rFonts w:cs="Arial"/>
          <w:rtl/>
        </w:rPr>
        <w:t xml:space="preserve">\' פינקלשטיין בשם המבקש: </w:t>
      </w:r>
      <w:proofErr w:type="spellStart"/>
      <w:r>
        <w:rPr>
          <w:rFonts w:cs="Arial"/>
          <w:rtl/>
        </w:rPr>
        <w:t>עו"דגיל</w:t>
      </w:r>
      <w:proofErr w:type="spellEnd"/>
      <w:r>
        <w:t xml:space="preserve"> </w:t>
      </w:r>
    </w:p>
    <w:p w:rsidR="003E261D" w:rsidRDefault="003E261D" w:rsidP="003E261D">
      <w:pPr>
        <w:bidi/>
      </w:pPr>
      <w:proofErr w:type="spellStart"/>
      <w:r>
        <w:rPr>
          <w:rFonts w:cs="Arial"/>
          <w:rtl/>
        </w:rPr>
        <w:t>פרמינגרבשם</w:t>
      </w:r>
      <w:proofErr w:type="spellEnd"/>
      <w:r>
        <w:rPr>
          <w:rFonts w:cs="Arial"/>
          <w:rtl/>
        </w:rPr>
        <w:t xml:space="preserve"> המשיבה: </w:t>
      </w:r>
      <w:proofErr w:type="spellStart"/>
      <w:r>
        <w:rPr>
          <w:rFonts w:cs="Arial"/>
          <w:rtl/>
        </w:rPr>
        <w:t>עו"דאלעד</w:t>
      </w:r>
      <w:proofErr w:type="spellEnd"/>
      <w:r>
        <w:rPr>
          <w:rFonts w:cs="Arial"/>
          <w:rtl/>
        </w:rPr>
        <w:t xml:space="preserve"> וינשל פסק-דין השופט: ס\' ג\'ובראן המבקשים הועמדו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לדין בבית-המשפט לעניינים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מקומיים בחיפה, בגין ארבע עבירות של אי סילוק מפגע בדירות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שברשותם, </w:t>
      </w:r>
      <w:proofErr w:type="spellStart"/>
      <w:r>
        <w:rPr>
          <w:rFonts w:cs="Arial"/>
          <w:rtl/>
        </w:rPr>
        <w:t>בבנין</w:t>
      </w:r>
      <w:proofErr w:type="spellEnd"/>
      <w:r>
        <w:rPr>
          <w:rFonts w:cs="Arial"/>
          <w:rtl/>
        </w:rPr>
        <w:t xml:space="preserve"> הנמצא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ברחוב </w:t>
      </w:r>
      <w:proofErr w:type="spellStart"/>
      <w:r>
        <w:rPr>
          <w:rFonts w:cs="Arial"/>
          <w:rtl/>
        </w:rPr>
        <w:t>פבזנר</w:t>
      </w:r>
      <w:proofErr w:type="spellEnd"/>
      <w:r>
        <w:rPr>
          <w:rFonts w:cs="Arial"/>
          <w:rtl/>
        </w:rPr>
        <w:t xml:space="preserve"> 64 בחיפה, (להלן: הדירות), לפי סעיף 5 (ב) לחוק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העזר לחיפה (שמירת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הסדר והניקיון), </w:t>
      </w:r>
      <w:proofErr w:type="spellStart"/>
      <w:r>
        <w:rPr>
          <w:rFonts w:cs="Arial"/>
          <w:rtl/>
        </w:rPr>
        <w:t>התשמ"ב</w:t>
      </w:r>
      <w:proofErr w:type="spellEnd"/>
      <w:r>
        <w:rPr>
          <w:rFonts w:cs="Arial"/>
          <w:rtl/>
        </w:rPr>
        <w:t xml:space="preserve"> – 1981. למבקשים נשלחו שתי הודעות דרישה</w:t>
      </w:r>
      <w:r>
        <w:t xml:space="preserve">: </w:t>
      </w:r>
    </w:p>
    <w:p w:rsidR="003E261D" w:rsidRDefault="003E261D" w:rsidP="003E261D">
      <w:pPr>
        <w:bidi/>
      </w:pPr>
      <w:r>
        <w:rPr>
          <w:rFonts w:cs="Arial"/>
          <w:rtl/>
        </w:rPr>
        <w:t>הודעת דרישה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אחת מיום 27.10.03, שבגין אי קיומה נרשם דו"ח אחד מיום 17.11.03 כנגד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המבקש3 (ת.פ 72653/2/04); הודעת דרישה נוספת מיום 9.6.04, שבגין אי קיומה נרשמו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שלושה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דו"חות נוספים כדלקמן: דו"ח כנגד המבקש 3 מיום 20.7.04 (ת.פ</w:t>
      </w:r>
      <w:r>
        <w:t xml:space="preserve"> </w:t>
      </w:r>
    </w:p>
    <w:p w:rsidR="003E261D" w:rsidRDefault="003E261D" w:rsidP="003E261D">
      <w:pPr>
        <w:bidi/>
      </w:pPr>
      <w:r>
        <w:t>79003/12/04)</w:t>
      </w:r>
      <w:proofErr w:type="gramStart"/>
      <w:r>
        <w:t>;</w:t>
      </w:r>
      <w:r>
        <w:rPr>
          <w:rFonts w:cs="Arial"/>
          <w:rtl/>
        </w:rPr>
        <w:t>דו</w:t>
      </w:r>
      <w:proofErr w:type="gramEnd"/>
      <w:r>
        <w:rPr>
          <w:rFonts w:cs="Arial"/>
          <w:rtl/>
        </w:rPr>
        <w:t>"ח כנגד המבקש 2 מיום 7.9.04 (ת.פ 76033/02/05) ודו"ח נוסף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כנגד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המבקשת 1 מיום 7.9.04 (ת.פ 76034/2/05). כנגד המבקשים נטען, כי החזיקו את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הדירות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שבבעלותם ברמה תברואתית גרועה ביותר, כשהן פרוצות לכל עבר ומהוות אתרים</w:t>
      </w:r>
      <w:r>
        <w:t xml:space="preserve"> </w:t>
      </w:r>
    </w:p>
    <w:p w:rsidR="003E261D" w:rsidRDefault="003E261D" w:rsidP="003E261D">
      <w:pPr>
        <w:bidi/>
      </w:pPr>
      <w:proofErr w:type="spellStart"/>
      <w:r>
        <w:rPr>
          <w:rFonts w:cs="Arial"/>
          <w:rtl/>
        </w:rPr>
        <w:t>מושכי</w:t>
      </w:r>
      <w:proofErr w:type="spellEnd"/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לכלוך וזוהמה וכמקום מפגש לחסרי בית ופורעי חוק. בית-המשפט לעניינים מקומיים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(כבוד השופט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א\' ח\' </w:t>
      </w:r>
      <w:proofErr w:type="spellStart"/>
      <w:r>
        <w:rPr>
          <w:rFonts w:cs="Arial"/>
          <w:rtl/>
        </w:rPr>
        <w:t>ורבנר</w:t>
      </w:r>
      <w:proofErr w:type="spellEnd"/>
      <w:r>
        <w:rPr>
          <w:rFonts w:cs="Arial"/>
          <w:rtl/>
        </w:rPr>
        <w:t>) הרשיע, ביום 21.7.05 את המבקשים בעבירה שיוחסה להם בכתב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האישום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ובתאריך 21.9.05 גזר עליהם את העונשים הבאים: בתיק 72653/2/04, נדון המבקש 3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לקנס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בסך של 2,000 ש"ח, או 20 ימי מאסר תמורתו. בתיק 79003/12/04 נדון המבקש 3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לקנס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בסך של 3,300 ש"ח או 33 ימי מאסר תמורתו. בתיק 76033/2/05 נדון המבקש 2לקנס בסך של</w:t>
      </w:r>
      <w:r>
        <w:t xml:space="preserve"> </w:t>
      </w:r>
    </w:p>
    <w:p w:rsidR="003E261D" w:rsidRDefault="003E261D" w:rsidP="003E261D">
      <w:pPr>
        <w:bidi/>
      </w:pPr>
      <w:r>
        <w:t xml:space="preserve">3,300 </w:t>
      </w:r>
      <w:r>
        <w:rPr>
          <w:rFonts w:cs="Arial"/>
          <w:rtl/>
        </w:rPr>
        <w:t>ש"ח, או 33 ימי מאסר תמורתו ובתיק 76034/2/05 נדונה המבקשת1 לקנס בסך של</w:t>
      </w:r>
      <w:r>
        <w:t xml:space="preserve"> </w:t>
      </w:r>
    </w:p>
    <w:p w:rsidR="003E261D" w:rsidRDefault="003E261D" w:rsidP="003E261D">
      <w:pPr>
        <w:bidi/>
      </w:pPr>
      <w:r>
        <w:t xml:space="preserve">3,300 </w:t>
      </w:r>
      <w:r>
        <w:rPr>
          <w:rFonts w:cs="Arial"/>
          <w:rtl/>
        </w:rPr>
        <w:t>ש"ח, או 33 ימי מאסר תמורתו. בגזר-הדין ציין בית-המשפט לעניינים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מקומיים את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נסיבותיו החמורות של המקרה, לרבות היקפו הרחב והתמשכותו של המפגע במשך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זמן רב, ללא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כל ניסיון רציני מצד המבקשים לתקן את המעוות. במהלך המשפט בבית-המשפט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לעניינים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מקומיים, הגישו המבקשים בקשה בפני כבוד השופט א\' ח\' </w:t>
      </w:r>
      <w:proofErr w:type="spellStart"/>
      <w:r>
        <w:rPr>
          <w:rFonts w:cs="Arial"/>
          <w:rtl/>
        </w:rPr>
        <w:t>ורבנר</w:t>
      </w:r>
      <w:proofErr w:type="spellEnd"/>
      <w:r>
        <w:rPr>
          <w:rFonts w:cs="Arial"/>
          <w:rtl/>
        </w:rPr>
        <w:t>, כי יפסול את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עצמו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בטענה, כי הוא הביע דעה שלילית בעניינם, כך שדומה ואין סיכוי שניתן יהיה לשנות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את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דעתו לגבי המקרה הנדון. בית-המשפט לעניינים מקומיים </w:t>
      </w:r>
      <w:r w:rsidRPr="000605DB">
        <w:rPr>
          <w:rFonts w:cs="Arial"/>
          <w:highlight w:val="green"/>
          <w:rtl/>
        </w:rPr>
        <w:t>דחה את הטענה בנימוק</w:t>
      </w:r>
      <w:r>
        <w:rPr>
          <w:rFonts w:cs="Arial"/>
          <w:rtl/>
        </w:rPr>
        <w:t>, כי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חובה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להעלות טענת פסלות מיד לאחר שנודעה סיבת הפסלות והעיכוב בהעלאת הטענה במקרה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הנוכחי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נובע מרצון המבקשים לנסות לעכב את מתן פסק-הדין (להלן: החלטת הפסלות). על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החלטתו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זו </w:t>
      </w:r>
      <w:r w:rsidRPr="000605DB">
        <w:rPr>
          <w:rFonts w:cs="Arial"/>
          <w:highlight w:val="green"/>
          <w:rtl/>
        </w:rPr>
        <w:t>הוגש ערעור לבית-משפט זה (ע"פ 8850/05 )אשר נדחה</w:t>
      </w:r>
      <w:r>
        <w:rPr>
          <w:rFonts w:cs="Arial"/>
          <w:rtl/>
        </w:rPr>
        <w:t>, אגב הערה, כי מן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הראוי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שהטענה תידון במסגרת הערעור על פסק-הדין. על פסק-הדין של בית-המשפט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לעניינים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מקומיים ועל החלטת הפסלות ערער המבקש לבית-המשפט המחוזי בחיפה. בא-כוח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המבקשים</w:t>
      </w:r>
      <w:r w:rsidR="000605DB">
        <w:rPr>
          <w:rFonts w:cs="Arial" w:hint="cs"/>
          <w:rtl/>
        </w:rPr>
        <w:t xml:space="preserve"> </w:t>
      </w:r>
      <w:proofErr w:type="spellStart"/>
      <w:r>
        <w:rPr>
          <w:rFonts w:cs="Arial"/>
          <w:rtl/>
        </w:rPr>
        <w:t>מצידו</w:t>
      </w:r>
      <w:proofErr w:type="spellEnd"/>
      <w:r>
        <w:rPr>
          <w:rFonts w:cs="Arial"/>
          <w:rtl/>
        </w:rPr>
        <w:t xml:space="preserve"> הגיש ערעור על כל פסק-הדין ובמיוחד הדגיש את הצורך, כי בנסיבות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המקרה, מוטב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שהרכב השופטים יפסול את כבוד השופט א\' ח\' </w:t>
      </w:r>
      <w:proofErr w:type="spellStart"/>
      <w:r>
        <w:rPr>
          <w:rFonts w:cs="Arial"/>
          <w:rtl/>
        </w:rPr>
        <w:t>ורבנר</w:t>
      </w:r>
      <w:proofErr w:type="spellEnd"/>
      <w:r>
        <w:rPr>
          <w:rFonts w:cs="Arial"/>
          <w:rtl/>
        </w:rPr>
        <w:t xml:space="preserve"> מלשפוט במקרה הנוכחי</w:t>
      </w:r>
      <w:r>
        <w:t xml:space="preserve">. </w:t>
      </w:r>
    </w:p>
    <w:p w:rsidR="003E261D" w:rsidRPr="000605DB" w:rsidRDefault="003E261D" w:rsidP="003E261D">
      <w:pPr>
        <w:bidi/>
        <w:rPr>
          <w:highlight w:val="green"/>
        </w:rPr>
      </w:pPr>
      <w:r>
        <w:rPr>
          <w:rFonts w:cs="Arial"/>
          <w:rtl/>
        </w:rPr>
        <w:t xml:space="preserve">בית-המשפט המחוזי (כבוד השופטים מ\' </w:t>
      </w:r>
      <w:proofErr w:type="spellStart"/>
      <w:r>
        <w:rPr>
          <w:rFonts w:cs="Arial"/>
          <w:rtl/>
        </w:rPr>
        <w:t>נאמן,ר</w:t>
      </w:r>
      <w:proofErr w:type="spellEnd"/>
      <w:r>
        <w:rPr>
          <w:rFonts w:cs="Arial"/>
          <w:rtl/>
        </w:rPr>
        <w:t xml:space="preserve">\' שפירא </w:t>
      </w:r>
      <w:proofErr w:type="spellStart"/>
      <w:r>
        <w:rPr>
          <w:rFonts w:cs="Arial"/>
          <w:rtl/>
        </w:rPr>
        <w:t>ומ</w:t>
      </w:r>
      <w:proofErr w:type="spellEnd"/>
      <w:r>
        <w:rPr>
          <w:rFonts w:cs="Arial"/>
          <w:rtl/>
        </w:rPr>
        <w:t xml:space="preserve">\' פינקלשטיין) </w:t>
      </w:r>
      <w:r w:rsidRPr="000605DB">
        <w:rPr>
          <w:rFonts w:cs="Arial"/>
          <w:highlight w:val="green"/>
          <w:rtl/>
        </w:rPr>
        <w:t>דחה את</w:t>
      </w:r>
      <w:r w:rsidRPr="000605DB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0605DB">
        <w:rPr>
          <w:rFonts w:cs="Arial"/>
          <w:highlight w:val="green"/>
          <w:rtl/>
        </w:rPr>
        <w:t>ערעורי המבקשים</w:t>
      </w:r>
      <w:r>
        <w:rPr>
          <w:rFonts w:cs="Arial"/>
          <w:rtl/>
        </w:rPr>
        <w:t>. בית-המשפט המחוזי הצדיק את</w:t>
      </w:r>
      <w:r w:rsidR="000605DB">
        <w:rPr>
          <w:rFonts w:cs="Arial" w:hint="cs"/>
          <w:rtl/>
        </w:rPr>
        <w:t xml:space="preserve"> </w:t>
      </w:r>
      <w:r>
        <w:rPr>
          <w:rFonts w:cs="Arial"/>
          <w:rtl/>
        </w:rPr>
        <w:t>החלטתו של בית-המשפט לעניינים מקומיים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תוצאה שאליה הגיע לאחר עיון בכל הראיות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שהוגשו בפניו. בית-המשפט המחוזי אף </w:t>
      </w:r>
      <w:r w:rsidRPr="00091709">
        <w:rPr>
          <w:rFonts w:cs="Arial"/>
          <w:highlight w:val="green"/>
          <w:rtl/>
        </w:rPr>
        <w:t>דחה</w:t>
      </w:r>
      <w:r>
        <w:rPr>
          <w:rFonts w:cs="Arial"/>
          <w:rtl/>
        </w:rPr>
        <w:t xml:space="preserve"> את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הטענה לפסלות שופט שהועלתה בפניו, תוך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הערה שלא היה מקום לדרך הניסוח שנקט בה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בא-כוחם של המבקשים. מכאן בקשת רשות הערעור שבפני, בגדר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הטוענים המבקשים, בראש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ובראשונה לגבי גובה הקנסות שהוטלו עליהם. כמו-כן, טוענים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המבקשים, כי פסק-הדין של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בית-המשפט המחוזי איננו מנומק כנדרש בדין. לטענת המבקשים,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במקרה זה עולות שאלות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בעלות חשיבות כגון השאלה האם לפקח יש סמכות להיכנס לדירות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פרטיות ולבסוף העלו שוב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המבקשים את טענת הפסלות כלפי כבוד השופט א\' ח\' </w:t>
      </w:r>
      <w:proofErr w:type="spellStart"/>
      <w:r>
        <w:rPr>
          <w:rFonts w:cs="Arial"/>
          <w:rtl/>
        </w:rPr>
        <w:t>ורבנר</w:t>
      </w:r>
      <w:proofErr w:type="spellEnd"/>
      <w:r>
        <w:rPr>
          <w:rFonts w:cs="Arial"/>
          <w:rtl/>
        </w:rPr>
        <w:t>. מנגד, תומך בא-כוח המשיבה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את יתדותיו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בפסק-הדין של בית-המשפט המחוזי </w:t>
      </w:r>
      <w:r w:rsidRPr="00091709">
        <w:rPr>
          <w:rFonts w:cs="Arial"/>
          <w:highlight w:val="green"/>
          <w:rtl/>
        </w:rPr>
        <w:t>ומבקש לדחות את בקשת רשות הערעור</w:t>
      </w:r>
      <w:r>
        <w:t xml:space="preserve">. </w:t>
      </w:r>
    </w:p>
    <w:p w:rsidR="003E261D" w:rsidRDefault="003E261D" w:rsidP="003E261D">
      <w:pPr>
        <w:bidi/>
      </w:pPr>
      <w:r>
        <w:rPr>
          <w:rFonts w:cs="Arial"/>
          <w:rtl/>
        </w:rPr>
        <w:t>לטענתו, הבקשה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אינה מעלה שאלה בעלת חשיבות כללית המצדיקה דיון בפני ערכאה שלישית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לפי הלכת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ר"ע 103/83 חניון חיפה בע"מ נ\' מצת אור (הדר חיפה) </w:t>
      </w:r>
      <w:proofErr w:type="spellStart"/>
      <w:r>
        <w:rPr>
          <w:rFonts w:cs="Arial"/>
          <w:rtl/>
        </w:rPr>
        <w:t>בע"מ,פ"ד</w:t>
      </w:r>
      <w:proofErr w:type="spellEnd"/>
      <w:r>
        <w:rPr>
          <w:rFonts w:cs="Arial"/>
          <w:rtl/>
        </w:rPr>
        <w:t xml:space="preserve"> לו(3) 123</w:t>
      </w:r>
      <w:r>
        <w:t xml:space="preserve"> </w:t>
      </w:r>
    </w:p>
    <w:p w:rsidR="003E261D" w:rsidRDefault="003E261D" w:rsidP="00091709">
      <w:pPr>
        <w:bidi/>
      </w:pPr>
      <w:r>
        <w:rPr>
          <w:rFonts w:cs="Arial"/>
          <w:rtl/>
        </w:rPr>
        <w:t>(להלן: חניון חיפה). באשר לטענות</w:t>
      </w:r>
      <w:r w:rsidR="00091709">
        <w:rPr>
          <w:rFonts w:cs="Arial" w:hint="cs"/>
          <w:rtl/>
        </w:rPr>
        <w:t xml:space="preserve"> ה</w:t>
      </w:r>
      <w:r>
        <w:rPr>
          <w:rFonts w:cs="Arial"/>
          <w:rtl/>
        </w:rPr>
        <w:t>מבקשים, כי פסק-הדין של בית-המשפט המחוזי אינו</w:t>
      </w:r>
      <w:r>
        <w:t xml:space="preserve"> </w:t>
      </w:r>
    </w:p>
    <w:p w:rsidR="003E261D" w:rsidRPr="00091709" w:rsidRDefault="003E261D" w:rsidP="003E261D">
      <w:pPr>
        <w:bidi/>
        <w:rPr>
          <w:highlight w:val="green"/>
        </w:rPr>
      </w:pPr>
      <w:r>
        <w:rPr>
          <w:rFonts w:cs="Arial"/>
          <w:rtl/>
        </w:rPr>
        <w:t>מנומק כנדרש בדין, נאמר על-ידי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המשיבה</w:t>
      </w:r>
      <w:r w:rsidRPr="00091709">
        <w:rPr>
          <w:rFonts w:cs="Arial"/>
          <w:highlight w:val="green"/>
          <w:rtl/>
        </w:rPr>
        <w:t>, כי כלל ידוע הוא שאין בהיעדר הנמקה מלאה כדי</w:t>
      </w:r>
      <w:r w:rsidRPr="00091709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091709">
        <w:rPr>
          <w:rFonts w:cs="Arial"/>
          <w:highlight w:val="green"/>
          <w:rtl/>
        </w:rPr>
        <w:t>להקים עילה למתן רשות ערעור</w:t>
      </w:r>
      <w:r>
        <w:rPr>
          <w:rFonts w:cs="Arial"/>
          <w:rtl/>
        </w:rPr>
        <w:t>. ביום 6.6.06 הגישו המבקשים לבית-משפט זהב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קשה להגשת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ראיה נוספת. בא-כוח המבקשים טען, כי במסגרת הליכים נוספים בבית-המשפט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לעניינים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מקומיים בחיפה המתנהלים כנגד המבקשים, נדון תיק שמספרו 72654/2/04 ובמהלך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הדיון בו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התברר, כי הדו"ח בגין תיק זה, התבסס על הודעת דרישה מיום 27.10.03,שהוצאה על בסיס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פלט ארנונה ולא על בסיס נסח של לשכת המקרקעין כנדרש, וכי לאור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עדותו, הודיעה המשיבה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על הסכמתה לביטול הדו"ח ולזיכויו של המבקש 3 בדו"ח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מספר 72654/2/04. אי לכך, דרש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בא-כוח המבקשים לבטל את הדו"ח שמספרו 72653/2/04וזאת מפני שדו"ח זה הוצא, אף הוא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על-פי הודעת דרישה מיום 27.10.03. בתגובתה של המשיבה לבקשה לראיה נוספת,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הסכים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בא-כוח המשיבה , כי מאחר וגם דו"ח מספר 72653/02/04, אחד מהדו"חות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נשוא הבקשה דנן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מתבסס על אותה דרישה מיום 27.10.03, הרי שהמשיבה מסכימה לזיכוי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המבקש מהרשעתו בגין</w:t>
      </w:r>
      <w:r>
        <w:t xml:space="preserve"> </w:t>
      </w:r>
    </w:p>
    <w:p w:rsidR="003E261D" w:rsidRPr="00091709" w:rsidRDefault="003E261D" w:rsidP="003E261D">
      <w:pPr>
        <w:bidi/>
        <w:rPr>
          <w:highlight w:val="green"/>
        </w:rPr>
      </w:pPr>
      <w:r>
        <w:rPr>
          <w:rFonts w:cs="Arial"/>
          <w:rtl/>
        </w:rPr>
        <w:t xml:space="preserve">דו"ח מספר 72653/2/04. החלטנו לדון בבקשה </w:t>
      </w:r>
      <w:r w:rsidRPr="00091709">
        <w:rPr>
          <w:rFonts w:cs="Arial"/>
          <w:highlight w:val="green"/>
          <w:rtl/>
        </w:rPr>
        <w:t>כאילו שניתנה רשות</w:t>
      </w:r>
      <w:r w:rsidR="00091709" w:rsidRPr="00091709">
        <w:rPr>
          <w:rFonts w:cs="Arial" w:hint="cs"/>
          <w:highlight w:val="green"/>
          <w:rtl/>
        </w:rPr>
        <w:t xml:space="preserve"> </w:t>
      </w:r>
      <w:r w:rsidRPr="00091709">
        <w:rPr>
          <w:rFonts w:cs="Arial"/>
          <w:highlight w:val="green"/>
          <w:rtl/>
        </w:rPr>
        <w:t>ערעור וכאילו הוגש</w:t>
      </w:r>
      <w:r w:rsidRPr="00091709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091709">
        <w:rPr>
          <w:rFonts w:cs="Arial"/>
          <w:highlight w:val="green"/>
          <w:rtl/>
        </w:rPr>
        <w:t>ערעור על-פי הרשות שניתנה וזאת אך ורק בסוגיית דו"ח מספר72653/2/04.</w:t>
      </w:r>
      <w:r>
        <w:rPr>
          <w:rFonts w:cs="Arial"/>
          <w:rtl/>
        </w:rPr>
        <w:t xml:space="preserve"> מאחר שהתברר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כי הדו"ח בגין תיק זה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התבסס על הודעת דרישה מיום 27.10.03, שהוצאה על בסיס פלט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ארנונה ולא על בסיס נסח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של לשכת המקרקעין ומאחר שבא-כוח המשיבה הסכים לבטל דו"ח זה</w:t>
      </w:r>
      <w:r>
        <w:t xml:space="preserve">, </w:t>
      </w:r>
    </w:p>
    <w:p w:rsidR="003E261D" w:rsidRPr="00091709" w:rsidRDefault="003E261D" w:rsidP="003E261D">
      <w:pPr>
        <w:bidi/>
        <w:rPr>
          <w:highlight w:val="green"/>
        </w:rPr>
      </w:pPr>
      <w:r w:rsidRPr="00091709">
        <w:rPr>
          <w:rFonts w:cs="Arial"/>
          <w:highlight w:val="green"/>
          <w:rtl/>
        </w:rPr>
        <w:t>החלטנו לקבל את</w:t>
      </w:r>
      <w:r w:rsidR="00091709" w:rsidRPr="00091709">
        <w:rPr>
          <w:rFonts w:cs="Arial" w:hint="cs"/>
          <w:highlight w:val="green"/>
          <w:rtl/>
        </w:rPr>
        <w:t xml:space="preserve"> </w:t>
      </w:r>
      <w:r w:rsidRPr="00091709">
        <w:rPr>
          <w:rFonts w:cs="Arial"/>
          <w:highlight w:val="green"/>
          <w:rtl/>
        </w:rPr>
        <w:t>הערעור ולזכות את המבקש 3 בעניין דו"ח 72653/2/04 ולפטור אותו</w:t>
      </w:r>
      <w:r w:rsidRPr="00091709">
        <w:rPr>
          <w:highlight w:val="green"/>
        </w:rPr>
        <w:t xml:space="preserve"> </w:t>
      </w:r>
    </w:p>
    <w:p w:rsidR="003E261D" w:rsidRPr="00091709" w:rsidRDefault="003E261D" w:rsidP="003E261D">
      <w:pPr>
        <w:bidi/>
        <w:rPr>
          <w:highlight w:val="green"/>
        </w:rPr>
      </w:pPr>
      <w:r w:rsidRPr="00091709">
        <w:rPr>
          <w:rFonts w:cs="Arial"/>
          <w:highlight w:val="green"/>
          <w:rtl/>
        </w:rPr>
        <w:t>מהעונש שנגזר</w:t>
      </w:r>
      <w:r w:rsidR="00091709">
        <w:rPr>
          <w:rFonts w:cs="Arial" w:hint="cs"/>
          <w:highlight w:val="green"/>
          <w:rtl/>
        </w:rPr>
        <w:t xml:space="preserve"> </w:t>
      </w:r>
      <w:r w:rsidRPr="00091709">
        <w:rPr>
          <w:rFonts w:cs="Arial"/>
          <w:highlight w:val="green"/>
          <w:rtl/>
        </w:rPr>
        <w:t>עליו בשל דו"ח זה.</w:t>
      </w:r>
      <w:r>
        <w:rPr>
          <w:rFonts w:cs="Arial"/>
          <w:rtl/>
        </w:rPr>
        <w:t xml:space="preserve"> </w:t>
      </w:r>
      <w:r w:rsidRPr="00091709">
        <w:rPr>
          <w:rFonts w:cs="Arial"/>
          <w:highlight w:val="green"/>
          <w:rtl/>
        </w:rPr>
        <w:t>באשר ליתר הדו"חות המוזכרים לעיל,</w:t>
      </w:r>
      <w:r w:rsidR="00091709" w:rsidRPr="00091709">
        <w:rPr>
          <w:rFonts w:cs="Arial" w:hint="cs"/>
          <w:highlight w:val="green"/>
          <w:rtl/>
        </w:rPr>
        <w:t xml:space="preserve"> </w:t>
      </w:r>
      <w:r w:rsidRPr="00091709">
        <w:rPr>
          <w:rFonts w:cs="Arial"/>
          <w:highlight w:val="green"/>
          <w:rtl/>
        </w:rPr>
        <w:t>דין בקשת רשות</w:t>
      </w:r>
      <w:r w:rsidRPr="00091709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091709">
        <w:rPr>
          <w:rFonts w:cs="Arial"/>
          <w:highlight w:val="green"/>
          <w:rtl/>
        </w:rPr>
        <w:t>הערעור להידחות</w:t>
      </w:r>
      <w:r>
        <w:rPr>
          <w:rFonts w:cs="Arial"/>
          <w:rtl/>
        </w:rPr>
        <w:t>. עניינם של המבקשים כבר נדון בפני שתי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ערכאות. כידוע, הכלל הנוהג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הינו, כי </w:t>
      </w:r>
      <w:r w:rsidRPr="00091709">
        <w:rPr>
          <w:rFonts w:cs="Arial"/>
          <w:highlight w:val="green"/>
          <w:rtl/>
        </w:rPr>
        <w:t>הרשות לערעור שני, אינה ניתנת כדבר שבשגרה</w:t>
      </w:r>
      <w:r>
        <w:rPr>
          <w:rFonts w:cs="Arial"/>
          <w:rtl/>
        </w:rPr>
        <w:t>,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אלא מוגבלת למקרים המעוררים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שאלה בעלת חשיבות משפטית או ציבורית, החורגת מעניינם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הפרטני של הצדדים. בענייננו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בקשת רשות הערעור איננה מעוררת כל שאלה משפטית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עקרונית שכזו והמבקש לא הצביע על</w:t>
      </w:r>
      <w:r>
        <w:t xml:space="preserve"> </w:t>
      </w:r>
    </w:p>
    <w:p w:rsidR="003E261D" w:rsidRPr="00091709" w:rsidRDefault="003E261D" w:rsidP="003E261D">
      <w:pPr>
        <w:bidi/>
        <w:rPr>
          <w:highlight w:val="green"/>
        </w:rPr>
      </w:pPr>
      <w:r>
        <w:rPr>
          <w:rFonts w:cs="Arial"/>
          <w:rtl/>
        </w:rPr>
        <w:t>עילה המצדיקה דיון בגלגול שלישי, בהתאם להלכת חניון חיפה,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כאמור. </w:t>
      </w:r>
      <w:r w:rsidRPr="00091709">
        <w:rPr>
          <w:rFonts w:cs="Arial"/>
          <w:highlight w:val="green"/>
          <w:rtl/>
        </w:rPr>
        <w:t>יש לדחות את טענת</w:t>
      </w:r>
      <w:r w:rsidRPr="00091709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091709">
        <w:rPr>
          <w:rFonts w:cs="Arial"/>
          <w:highlight w:val="green"/>
          <w:rtl/>
        </w:rPr>
        <w:t>היעדר ההנמקה.</w:t>
      </w:r>
      <w:r>
        <w:rPr>
          <w:rFonts w:cs="Arial"/>
          <w:rtl/>
        </w:rPr>
        <w:t xml:space="preserve"> בענייננו,</w:t>
      </w:r>
      <w:r w:rsidR="00091709">
        <w:rPr>
          <w:rFonts w:cs="Arial" w:hint="cs"/>
          <w:rtl/>
        </w:rPr>
        <w:t xml:space="preserve"> </w:t>
      </w:r>
      <w:r>
        <w:rPr>
          <w:rFonts w:cs="Arial"/>
          <w:rtl/>
        </w:rPr>
        <w:t>בית-המשפט המחוזי נימק בקצרה את מסקנתו וממנה למדים אנו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כי הוא אכן בחן אתה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ממצאים העובדתיים והצדיק את החלטתו של בית-המשפט לעניינים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מקומיים. אין לצפות, כי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בכל מקרה, ערכאת הערעור תחזור שוב על כל נימוקי הערכאה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הדיונית, מקום שהיא מסכימה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עם ממצאיה, ולא מצאה כל פסול במסקנותיה (ראו גם רע"א</w:t>
      </w:r>
      <w:r>
        <w:t xml:space="preserve"> </w:t>
      </w:r>
    </w:p>
    <w:p w:rsidR="003E261D" w:rsidRPr="003E261D" w:rsidRDefault="003E261D" w:rsidP="003E261D">
      <w:pPr>
        <w:bidi/>
        <w:rPr>
          <w:highlight w:val="yellow"/>
        </w:rPr>
      </w:pPr>
      <w:r>
        <w:t xml:space="preserve">8996/04 </w:t>
      </w:r>
      <w:r>
        <w:rPr>
          <w:rFonts w:cs="Arial"/>
          <w:rtl/>
        </w:rPr>
        <w:t xml:space="preserve">שכטר נ\' נציגות הבית המשותף, פ"ד </w:t>
      </w:r>
      <w:proofErr w:type="gramStart"/>
      <w:r>
        <w:rPr>
          <w:rFonts w:cs="Arial"/>
          <w:rtl/>
        </w:rPr>
        <w:t>נט(</w:t>
      </w:r>
      <w:proofErr w:type="gramEnd"/>
      <w:r>
        <w:rPr>
          <w:rFonts w:cs="Arial"/>
          <w:rtl/>
        </w:rPr>
        <w:t xml:space="preserve">5)17). מטעמים אלה כולם, </w:t>
      </w:r>
      <w:r w:rsidRPr="003E261D">
        <w:rPr>
          <w:rFonts w:cs="Arial"/>
          <w:highlight w:val="yellow"/>
          <w:rtl/>
        </w:rPr>
        <w:t>בקשת רשות</w:t>
      </w:r>
      <w:r w:rsidRPr="003E261D">
        <w:rPr>
          <w:highlight w:val="yellow"/>
        </w:rPr>
        <w:t xml:space="preserve"> </w:t>
      </w:r>
    </w:p>
    <w:p w:rsidR="003E261D" w:rsidRDefault="003E261D" w:rsidP="003E261D">
      <w:pPr>
        <w:bidi/>
      </w:pPr>
      <w:r w:rsidRPr="003E261D">
        <w:rPr>
          <w:rFonts w:cs="Arial"/>
          <w:highlight w:val="yellow"/>
          <w:rtl/>
        </w:rPr>
        <w:t>הערעור</w:t>
      </w:r>
      <w:r w:rsidRPr="003E261D">
        <w:rPr>
          <w:rFonts w:cs="Arial" w:hint="cs"/>
          <w:highlight w:val="yellow"/>
          <w:rtl/>
        </w:rPr>
        <w:t xml:space="preserve"> </w:t>
      </w:r>
      <w:r w:rsidRPr="003E261D">
        <w:rPr>
          <w:rFonts w:cs="Arial"/>
          <w:highlight w:val="yellow"/>
          <w:rtl/>
        </w:rPr>
        <w:t>נדחית</w:t>
      </w:r>
      <w:r>
        <w:rPr>
          <w:rFonts w:cs="Arial"/>
          <w:rtl/>
        </w:rPr>
        <w:t xml:space="preserve">, </w:t>
      </w:r>
      <w:r w:rsidRPr="00091709">
        <w:rPr>
          <w:rFonts w:cs="Arial"/>
          <w:highlight w:val="yellow"/>
          <w:rtl/>
        </w:rPr>
        <w:t>למעט בנוגע לדו"ח מספר 72653/2/04 כאמור לעיל.</w:t>
      </w:r>
      <w:r>
        <w:rPr>
          <w:rFonts w:cs="Arial"/>
          <w:rtl/>
        </w:rPr>
        <w:t xml:space="preserve"> ניתן היום, כ"ו באב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תשס"ו (20.8.06). ש ו פ ט ת ש </w:t>
      </w:r>
      <w:proofErr w:type="spellStart"/>
      <w:r>
        <w:rPr>
          <w:rFonts w:cs="Arial"/>
          <w:rtl/>
        </w:rPr>
        <w:t>ופ</w:t>
      </w:r>
      <w:proofErr w:type="spellEnd"/>
      <w:r>
        <w:rPr>
          <w:rFonts w:cs="Arial"/>
          <w:rtl/>
        </w:rPr>
        <w:t xml:space="preserve"> ט ש ו פ ט ________________________העותק כפוף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לשינויי עריכה וניסוח. 06029450</w:t>
      </w:r>
      <w:r>
        <w:t xml:space="preserve">_H05.doc </w:t>
      </w:r>
      <w:proofErr w:type="spellStart"/>
      <w:r>
        <w:rPr>
          <w:rFonts w:cs="Arial"/>
          <w:rtl/>
        </w:rPr>
        <w:t>רג</w:t>
      </w:r>
      <w:proofErr w:type="spellEnd"/>
      <w:r w:rsidR="00464011">
        <w:rPr>
          <w:rFonts w:cs="Arial" w:hint="cs"/>
          <w:rtl/>
        </w:rPr>
        <w:t xml:space="preserve"> </w:t>
      </w:r>
      <w:r>
        <w:rPr>
          <w:rFonts w:cs="Arial"/>
          <w:rtl/>
        </w:rPr>
        <w:t>מרכז מידע, טל\' 02-6593666 ; אתר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אינטרנט</w:t>
      </w:r>
      <w:r>
        <w:t>, www.court.gov.il ']</w:t>
      </w:r>
    </w:p>
    <w:p w:rsidR="003E261D" w:rsidRDefault="003E261D" w:rsidP="003E261D">
      <w:pPr>
        <w:bidi/>
      </w:pPr>
      <w:r>
        <w:t>--------------------------------------------------------------------------------</w:t>
      </w:r>
    </w:p>
    <w:p w:rsidR="003E261D" w:rsidRDefault="003E261D" w:rsidP="003E261D">
      <w:pPr>
        <w:bidi/>
      </w:pPr>
    </w:p>
    <w:p w:rsidR="003E261D" w:rsidRDefault="003E261D" w:rsidP="003E261D">
      <w:pPr>
        <w:bidi/>
        <w:rPr>
          <w:rtl/>
        </w:rPr>
      </w:pPr>
      <w:r>
        <w:t>Case 7:</w:t>
      </w:r>
    </w:p>
    <w:p w:rsidR="00341965" w:rsidRPr="00B058F2" w:rsidRDefault="00341965" w:rsidP="00341965">
      <w:pPr>
        <w:bidi/>
        <w:rPr>
          <w:b/>
          <w:bCs/>
        </w:rPr>
      </w:pPr>
      <w:r w:rsidRPr="00B058F2">
        <w:rPr>
          <w:rFonts w:hint="cs"/>
          <w:b/>
          <w:bCs/>
          <w:highlight w:val="yellow"/>
          <w:rtl/>
        </w:rPr>
        <w:t>התקבל חלקית</w:t>
      </w:r>
      <w:r w:rsidRPr="00B058F2">
        <w:rPr>
          <w:rFonts w:hint="cs"/>
          <w:b/>
          <w:bCs/>
          <w:rtl/>
        </w:rPr>
        <w:t xml:space="preserve"> </w:t>
      </w:r>
      <w:r w:rsidRPr="00B058F2">
        <w:rPr>
          <w:b/>
          <w:bCs/>
          <w:highlight w:val="yellow"/>
          <w:rtl/>
        </w:rPr>
        <w:t>–</w:t>
      </w:r>
      <w:r w:rsidRPr="00B058F2">
        <w:rPr>
          <w:rFonts w:hint="cs"/>
          <w:b/>
          <w:bCs/>
          <w:highlight w:val="yellow"/>
          <w:rtl/>
        </w:rPr>
        <w:t xml:space="preserve"> הבקשה </w:t>
      </w:r>
      <w:r w:rsidR="00B058F2">
        <w:rPr>
          <w:rFonts w:hint="cs"/>
          <w:b/>
          <w:bCs/>
          <w:highlight w:val="yellow"/>
          <w:rtl/>
        </w:rPr>
        <w:t xml:space="preserve">בעצם נדחתה, </w:t>
      </w:r>
      <w:r w:rsidRPr="00B058F2">
        <w:rPr>
          <w:rFonts w:hint="cs"/>
          <w:b/>
          <w:bCs/>
          <w:highlight w:val="yellow"/>
          <w:rtl/>
        </w:rPr>
        <w:t>למעט גובה הקנס</w:t>
      </w:r>
    </w:p>
    <w:p w:rsidR="00341965" w:rsidRDefault="00341965" w:rsidP="00341965">
      <w:pPr>
        <w:bidi/>
      </w:pPr>
    </w:p>
    <w:p w:rsidR="003E261D" w:rsidRDefault="003E261D" w:rsidP="003E261D">
      <w:pPr>
        <w:bidi/>
      </w:pPr>
      <w:r>
        <w:t>--------------------------------------------------------------------------------</w:t>
      </w:r>
    </w:p>
    <w:p w:rsidR="003E261D" w:rsidRDefault="003E261D" w:rsidP="003E261D">
      <w:pPr>
        <w:bidi/>
      </w:pPr>
      <w:r>
        <w:t>Index in Original Data:</w:t>
      </w:r>
    </w:p>
    <w:p w:rsidR="003E261D" w:rsidRDefault="003E261D" w:rsidP="003E261D">
      <w:pPr>
        <w:bidi/>
      </w:pPr>
      <w:r>
        <w:t>458</w:t>
      </w:r>
    </w:p>
    <w:p w:rsidR="003E261D" w:rsidRDefault="003E261D" w:rsidP="003E261D">
      <w:pPr>
        <w:bidi/>
      </w:pPr>
      <w:r>
        <w:t>Original Outcome of Case:</w:t>
      </w:r>
    </w:p>
    <w:p w:rsidR="003E261D" w:rsidRDefault="003E261D" w:rsidP="003E261D">
      <w:pPr>
        <w:bidi/>
      </w:pPr>
      <w:r w:rsidRPr="00B058F2">
        <w:rPr>
          <w:highlight w:val="yellow"/>
        </w:rPr>
        <w:t>G R partially and with the state's consent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Binary Outcome (True Label):</w:t>
      </w:r>
    </w:p>
    <w:p w:rsidR="003E261D" w:rsidRDefault="003E261D" w:rsidP="003E261D">
      <w:pPr>
        <w:bidi/>
      </w:pPr>
      <w:r>
        <w:t>1.0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Predicted Label:</w:t>
      </w:r>
    </w:p>
    <w:p w:rsidR="003E261D" w:rsidRDefault="003E261D" w:rsidP="003E261D">
      <w:pPr>
        <w:bidi/>
      </w:pPr>
      <w:r>
        <w:t>0.0</w:t>
      </w:r>
    </w:p>
    <w:p w:rsidR="003E261D" w:rsidRDefault="003E261D" w:rsidP="003E261D">
      <w:pPr>
        <w:bidi/>
      </w:pPr>
    </w:p>
    <w:p w:rsidR="003E261D" w:rsidRDefault="003E261D" w:rsidP="003E261D">
      <w:pPr>
        <w:bidi/>
      </w:pPr>
      <w:r>
        <w:t>Formatted Text:</w:t>
      </w:r>
    </w:p>
    <w:p w:rsidR="003E261D" w:rsidRDefault="003E261D" w:rsidP="003E261D">
      <w:pPr>
        <w:bidi/>
      </w:pPr>
      <w:r>
        <w:t>['</w:t>
      </w:r>
      <w:r>
        <w:rPr>
          <w:rFonts w:cs="Arial"/>
          <w:rtl/>
        </w:rPr>
        <w:t xml:space="preserve">החלטה בתיק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1801/07 בבית המשפט העליון </w:t>
      </w:r>
      <w:proofErr w:type="spellStart"/>
      <w:r>
        <w:rPr>
          <w:rFonts w:cs="Arial"/>
          <w:rtl/>
        </w:rPr>
        <w:t>רע"פ</w:t>
      </w:r>
      <w:proofErr w:type="spellEnd"/>
      <w:r>
        <w:rPr>
          <w:rFonts w:cs="Arial"/>
          <w:rtl/>
        </w:rPr>
        <w:t xml:space="preserve"> 1801/07 בפני: כבוד השופטת א</w:t>
      </w:r>
      <w:r>
        <w:t xml:space="preserve">\' </w:t>
      </w:r>
    </w:p>
    <w:p w:rsidR="003E261D" w:rsidRDefault="003E261D" w:rsidP="003E261D">
      <w:pPr>
        <w:bidi/>
      </w:pPr>
      <w:proofErr w:type="spellStart"/>
      <w:r>
        <w:rPr>
          <w:rFonts w:cs="Arial"/>
          <w:rtl/>
        </w:rPr>
        <w:t>פרוקצ</w:t>
      </w:r>
      <w:proofErr w:type="spellEnd"/>
      <w:r>
        <w:rPr>
          <w:rFonts w:cs="Arial"/>
          <w:rtl/>
        </w:rPr>
        <w:t>\'יה כבוד השופט א\' רובינשטיין כבוד השופט ס\' ג\'ובראן המבקש: יהונתן ורד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נגד המשיבה: מדינת ישראל בקשת רשות ערעור על פסק-דינו של בית המשפט המחוזי בחיפה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מיום 25.1.07 בע"פ 812/06 ו-835/06/07 שניתן על-ידי כבוד השופט ש\' </w:t>
      </w:r>
      <w:proofErr w:type="spellStart"/>
      <w:r>
        <w:rPr>
          <w:rFonts w:cs="Arial"/>
          <w:rtl/>
        </w:rPr>
        <w:t>ברלינר</w:t>
      </w:r>
      <w:proofErr w:type="spellEnd"/>
      <w:r>
        <w:rPr>
          <w:rFonts w:cs="Arial"/>
          <w:rtl/>
        </w:rPr>
        <w:t xml:space="preserve"> – </w:t>
      </w:r>
      <w:proofErr w:type="spellStart"/>
      <w:r>
        <w:rPr>
          <w:rFonts w:cs="Arial"/>
          <w:rtl/>
        </w:rPr>
        <w:t>סג"נ</w:t>
      </w:r>
      <w:proofErr w:type="spellEnd"/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בשם המבקש: עו"ד עבד אבו ואסל בשם המשיב: עו"ד רבי-טל שלומי פסק דין השופט ס</w:t>
      </w:r>
      <w:r>
        <w:t xml:space="preserve">\' </w:t>
      </w:r>
    </w:p>
    <w:p w:rsidR="003E261D" w:rsidRDefault="003E261D" w:rsidP="003E261D">
      <w:pPr>
        <w:bidi/>
      </w:pPr>
      <w:r>
        <w:rPr>
          <w:rFonts w:cs="Arial"/>
          <w:rtl/>
        </w:rPr>
        <w:t>ג\'ובראן: כנגד המבקש הוגש, ביום 18.9.2003, לבית-משפט השלום בחדרה כתב אישום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(</w:t>
      </w:r>
      <w:proofErr w:type="spellStart"/>
      <w:r>
        <w:rPr>
          <w:rFonts w:cs="Arial"/>
          <w:rtl/>
        </w:rPr>
        <w:t>עמ"ק</w:t>
      </w:r>
      <w:proofErr w:type="spellEnd"/>
      <w:r>
        <w:rPr>
          <w:rFonts w:cs="Arial"/>
          <w:rtl/>
        </w:rPr>
        <w:t xml:space="preserve"> 20502/03), המייחס לו עבירה של בניה ללא היתר, לפי סעיפים 145, 204(א)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ו-(ב), וכן סעיף 208 לחוק התכנון והבניה, תשכ"ה-1965 (להלן: חוק התכנון והבניה)</w:t>
      </w:r>
      <w:r>
        <w:t xml:space="preserve">. </w:t>
      </w:r>
    </w:p>
    <w:p w:rsidR="003E261D" w:rsidRDefault="003E261D" w:rsidP="003E261D">
      <w:pPr>
        <w:bidi/>
      </w:pPr>
      <w:r>
        <w:rPr>
          <w:rFonts w:cs="Arial"/>
          <w:rtl/>
        </w:rPr>
        <w:t>לפי הנטען בכתב האישום, במועד הנוגע לאישום, היה המבקש בעליו של מגרש מספר 58 בגוש</w:t>
      </w:r>
      <w:r>
        <w:t xml:space="preserve"> </w:t>
      </w:r>
    </w:p>
    <w:p w:rsidR="003E261D" w:rsidRDefault="003E261D" w:rsidP="003E261D">
      <w:pPr>
        <w:bidi/>
      </w:pPr>
      <w:r>
        <w:t xml:space="preserve">12801, </w:t>
      </w:r>
      <w:r>
        <w:rPr>
          <w:rFonts w:cs="Arial"/>
          <w:rtl/>
        </w:rPr>
        <w:t>חלקה 52 ב\' הנמצא במושב אביאל (להלן: המגרש). בכתב האישום נטען, כי במהלך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חודש אוגוסט 2003, או בסמוך לכך, הקים המבקש משטח בטון בשטח של כ-720 מ"ר והעמיד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על המשטח קונסטרוקציית ברזל וכן גרם מדרגות ושתי מכולות (להלן: המבנה). בנייה זו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אשר טעונה היתר לפי חוק התכנון והבניה, בוצעה ללא היתר, כנדרש בחוק זה. ביום</w:t>
      </w:r>
      <w:r>
        <w:t xml:space="preserve"> </w:t>
      </w:r>
    </w:p>
    <w:p w:rsidR="003E261D" w:rsidRDefault="003E261D" w:rsidP="003E261D">
      <w:pPr>
        <w:bidi/>
      </w:pPr>
      <w:r>
        <w:t xml:space="preserve">5.3.2006 </w:t>
      </w:r>
      <w:r>
        <w:rPr>
          <w:rFonts w:cs="Arial"/>
          <w:rtl/>
        </w:rPr>
        <w:t>הרשיע בית-משפט השלום (כבוד השופט א\' קפלן) את המבקש בעבירה המיוחסת לו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בכתב האישום. בית-משפט השלום מצא </w:t>
      </w:r>
      <w:r w:rsidRPr="003E261D">
        <w:rPr>
          <w:rFonts w:cs="Arial"/>
          <w:highlight w:val="green"/>
          <w:rtl/>
        </w:rPr>
        <w:t>כי אשמתו של המבקש הוכחה מעל לספק סביר</w:t>
      </w:r>
      <w:r>
        <w:rPr>
          <w:rFonts w:cs="Arial"/>
          <w:rtl/>
        </w:rPr>
        <w:t xml:space="preserve"> וזאת על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סמך עדותו של מפקח הועדה אשר הוכיח את דבריו על בסיס צילומים של המשטח החדש שנבנה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וכן על בסיס מפת מדידה מיום 1.12.2000 ואשר כללה רק משטח בטון ללא הקונסטרוקציות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של הברזל והמכולות. בית-משפט השלום הטיל על המבקש קנס של 20,000 ש"ח או 3 חודשי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מאסר תחתיו, חתימה על התחייבות כספית בסך של 25,000 להימנע במהלך 3 שנים מלעבור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עבירה על סעיף 210 לחוק התכנון והבניה וכן ציווה על המבקש להרוס את המבנה נשוא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האישום בתוך שנה מיום גזר הדין. על פסק-דינו של בית-משפט השלום הגיש המבקש ערעור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לבית המשפט המחוזי בחיפה (ע"פ 812/06), ובמקביל הגישה המשיבה ערעור על קולת העונש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(ע"פ 835/06). בית המשפט המחוזי (כבוד סגן-הנשיא ש\' </w:t>
      </w:r>
      <w:proofErr w:type="spellStart"/>
      <w:r>
        <w:rPr>
          <w:rFonts w:cs="Arial"/>
          <w:rtl/>
        </w:rPr>
        <w:t>ברלינר</w:t>
      </w:r>
      <w:proofErr w:type="spellEnd"/>
      <w:r>
        <w:rPr>
          <w:rFonts w:cs="Arial"/>
          <w:rtl/>
        </w:rPr>
        <w:t xml:space="preserve">) </w:t>
      </w:r>
      <w:r w:rsidRPr="003E261D">
        <w:rPr>
          <w:rFonts w:cs="Arial"/>
          <w:highlight w:val="green"/>
          <w:rtl/>
        </w:rPr>
        <w:t>דחה את ערעור</w:t>
      </w:r>
      <w:r>
        <w:rPr>
          <w:rFonts w:cs="Arial"/>
          <w:rtl/>
        </w:rPr>
        <w:t xml:space="preserve"> המבקש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בנמקו זאת בכך שלא מצא מקום להתערב כערכאת ערעור בקביעות עובדתיות של הערכאה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הדיונית. מנגד, החליט בית המשפט המחוזי </w:t>
      </w:r>
      <w:r w:rsidRPr="003E261D">
        <w:rPr>
          <w:rFonts w:cs="Arial"/>
          <w:highlight w:val="green"/>
          <w:rtl/>
        </w:rPr>
        <w:t>לקבל את ערעורה</w:t>
      </w:r>
      <w:r>
        <w:rPr>
          <w:rFonts w:cs="Arial"/>
          <w:rtl/>
        </w:rPr>
        <w:t xml:space="preserve"> של המשיבה על קולת העונש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והעמיד את גובה הקנס על סך של 100,000 ש"ח, או 8 חודשי מאסר תמורתו. מכאן בקשת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רשות הערעור שבפניי, בגדרה טוען המבקש כי נפלה שגגה בפסק-דינו של בית המשפט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המחוזי. בא-כוח המבקש מעלה טענות לעצם ההרשעה בטענו כי מדובר במשטח ישן אשר שימש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את אביו של המבקש מזה זמן רב. כמו-כן טוען בא-כוח המבקש כי גובה הקנס שהשית בית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המשפט המחוזי על </w:t>
      </w:r>
      <w:proofErr w:type="spellStart"/>
      <w:r>
        <w:rPr>
          <w:rFonts w:cs="Arial"/>
          <w:rtl/>
        </w:rPr>
        <w:t>מרשו</w:t>
      </w:r>
      <w:proofErr w:type="spellEnd"/>
      <w:r>
        <w:rPr>
          <w:rFonts w:cs="Arial"/>
          <w:rtl/>
        </w:rPr>
        <w:t xml:space="preserve"> הינו בסך של 100,000 ש"ח, בעוד שגובה הסכום המקסימאלי בגין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עבירה כגון זו שביצע המבקש הינו בסך של 67,500 ש"ח. בא-כוח המשיבה טוען מנגד כי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אין במקרה זה </w:t>
      </w:r>
      <w:r w:rsidRPr="003E261D">
        <w:rPr>
          <w:rFonts w:cs="Arial"/>
          <w:highlight w:val="green"/>
          <w:rtl/>
        </w:rPr>
        <w:t>עילה למתן רשות ערעור</w:t>
      </w:r>
      <w:r>
        <w:rPr>
          <w:rFonts w:cs="Arial"/>
          <w:rtl/>
        </w:rPr>
        <w:t xml:space="preserve"> בפני ערכאה שלישית, שכן לא מדובר בסוגיה בעלת</w:t>
      </w:r>
      <w:r>
        <w:t xml:space="preserve"> </w:t>
      </w:r>
    </w:p>
    <w:p w:rsidR="003E261D" w:rsidRPr="003E261D" w:rsidRDefault="003E261D" w:rsidP="003E261D">
      <w:pPr>
        <w:bidi/>
        <w:rPr>
          <w:highlight w:val="green"/>
        </w:rPr>
      </w:pPr>
      <w:r>
        <w:rPr>
          <w:rFonts w:cs="Arial"/>
          <w:rtl/>
        </w:rPr>
        <w:t xml:space="preserve">חשיבות משפטית או ציבורית החורגת מעניינו של המבקש. כן טענה המשיבה </w:t>
      </w:r>
      <w:r w:rsidRPr="003E261D">
        <w:rPr>
          <w:rFonts w:cs="Arial"/>
          <w:highlight w:val="green"/>
          <w:rtl/>
        </w:rPr>
        <w:t>כי אין לקבל את</w:t>
      </w:r>
      <w:r w:rsidRPr="003E261D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3E261D">
        <w:rPr>
          <w:rFonts w:cs="Arial"/>
          <w:highlight w:val="green"/>
          <w:rtl/>
        </w:rPr>
        <w:t>ערעורו של המבקש</w:t>
      </w:r>
      <w:r>
        <w:rPr>
          <w:rFonts w:cs="Arial"/>
          <w:rtl/>
        </w:rPr>
        <w:t xml:space="preserve"> כנגד עצם ההרשעה מקום שמדובר בקביעות עובדתיות אשר נתמכו בראיות</w:t>
      </w:r>
      <w:r>
        <w:t xml:space="preserve">. </w:t>
      </w:r>
    </w:p>
    <w:p w:rsidR="003E261D" w:rsidRDefault="003E261D" w:rsidP="003E261D">
      <w:pPr>
        <w:bidi/>
      </w:pPr>
      <w:r>
        <w:rPr>
          <w:rFonts w:cs="Arial"/>
          <w:rtl/>
        </w:rPr>
        <w:t>באשר לגובה הקנס, מסכימה המשיבה שיש מקום לקבל את בקשת רשות הערעור מטעם המבקש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שכן אכן חרג בית המשפט המחוזי בקביעת גובה הקנס שניתן להטיל על נאשם בעבירה מסוג</w:t>
      </w:r>
      <w:r>
        <w:t xml:space="preserve"> </w:t>
      </w:r>
    </w:p>
    <w:p w:rsidR="003E261D" w:rsidRPr="003E261D" w:rsidRDefault="003E261D" w:rsidP="003E261D">
      <w:pPr>
        <w:bidi/>
        <w:rPr>
          <w:highlight w:val="green"/>
        </w:rPr>
      </w:pPr>
      <w:r>
        <w:rPr>
          <w:rFonts w:cs="Arial"/>
          <w:rtl/>
        </w:rPr>
        <w:t xml:space="preserve">זה. לאחר עיון בבקשה ובטענות הצדדים, הגעתי לכלל מסקנה, </w:t>
      </w:r>
      <w:r w:rsidRPr="003E261D">
        <w:rPr>
          <w:rFonts w:cs="Arial"/>
          <w:highlight w:val="green"/>
          <w:rtl/>
        </w:rPr>
        <w:t>כי דין הבקשה להתקבל באופן</w:t>
      </w:r>
      <w:r w:rsidRPr="003E261D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3E261D">
        <w:rPr>
          <w:rFonts w:cs="Arial"/>
          <w:highlight w:val="green"/>
          <w:rtl/>
        </w:rPr>
        <w:t>חלקי, וזאת רק באשר לגובה הקנס שהושת על המבקש, דין יתר בקשת רשות הערעור להידחות</w:t>
      </w:r>
      <w:r w:rsidRPr="003E261D">
        <w:rPr>
          <w:highlight w:val="green"/>
        </w:rPr>
        <w:t>.</w:t>
      </w:r>
      <w:r>
        <w:t xml:space="preserve"> </w:t>
      </w:r>
    </w:p>
    <w:p w:rsidR="003E261D" w:rsidRPr="003E261D" w:rsidRDefault="003E261D" w:rsidP="003E261D">
      <w:pPr>
        <w:bidi/>
        <w:rPr>
          <w:highlight w:val="green"/>
        </w:rPr>
      </w:pPr>
      <w:r>
        <w:rPr>
          <w:rFonts w:cs="Arial"/>
          <w:rtl/>
        </w:rPr>
        <w:t>עניינו של המבקש כבר נדון בפני שתי ערכאות. כידוע, הכלל הנוהג הינו</w:t>
      </w:r>
      <w:r w:rsidRPr="003E261D">
        <w:rPr>
          <w:rFonts w:cs="Arial"/>
          <w:highlight w:val="green"/>
          <w:rtl/>
        </w:rPr>
        <w:t>, כי הרשות</w:t>
      </w:r>
      <w:r w:rsidRPr="003E261D">
        <w:rPr>
          <w:highlight w:val="green"/>
        </w:rPr>
        <w:t xml:space="preserve"> </w:t>
      </w:r>
    </w:p>
    <w:p w:rsidR="003E261D" w:rsidRDefault="003E261D" w:rsidP="003E261D">
      <w:pPr>
        <w:bidi/>
      </w:pPr>
      <w:r w:rsidRPr="003E261D">
        <w:rPr>
          <w:rFonts w:cs="Arial"/>
          <w:highlight w:val="green"/>
          <w:rtl/>
        </w:rPr>
        <w:t>לערעור שני, אינה ניתנת</w:t>
      </w:r>
      <w:r>
        <w:rPr>
          <w:rFonts w:cs="Arial"/>
          <w:rtl/>
        </w:rPr>
        <w:t xml:space="preserve"> כדבר שבשגרה, אלא מוגבלת למקרים המעוררים שאלה בעלת חשיבות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משפטית או ציבורית, החורגת מעניינם הפרטני של הצדדים. בענייננו, לא עולה מבקשת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רשות הערעור כל שאלה משפטית עקרונית שכזו, או כל עילה אחרת אשר תצדיק דיון "בגלגול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שלישי", בהתאם להלכת ר"ע 103/82 חניון חיפה בע"מ נ\' מצת אור (הדר חיפה) בע"מ, פ"ד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לו(3) 123 (1982). </w:t>
      </w:r>
      <w:r w:rsidRPr="003E261D">
        <w:rPr>
          <w:rFonts w:cs="Arial"/>
          <w:highlight w:val="green"/>
          <w:rtl/>
        </w:rPr>
        <w:t>דין הבקשה להידחות גם לגופו של ענין.</w:t>
      </w:r>
      <w:r>
        <w:rPr>
          <w:rFonts w:cs="Arial"/>
          <w:rtl/>
        </w:rPr>
        <w:t xml:space="preserve"> השאלה היחידה העולה מן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הבקשה היא השאלה העובדתית בנוגע למועד הקמתו של משטח הבטון. בית משפט השלום קבע</w:t>
      </w:r>
      <w:r>
        <w:t xml:space="preserve"> </w:t>
      </w:r>
    </w:p>
    <w:p w:rsidR="003E261D" w:rsidRDefault="003E261D" w:rsidP="003E261D">
      <w:pPr>
        <w:bidi/>
      </w:pPr>
      <w:proofErr w:type="spellStart"/>
      <w:r>
        <w:rPr>
          <w:rFonts w:cs="Arial"/>
          <w:rtl/>
        </w:rPr>
        <w:t>כענין</w:t>
      </w:r>
      <w:proofErr w:type="spellEnd"/>
      <w:r>
        <w:rPr>
          <w:rFonts w:cs="Arial"/>
          <w:rtl/>
        </w:rPr>
        <w:t xml:space="preserve"> שבעובדה, כי המבקש הוא שהקים משטח זה, </w:t>
      </w:r>
      <w:r w:rsidRPr="003E261D">
        <w:rPr>
          <w:rFonts w:cs="Arial"/>
          <w:highlight w:val="green"/>
          <w:rtl/>
        </w:rPr>
        <w:t>ודחה</w:t>
      </w:r>
      <w:r>
        <w:rPr>
          <w:rFonts w:cs="Arial"/>
          <w:rtl/>
        </w:rPr>
        <w:t xml:space="preserve"> את גרסתו לפיה המשטח הוקם על-ידי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אביו המנוח. כידוע, הלכה היא, כי ערכאת הערעור אינה נוהגת להתערב בממצאים עובדתיים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אותם קבעה הערכאה הדיונית, ובפרט בממצאי מהימנות אותם קבעה בהתרשם מן העדים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שהופיעו בפניה (ראו ע"פ 993/00 שלמה נ\' מדינת ישראל, פ"ד נו(6) 205</w:t>
      </w:r>
      <w:r>
        <w:t xml:space="preserve"> (2002)</w:t>
      </w:r>
      <w:r>
        <w:rPr>
          <w:rFonts w:cs="Arial"/>
          <w:rtl/>
        </w:rPr>
        <w:t>). גם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במקרה שלפנינו, לא ראיתי מקום לסטות מהלכה זו ולהתערב בקביעותיו של בית-משפט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השלום. עם זאת, בכל הנוגע לגובה הקנס שהוטל על המבקש, צודק בא-כוח המבקש בטענתו</w:t>
      </w:r>
      <w:r>
        <w:t xml:space="preserve">, </w:t>
      </w:r>
    </w:p>
    <w:p w:rsidR="003E261D" w:rsidRDefault="003E261D" w:rsidP="003E261D">
      <w:pPr>
        <w:bidi/>
      </w:pPr>
      <w:r>
        <w:rPr>
          <w:rFonts w:cs="Arial"/>
          <w:rtl/>
        </w:rPr>
        <w:t>כי הקנס שהושת על המבקש חורג מגובה הקנס אותו רשאי היה בית המשפט המחוזי להטיל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עליו, בהתאם לסעיף 61(א)(3) לחוק העונשין, התשל"ז-1977. יש לציין כי המדינה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 xml:space="preserve">בתגובתה מיום 30.4.07, </w:t>
      </w:r>
      <w:r w:rsidRPr="003E261D">
        <w:rPr>
          <w:rFonts w:cs="Arial"/>
          <w:highlight w:val="yellow"/>
          <w:rtl/>
        </w:rPr>
        <w:t>מסכימה לטענתו זו של בא-כוח המבקש.</w:t>
      </w:r>
      <w:r>
        <w:rPr>
          <w:rFonts w:cs="Arial"/>
          <w:rtl/>
        </w:rPr>
        <w:t xml:space="preserve"> אשר-על-כן, בנוגע לקנס</w:t>
      </w:r>
      <w:r>
        <w:t xml:space="preserve"> </w:t>
      </w:r>
    </w:p>
    <w:p w:rsidR="003E261D" w:rsidRPr="003E261D" w:rsidRDefault="003E261D" w:rsidP="003E261D">
      <w:pPr>
        <w:bidi/>
        <w:rPr>
          <w:highlight w:val="yellow"/>
        </w:rPr>
      </w:pPr>
      <w:r>
        <w:rPr>
          <w:rFonts w:cs="Arial"/>
          <w:rtl/>
        </w:rPr>
        <w:t xml:space="preserve">שהוטל על המבקש בבית המשפט המחוזי </w:t>
      </w:r>
      <w:r w:rsidRPr="003E261D">
        <w:rPr>
          <w:rFonts w:cs="Arial"/>
          <w:highlight w:val="yellow"/>
          <w:rtl/>
        </w:rPr>
        <w:t>תידון בקשת רשות הערעור כאילו ניתנה רשות ערעור</w:t>
      </w:r>
      <w:r w:rsidRPr="003E261D">
        <w:rPr>
          <w:highlight w:val="yellow"/>
        </w:rPr>
        <w:t xml:space="preserve"> </w:t>
      </w:r>
    </w:p>
    <w:p w:rsidR="003E261D" w:rsidRDefault="003E261D" w:rsidP="003E261D">
      <w:pPr>
        <w:bidi/>
      </w:pPr>
      <w:r w:rsidRPr="003E261D">
        <w:rPr>
          <w:rFonts w:cs="Arial"/>
          <w:highlight w:val="yellow"/>
          <w:rtl/>
        </w:rPr>
        <w:t>והערעור התקבל</w:t>
      </w:r>
      <w:r>
        <w:rPr>
          <w:rFonts w:cs="Arial"/>
          <w:rtl/>
        </w:rPr>
        <w:t>, באופן שהדיון בתיק יוחזר לבית המשפט המחוזי בכדי שיגזור על המבקש</w:t>
      </w:r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את הקנס מחדש. ניתן היום, ב\' באב תשס"ז (17.7.2007). ש ו פ ט ת ש ו פ ט ש ו פ ט</w:t>
      </w:r>
      <w:r>
        <w:t xml:space="preserve"> </w:t>
      </w:r>
    </w:p>
    <w:p w:rsidR="003E261D" w:rsidRDefault="003E261D" w:rsidP="003E261D">
      <w:pPr>
        <w:bidi/>
      </w:pPr>
      <w:r>
        <w:t xml:space="preserve">_________________________ </w:t>
      </w:r>
      <w:r>
        <w:rPr>
          <w:rFonts w:cs="Arial"/>
          <w:rtl/>
        </w:rPr>
        <w:t>העותק כפוף לשינויי עריכה וניסוח. 07018010</w:t>
      </w:r>
      <w:r>
        <w:t>_H02.doc /</w:t>
      </w:r>
      <w:proofErr w:type="spellStart"/>
      <w:r>
        <w:rPr>
          <w:rFonts w:cs="Arial"/>
          <w:rtl/>
        </w:rPr>
        <w:t>צש</w:t>
      </w:r>
      <w:proofErr w:type="spellEnd"/>
      <w:r>
        <w:t xml:space="preserve"> </w:t>
      </w:r>
    </w:p>
    <w:p w:rsidR="003E261D" w:rsidRDefault="003E261D" w:rsidP="003E261D">
      <w:pPr>
        <w:bidi/>
      </w:pPr>
      <w:r>
        <w:rPr>
          <w:rFonts w:cs="Arial"/>
          <w:rtl/>
        </w:rPr>
        <w:t>מרכז מידע, טל\' 02-6593666 ; אתר אינטרנט</w:t>
      </w:r>
      <w:r>
        <w:t>, www.court.gov.il']</w:t>
      </w:r>
    </w:p>
    <w:p w:rsidR="003E261D" w:rsidRDefault="003E261D" w:rsidP="003E261D">
      <w:pPr>
        <w:bidi/>
      </w:pPr>
      <w:r>
        <w:t>--------------------------------------------------------------------------------</w:t>
      </w:r>
    </w:p>
    <w:p w:rsidR="00FA25DD" w:rsidRPr="003E261D" w:rsidRDefault="003E261D" w:rsidP="003E261D">
      <w:pPr>
        <w:bidi/>
      </w:pPr>
      <w:r>
        <w:t>================================================================================</w:t>
      </w:r>
    </w:p>
    <w:sectPr w:rsidR="00FA25DD" w:rsidRPr="003E26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B0599"/>
    <w:multiLevelType w:val="hybridMultilevel"/>
    <w:tmpl w:val="C6621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810CE"/>
    <w:multiLevelType w:val="hybridMultilevel"/>
    <w:tmpl w:val="A95C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37"/>
    <w:rsid w:val="000605DB"/>
    <w:rsid w:val="00091709"/>
    <w:rsid w:val="000A1524"/>
    <w:rsid w:val="000C5908"/>
    <w:rsid w:val="000F4B89"/>
    <w:rsid w:val="00137E6D"/>
    <w:rsid w:val="00270DEF"/>
    <w:rsid w:val="002D0F64"/>
    <w:rsid w:val="00333017"/>
    <w:rsid w:val="00341965"/>
    <w:rsid w:val="003D28CF"/>
    <w:rsid w:val="003E261D"/>
    <w:rsid w:val="00464011"/>
    <w:rsid w:val="004D6E37"/>
    <w:rsid w:val="004E3B5F"/>
    <w:rsid w:val="00561127"/>
    <w:rsid w:val="005A033D"/>
    <w:rsid w:val="0060043D"/>
    <w:rsid w:val="0060526B"/>
    <w:rsid w:val="00787323"/>
    <w:rsid w:val="0078784B"/>
    <w:rsid w:val="007F7376"/>
    <w:rsid w:val="00841E1E"/>
    <w:rsid w:val="00912D62"/>
    <w:rsid w:val="009D6AB8"/>
    <w:rsid w:val="00A50A00"/>
    <w:rsid w:val="00AA44BC"/>
    <w:rsid w:val="00B058F2"/>
    <w:rsid w:val="00B37305"/>
    <w:rsid w:val="00BF4561"/>
    <w:rsid w:val="00C05E2B"/>
    <w:rsid w:val="00C35E41"/>
    <w:rsid w:val="00DB1C8B"/>
    <w:rsid w:val="00E4710D"/>
    <w:rsid w:val="00F313C8"/>
    <w:rsid w:val="00FA25DD"/>
    <w:rsid w:val="00FA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E27EC-A4A9-468D-AD43-EA8A64BD5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6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D6E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semiHidden/>
    <w:unhideWhenUsed/>
    <w:rsid w:val="004D6E37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0C5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824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0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3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9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6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6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21</Pages>
  <Words>5829</Words>
  <Characters>33230</Characters>
  <Application>Microsoft Office Word</Application>
  <DocSecurity>0</DocSecurity>
  <Lines>276</Lines>
  <Paragraphs>77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נעם בסט</dc:creator>
  <cp:keywords/>
  <dc:description/>
  <cp:lastModifiedBy>נעם בסט</cp:lastModifiedBy>
  <cp:revision>19</cp:revision>
  <dcterms:created xsi:type="dcterms:W3CDTF">2024-10-20T15:41:00Z</dcterms:created>
  <dcterms:modified xsi:type="dcterms:W3CDTF">2024-11-11T13:33:00Z</dcterms:modified>
</cp:coreProperties>
</file>