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52"/>
          <w:szCs w:val="52"/>
          <w:highlight w:val="none"/>
        </w:rPr>
      </w:pPr>
      <w:r>
        <w:rPr>
          <w:sz w:val="52"/>
          <w:szCs w:val="52"/>
        </w:rPr>
        <w:t xml:space="preserve">CHECKPOINT 3</w:t>
      </w:r>
      <w:r>
        <w:rPr>
          <w:sz w:val="52"/>
          <w:szCs w:val="52"/>
          <w:highlight w:val="none"/>
        </w:rPr>
      </w:r>
      <w:r>
        <w:rPr>
          <w:sz w:val="52"/>
          <w:szCs w:val="52"/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Formulaire réponses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 w:firstLine="0" w:left="0"/>
        <w:rPr>
          <w:sz w:val="52"/>
          <w:szCs w:val="52"/>
          <w:highlight w:val="none"/>
        </w:rPr>
      </w:pPr>
      <w:r>
        <w:rPr>
          <w:sz w:val="52"/>
          <w:szCs w:val="52"/>
          <w:highlight w:val="none"/>
        </w:rPr>
        <w:t xml:space="preserve">Exercice 1</w:t>
      </w:r>
      <w:r>
        <w:rPr>
          <w:sz w:val="52"/>
          <w:szCs w:val="52"/>
          <w:highlight w:val="none"/>
        </w:rPr>
      </w:r>
      <w:r>
        <w:rPr>
          <w:sz w:val="52"/>
          <w:szCs w:val="52"/>
          <w:highlight w:val="none"/>
        </w:rPr>
      </w:r>
    </w:p>
    <w:p>
      <w:pPr>
        <w:pBdr/>
        <w:spacing/>
        <w:ind w:firstLine="0" w:left="0"/>
        <w:rPr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Partie 1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Q.1.1.1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Copie(s) d’écran montrant que </w:t>
      </w:r>
      <w:r>
        <w:rPr>
          <w:highlight w:val="none"/>
        </w:rPr>
        <w:t xml:space="preserve">L</w:t>
      </w:r>
      <w:r>
        <w:rPr>
          <w:highlight w:val="none"/>
        </w:rPr>
        <w:t xml:space="preserve">ionel Lemarchand</w:t>
      </w:r>
      <w:r>
        <w:rPr>
          <w:highlight w:val="none"/>
        </w:rPr>
        <w:t xml:space="preserve"> a les m</w:t>
      </w:r>
      <w:r>
        <w:rPr>
          <w:highlight w:val="none"/>
        </w:rPr>
        <w:t xml:space="preserve">êmes attributs de société que </w:t>
      </w:r>
      <w:r>
        <w:rPr>
          <w:highlight w:val="none"/>
        </w:rPr>
        <w:t xml:space="preserve">Kelly Rhameur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35792c1483804734914d97a9c05daa7d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Copie(s) d'écran</w:t>
          </w:r>
          <w:r/>
        </w:p>
      </w:sdtContent>
    </w:sdt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95775" cy="52768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71328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95774" cy="5276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8.25pt;height:415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73BD88D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0525" cy="51911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69408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200525" cy="5191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0.75pt;height:408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921AB5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Copie(s) d’écran montrant le changement coté management.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2c21ea0c9b734bb9b65f2b6eb4638f0d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Copie(s) d'écran</w:t>
          </w:r>
          <w:r/>
        </w:p>
      </w:sdtContent>
    </w:sdt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67175" cy="52387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44540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067174" cy="5238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20.25pt;height:412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Q.1.1.2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 d’écran de l’OU DeactivatedUsers.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7298b482006e464aae47b11fdcaead3b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63360" cy="216535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92680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563359" cy="2165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16.80pt;height:170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5C43DBA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950D94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73D962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BB279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Q.1.1.3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 d’écran de l’ancien groupe dans lequel était Kelly Rhameur.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f646bba05dc346b4bccd21ca192a3973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63360" cy="20569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8687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563359" cy="2056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16.80pt;height:161.9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Q.1.1.4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 d’écran des dossiers individuels demandés.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386a7338c2954fe2a59b2c7198aa46c5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</w:rPr>
        <w:t xml:space="preserve">Partie 2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Q.1.2.1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Copies d’écran montrant le paramétrage de la restriction de connexion horaire.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73e695fbd743416bbcbd022e0cc29843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Copies d'écran</w:t>
          </w:r>
          <w:r/>
        </w:p>
      </w:sdtContent>
    </w:sdt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1200" cy="46863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91647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91199" cy="4686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6.00pt;height:369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Q.1.2.2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 d’écran montrant le paramétrage de la restriction de la connexion machine.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98953178a2954a6c9a95e6b9a813df01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62425" cy="53340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5469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162424" cy="5333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27.75pt;height:420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>
        <w:t xml:space="preserve">Q.1.2.3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Copies d’écran de la stratégie de mot de passe.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9ca3fe5a6027405c99ca2b6bd385b5dd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Copies d'écran</w:t>
          </w:r>
          <w:r/>
        </w:p>
      </w:sdtContent>
    </w:sdt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63360" cy="395104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4063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563359" cy="3951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16.80pt;height:311.1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b/>
          <w:bCs/>
          <w:sz w:val="40"/>
          <w:szCs w:val="40"/>
        </w:rPr>
        <w:t xml:space="preserve">Partie 3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Q.1.3.1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Copies d’écran de la GPO de montage de lecteurs.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a4e5be6a18704f67b2f201546125ae82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Copies d'écran</w:t>
          </w:r>
          <w:r/>
        </w:p>
      </w:sdtContent>
    </w:sdt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52"/>
          <w:szCs w:val="52"/>
          <w:highlight w:val="none"/>
        </w:rPr>
      </w:pPr>
      <w:r>
        <w:rPr>
          <w:sz w:val="52"/>
          <w:szCs w:val="52"/>
        </w:rPr>
        <w:t xml:space="preserve">Exercice 2</w:t>
      </w:r>
      <w:r>
        <w:rPr>
          <w:sz w:val="52"/>
          <w:szCs w:val="52"/>
          <w:highlight w:val="none"/>
        </w:rPr>
      </w:r>
      <w:r>
        <w:rPr>
          <w:sz w:val="52"/>
          <w:szCs w:val="52"/>
          <w:highlight w:val="none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Partie 1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Q.2.1.1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 d’écran de la création de compte.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7884e953c2e64ec6820e15f47c160f0c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63360" cy="287094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5379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563359" cy="2870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16.80pt;height:226.0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Q.2.1.2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 d’écran du paramétrage du compte.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29dc4057af814aa1a89eaea24f97ceab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57650" cy="6762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570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057650" cy="676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19.50pt;height:53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>
        <w:rPr>
          <w:b/>
          <w:bCs/>
          <w:sz w:val="40"/>
          <w:szCs w:val="40"/>
        </w:rPr>
        <w:t xml:space="preserve">Partie 2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Q.2.2.1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 d’écran du paramétrage de l’accès distant.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967cf3f83010461998b2c6ad977640f8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63360" cy="530683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23566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563359" cy="5306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16.80pt;height:417.8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Q.2.2.2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Copie d’écran du paramétrage distant avec le compte personnel.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3ed6af8680d4484d86178a08ba570b98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63360" cy="482044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05380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563359" cy="48204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16.80pt;height:379.5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Q.2.2.3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highlight w:val="none"/>
        </w:rPr>
        <w:t xml:space="preserve">Copies d’écran du paramétrage de l’authentification.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b041ab4de9084b42999db0c286a2dec3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Copies d'écran</w:t>
          </w:r>
          <w:r/>
        </w:p>
      </w:sdtContent>
    </w:sdt>
    <w:p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63360" cy="45546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5320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563359" cy="455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16.80pt;height:35.8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60083594"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63360" cy="368131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8121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563359" cy="3681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16.80pt;height:289.8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3BE8F372"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63360" cy="364369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10110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563359" cy="36436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16.80pt;height:286.9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24374324"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63360" cy="250205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98567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563359" cy="25020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16.80pt;height:197.0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Partie 3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sz w:val="32"/>
          <w:szCs w:val="32"/>
          <w:highlight w:val="none"/>
        </w:rPr>
      </w:pPr>
      <w:r>
        <w:rPr>
          <w:highlight w:val="none"/>
        </w:rPr>
        <w:t xml:space="preserve">Q.2.3.1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sz w:val="32"/>
          <w:szCs w:val="32"/>
          <w:highlight w:val="none"/>
        </w:rPr>
      </w:r>
      <w:r>
        <w:rPr>
          <w:highlight w:val="none"/>
        </w:rPr>
        <w:t xml:space="preserve">Copie d’écran montrant les systèmes de fichiers montés.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2e2b798f240b4e529a84dbb07839835e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95850" cy="220980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0301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895849" cy="2209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85.50pt;height:174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sz w:val="32"/>
          <w:szCs w:val="32"/>
          <w:highlight w:val="none"/>
        </w:rPr>
      </w:pPr>
      <w:r>
        <w:rPr>
          <w:highlight w:val="none"/>
        </w:rPr>
        <w:t xml:space="preserve">Q.2.3.2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sz w:val="32"/>
          <w:szCs w:val="32"/>
          <w:highlight w:val="none"/>
        </w:rPr>
      </w:r>
      <w:r>
        <w:rPr>
          <w:highlight w:val="none"/>
        </w:rPr>
        <w:t xml:space="preserve">Copie d’écran montrant les systèmes de stockage utilisés.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e34ab3db90a349d596fa5c05c50c80b3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63360" cy="111565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95071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563359" cy="11156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16.80pt;height:87.8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6D26B25C">
      <w:pPr>
        <w:pBdr/>
        <w:spacing/>
        <w:ind/>
        <w:rPr>
          <w:sz w:val="32"/>
          <w:szCs w:val="32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0DB71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Q.2.3.3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sz w:val="32"/>
          <w:szCs w:val="32"/>
          <w:highlight w:val="none"/>
        </w:rPr>
      </w:r>
      <w:r>
        <w:rPr>
          <w:highlight w:val="none"/>
        </w:rPr>
        <w:t xml:space="preserve">Copies d’écran montrant les différentes étapes pour la réparation du volume RAID.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dfa11159fc8c439481c3f46d4122dcd8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Copies d'écran</w:t>
          </w:r>
          <w:r/>
        </w:p>
      </w:sdtContent>
    </w:sdt>
    <w:p w14:paraId="73D9EE30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4475" cy="237172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48521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324474" cy="2371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19.25pt;height:186.7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30DA2586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24525" cy="514350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84747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24524" cy="514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0.75pt;height:405.0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1D7F6343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9275" cy="273367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52083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629275" cy="2733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43.25pt;height:215.2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115000F7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5475" cy="64770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11033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705474" cy="647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49.25pt;height:51.0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5AA4241C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1650" cy="496252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81024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581649" cy="496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39.50pt;height:390.7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6584EA3C">
      <w:pPr>
        <w:pBdr/>
        <w:spacing/>
        <w:ind/>
        <w:rPr>
          <w:sz w:val="32"/>
          <w:szCs w:val="32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127BC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Q.2.3.4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sz w:val="32"/>
          <w:szCs w:val="32"/>
          <w:highlight w:val="none"/>
        </w:rPr>
      </w:r>
      <w:r>
        <w:rPr>
          <w:highlight w:val="none"/>
        </w:rPr>
        <w:t xml:space="preserve">Copies d’écran montrant </w:t>
      </w:r>
      <w:r>
        <w:rPr>
          <w:highlight w:val="none"/>
        </w:rPr>
        <w:t xml:space="preserve">les différentes étapes de configuration.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448e5e975b464862b4e7536f57fb0aa1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Copies d'écran</w:t>
          </w:r>
          <w:r/>
        </w:p>
      </w:sdtContent>
    </w:sdt>
    <w:p w14:paraId="7585D4CB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6375" cy="74295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7703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286375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16.25pt;height:58.5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261AB64E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0225" cy="238125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2609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610224" cy="2381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41.75pt;height:187.5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/>
      <w:r>
        <w:rPr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14900" cy="29527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54943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4914900" cy="295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87.00pt;height:23.2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highlight w:val="none"/>
        </w:rPr>
      </w:r>
    </w:p>
    <w:p w14:paraId="5FE8F73A">
      <w:pPr>
        <w:pBdr/>
        <w:spacing/>
        <w:ind/>
        <w:rPr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63360" cy="2156353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36959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563359" cy="21563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516.80pt;height:169.79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17D1A4B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Q.2.3.5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sz w:val="32"/>
          <w:szCs w:val="32"/>
          <w:highlight w:val="none"/>
        </w:rPr>
      </w:r>
      <w:r>
        <w:rPr>
          <w:highlight w:val="none"/>
        </w:rPr>
        <w:t xml:space="preserve">Copie d’écran montrant l’espace disponible.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e06c33b94daf41568532f6ec26932d29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33825" cy="88582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5702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3933824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309.75pt;height:69.7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Partie 4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Q.2.4.1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1edaf82af9f44d7e9d137bfbc26bf564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sdtContent>
    </w:sdt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Partie 5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Q.2.5.1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838ffa6791bd4b63844d59fac0dbf4be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sdtContent>
    </w:sdt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Ct state established, relate accept </w:t>
      </w:r>
      <w:r>
        <w:rPr>
          <w:highlight w:val="none"/>
        </w:rPr>
      </w:r>
    </w:p>
    <w:p w14:paraId="33658F19">
      <w:pPr>
        <w:pBdr/>
        <w:spacing/>
        <w:ind/>
        <w:rPr>
          <w:highlight w:val="none"/>
        </w:rPr>
      </w:pPr>
      <w:r>
        <w:rPr>
          <w:highlight w:val="none"/>
        </w:rPr>
        <w:t xml:space="preserve">Ct state invalid drop</w:t>
      </w:r>
      <w:r>
        <w:rPr>
          <w:highlight w:val="none"/>
        </w:rPr>
      </w:r>
    </w:p>
    <w:p w14:paraId="19F0925C">
      <w:pPr>
        <w:pBdr/>
        <w:spacing/>
        <w:ind/>
        <w:rPr>
          <w:highlight w:val="none"/>
        </w:rPr>
      </w:pPr>
      <w:r>
        <w:rPr>
          <w:highlight w:val="none"/>
        </w:rPr>
        <w:t xml:space="preserve">Iiffname lo  accept</w:t>
      </w:r>
      <w:r>
        <w:rPr>
          <w:highlight w:val="none"/>
        </w:rPr>
      </w:r>
    </w:p>
    <w:p w14:paraId="3F4D3B2B">
      <w:pPr>
        <w:pBdr/>
        <w:spacing/>
        <w:ind/>
        <w:rPr>
          <w:highlight w:val="none"/>
        </w:rPr>
      </w:pPr>
      <w:r>
        <w:rPr>
          <w:highlight w:val="none"/>
        </w:rPr>
        <w:t xml:space="preserve">Tcp dport 22 accept</w:t>
      </w:r>
      <w:r>
        <w:rPr>
          <w:highlight w:val="none"/>
        </w:rPr>
      </w:r>
    </w:p>
    <w:p w14:paraId="0B41625B">
      <w:pPr>
        <w:pBdr/>
        <w:spacing/>
        <w:ind/>
        <w:rPr>
          <w:highlight w:val="none"/>
        </w:rPr>
      </w:pPr>
      <w:r>
        <w:rPr>
          <w:highlight w:val="none"/>
        </w:rPr>
        <w:t xml:space="preserve">Ip protocol icmp accept</w:t>
      </w:r>
      <w:r>
        <w:rPr>
          <w:highlight w:val="none"/>
        </w:rPr>
      </w:r>
    </w:p>
    <w:p w14:paraId="1348514E">
      <w:pPr>
        <w:pBdr/>
        <w:spacing/>
        <w:ind/>
        <w:rPr>
          <w:highlight w:val="none"/>
        </w:rPr>
      </w:pPr>
      <w:r>
        <w:rPr>
          <w:highlight w:val="none"/>
        </w:rPr>
        <w:t xml:space="preserve">Ip6 nexthdr ipv6-icmp accept</w:t>
      </w:r>
      <w:r>
        <w:rPr>
          <w:highlight w:val="none"/>
        </w:rPr>
      </w:r>
    </w:p>
    <w:p w14:paraId="124A721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980B0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Q.2.5.2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22664282908e4077893323116521ead5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sdtContent>
    </w:sdt>
    <w:p w14:paraId="27E0054D">
      <w:pPr>
        <w:pBdr/>
        <w:spacing/>
        <w:ind/>
        <w:rPr>
          <w:highlight w:val="none"/>
        </w:rPr>
      </w:pPr>
      <w:r>
        <w:rPr>
          <w:highlight w:val="none"/>
        </w:rPr>
        <w:t xml:space="preserve">Iiffname lo  accept</w:t>
      </w:r>
      <w:r>
        <w:rPr>
          <w:highlight w:val="none"/>
        </w:rPr>
        <w:t xml:space="preserve">  communication locale sur interface loopback</w:t>
      </w:r>
      <w:r>
        <w:rPr>
          <w:highlight w:val="none"/>
        </w:rPr>
      </w:r>
    </w:p>
    <w:p w14:paraId="514EACF0">
      <w:pPr>
        <w:pBdr/>
        <w:spacing/>
        <w:ind/>
        <w:rPr>
          <w:highlight w:val="none"/>
        </w:rPr>
      </w:pPr>
      <w:r>
        <w:rPr>
          <w:highlight w:val="none"/>
        </w:rPr>
        <w:t xml:space="preserve">Tcp dport 22 accept</w:t>
      </w:r>
      <w:r>
        <w:rPr>
          <w:highlight w:val="none"/>
        </w:rPr>
        <w:t xml:space="preserve"> communication Port 22 TCP pour SSH</w:t>
      </w:r>
      <w:r>
        <w:rPr>
          <w:highlight w:val="none"/>
        </w:rPr>
      </w:r>
    </w:p>
    <w:p w14:paraId="186CFE77">
      <w:pPr>
        <w:pBdr/>
        <w:spacing/>
        <w:ind/>
        <w:rPr>
          <w:highlight w:val="none"/>
        </w:rPr>
      </w:pPr>
      <w:r>
        <w:rPr>
          <w:highlight w:val="none"/>
        </w:rPr>
        <w:t xml:space="preserve">Ip protocol icmp accept</w:t>
      </w:r>
      <w:r>
        <w:rPr>
          <w:highlight w:val="none"/>
        </w:rPr>
        <w:t xml:space="preserve"> Communication pour le ping IPV4 ICMP</w:t>
      </w:r>
      <w:r>
        <w:rPr>
          <w:highlight w:val="none"/>
        </w:rPr>
      </w:r>
    </w:p>
    <w:p w14:paraId="1B6714B5">
      <w:pPr>
        <w:pBdr/>
        <w:spacing/>
        <w:ind/>
        <w:rPr>
          <w:highlight w:val="none"/>
        </w:rPr>
      </w:pPr>
      <w:r>
        <w:rPr>
          <w:highlight w:val="none"/>
        </w:rPr>
        <w:t xml:space="preserve">Ip6 nexthdr ipv6-icmp accept</w:t>
      </w:r>
      <w:r>
        <w:rPr>
          <w:highlight w:val="none"/>
        </w:rPr>
        <w:t xml:space="preserve"> </w:t>
      </w:r>
      <w:r>
        <w:rPr>
          <w:highlight w:val="none"/>
        </w:rPr>
        <w:t xml:space="preserve">Communication pour le ping IPV6 ICMP</w:t>
      </w:r>
      <w:r>
        <w:rPr>
          <w:highlight w:val="none"/>
        </w:rPr>
      </w:r>
      <w:r>
        <w:rPr>
          <w:highlight w:val="none"/>
        </w:rPr>
      </w:r>
    </w:p>
    <w:p w14:paraId="7186A94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Ct state established, relate accept </w:t>
      </w:r>
      <w:r>
        <w:rPr>
          <w:highlight w:val="none"/>
        </w:rPr>
        <w:t xml:space="preserve"> Communication au connexions sortantes</w:t>
      </w:r>
      <w:r>
        <w:rPr>
          <w:highlight w:val="none"/>
        </w:rPr>
      </w:r>
    </w:p>
    <w:p w14:paraId="36117DE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82B11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12A52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E5734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D0703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Q.2.5.3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9a45be096ded4d6a876b11e7a15cdfdc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sdtContent>
    </w:sdt>
    <w:p w14:paraId="5A692F25">
      <w:pPr>
        <w:pBdr/>
        <w:spacing/>
        <w:ind/>
        <w:rPr>
          <w:highlight w:val="none"/>
        </w:rPr>
      </w:pPr>
      <w:r>
        <w:rPr>
          <w:highlight w:val="none"/>
        </w:rPr>
        <w:t xml:space="preserve">Ct state invalid  </w:t>
      </w:r>
      <w:r>
        <w:rPr>
          <w:highlight w:val="none"/>
        </w:rPr>
        <w:t xml:space="preserve">Touts les paquets avec etat invalide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Drop Tout le reste du trafic entrant</w:t>
      </w:r>
      <w:r>
        <w:rPr>
          <w:highlight w:val="none"/>
        </w:rPr>
      </w:r>
    </w:p>
    <w:p w14:paraId="603E4A3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Q.2.5.4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19f1c1b66f874fd2b97ed0797928d096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sdtContent>
    </w:sdt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72200" cy="252412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61617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172200" cy="2524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86.00pt;height:198.7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Partie 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Q.2.6.1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4823934b9f67471296d22c52f50552ba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63360" cy="1480402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2958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6563359" cy="14804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516.80pt;height:116.57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6838" w:orient="portrait" w:w="11906"/>
      <w:pgMar w:top="850" w:right="720" w:bottom="720" w:left="85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lowerLetter"/>
      <w:pPr>
        <w:pBdr/>
        <w:spacing/>
        <w:ind w:hanging="360" w:left="1058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7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9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1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3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5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7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9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18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lowerLetter"/>
      <w:pPr>
        <w:pBdr/>
        <w:spacing/>
        <w:ind w:hanging="360" w:left="1058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7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9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1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3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5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7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9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18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lowerLetter"/>
      <w:pPr>
        <w:pBdr/>
        <w:spacing/>
        <w:ind w:hanging="360" w:left="1058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7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9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1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3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5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7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9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18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none" w:formatting="1"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table" w:styleId="713">
    <w:name w:val="Table Grid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7"/>
    <w:next w:val="897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7"/>
    <w:next w:val="897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7"/>
    <w:next w:val="897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7"/>
    <w:next w:val="897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7"/>
    <w:next w:val="897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7"/>
    <w:next w:val="897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7"/>
    <w:next w:val="897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7"/>
    <w:next w:val="897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7"/>
    <w:next w:val="897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7"/>
    <w:next w:val="897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7"/>
    <w:next w:val="897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7"/>
    <w:next w:val="897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7"/>
    <w:next w:val="897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7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7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7"/>
    <w:next w:val="8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7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7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7"/>
    <w:next w:val="897"/>
    <w:uiPriority w:val="39"/>
    <w:unhideWhenUsed/>
    <w:pPr>
      <w:pBdr/>
      <w:spacing w:after="100"/>
      <w:ind/>
    </w:pPr>
  </w:style>
  <w:style w:type="paragraph" w:styleId="887">
    <w:name w:val="toc 2"/>
    <w:basedOn w:val="897"/>
    <w:next w:val="897"/>
    <w:uiPriority w:val="39"/>
    <w:unhideWhenUsed/>
    <w:pPr>
      <w:pBdr/>
      <w:spacing w:after="100"/>
      <w:ind w:left="220"/>
    </w:pPr>
  </w:style>
  <w:style w:type="paragraph" w:styleId="888">
    <w:name w:val="toc 3"/>
    <w:basedOn w:val="897"/>
    <w:next w:val="897"/>
    <w:uiPriority w:val="39"/>
    <w:unhideWhenUsed/>
    <w:pPr>
      <w:pBdr/>
      <w:spacing w:after="100"/>
      <w:ind w:left="440"/>
    </w:pPr>
  </w:style>
  <w:style w:type="paragraph" w:styleId="889">
    <w:name w:val="toc 4"/>
    <w:basedOn w:val="897"/>
    <w:next w:val="897"/>
    <w:uiPriority w:val="39"/>
    <w:unhideWhenUsed/>
    <w:pPr>
      <w:pBdr/>
      <w:spacing w:after="100"/>
      <w:ind w:left="660"/>
    </w:pPr>
  </w:style>
  <w:style w:type="paragraph" w:styleId="890">
    <w:name w:val="toc 5"/>
    <w:basedOn w:val="897"/>
    <w:next w:val="897"/>
    <w:uiPriority w:val="39"/>
    <w:unhideWhenUsed/>
    <w:pPr>
      <w:pBdr/>
      <w:spacing w:after="100"/>
      <w:ind w:left="880"/>
    </w:pPr>
  </w:style>
  <w:style w:type="paragraph" w:styleId="891">
    <w:name w:val="toc 6"/>
    <w:basedOn w:val="897"/>
    <w:next w:val="897"/>
    <w:uiPriority w:val="39"/>
    <w:unhideWhenUsed/>
    <w:pPr>
      <w:pBdr/>
      <w:spacing w:after="100"/>
      <w:ind w:left="1100"/>
    </w:pPr>
  </w:style>
  <w:style w:type="paragraph" w:styleId="892">
    <w:name w:val="toc 7"/>
    <w:basedOn w:val="897"/>
    <w:next w:val="897"/>
    <w:uiPriority w:val="39"/>
    <w:unhideWhenUsed/>
    <w:pPr>
      <w:pBdr/>
      <w:spacing w:after="100"/>
      <w:ind w:left="1320"/>
    </w:pPr>
  </w:style>
  <w:style w:type="paragraph" w:styleId="893">
    <w:name w:val="toc 8"/>
    <w:basedOn w:val="897"/>
    <w:next w:val="897"/>
    <w:uiPriority w:val="39"/>
    <w:unhideWhenUsed/>
    <w:pPr>
      <w:pBdr/>
      <w:spacing w:after="100"/>
      <w:ind w:left="1540"/>
    </w:pPr>
  </w:style>
  <w:style w:type="paragraph" w:styleId="894">
    <w:name w:val="toc 9"/>
    <w:basedOn w:val="897"/>
    <w:next w:val="897"/>
    <w:uiPriority w:val="39"/>
    <w:unhideWhenUsed/>
    <w:pPr>
      <w:pBdr/>
      <w:spacing w:after="100"/>
      <w:ind w:left="1760"/>
    </w:pPr>
  </w:style>
  <w:style w:type="paragraph" w:styleId="895">
    <w:name w:val="TOC Heading"/>
    <w:uiPriority w:val="39"/>
    <w:unhideWhenUsed/>
    <w:pPr>
      <w:pBdr/>
      <w:spacing/>
      <w:ind/>
    </w:pPr>
  </w:style>
  <w:style w:type="paragraph" w:styleId="896">
    <w:name w:val="table of figures"/>
    <w:basedOn w:val="897"/>
    <w:next w:val="897"/>
    <w:uiPriority w:val="99"/>
    <w:unhideWhenUsed/>
    <w:pPr>
      <w:pBdr/>
      <w:spacing w:after="0" w:afterAutospacing="0"/>
      <w:ind/>
    </w:pPr>
  </w:style>
  <w:style w:type="paragraph" w:styleId="897" w:default="1">
    <w:name w:val="Normal"/>
    <w:qFormat/>
    <w:pPr>
      <w:pBdr/>
      <w:spacing/>
      <w:ind/>
    </w:pPr>
  </w:style>
  <w:style w:type="table" w:styleId="8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9" w:default="1">
    <w:name w:val="No List"/>
    <w:uiPriority w:val="99"/>
    <w:semiHidden/>
    <w:unhideWhenUsed/>
    <w:pPr>
      <w:pBdr/>
      <w:spacing/>
      <w:ind/>
    </w:pPr>
  </w:style>
  <w:style w:type="paragraph" w:styleId="900">
    <w:name w:val="No Spacing"/>
    <w:basedOn w:val="897"/>
    <w:uiPriority w:val="1"/>
    <w:qFormat/>
    <w:pPr>
      <w:pBdr/>
      <w:spacing w:after="0" w:line="240" w:lineRule="auto"/>
      <w:ind/>
    </w:pPr>
  </w:style>
  <w:style w:type="paragraph" w:styleId="901">
    <w:name w:val="List Paragraph"/>
    <w:basedOn w:val="89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35792c1483804734914d97a9c05daa7d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Copie(s) d'écran</w:t>
          </w:r>
          <w:r/>
        </w:p>
      </w:docPartBody>
    </w:docPart>
    <w:docPart>
      <w:docPartPr>
        <w:name w:val="2c21ea0c9b734bb9b65f2b6eb4638f0d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Copie(s) d'écran</w:t>
          </w:r>
          <w:r/>
        </w:p>
      </w:docPartBody>
    </w:docPart>
    <w:docPart>
      <w:docPartPr>
        <w:name w:val="7298b482006e464aae47b11fdcaead3b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f646bba05dc346b4bccd21ca192a3973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386a7338c2954fe2a59b2c7198aa46c5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73e695fbd743416bbcbd022e0cc29843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Copies d'écran</w:t>
          </w:r>
          <w:r/>
        </w:p>
      </w:docPartBody>
    </w:docPart>
    <w:docPart>
      <w:docPartPr>
        <w:name w:val="98953178a2954a6c9a95e6b9a813df01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9ca3fe5a6027405c99ca2b6bd385b5dd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Copies d'écran</w:t>
          </w:r>
          <w:r/>
        </w:p>
      </w:docPartBody>
    </w:docPart>
    <w:docPart>
      <w:docPartPr>
        <w:name w:val="a4e5be6a18704f67b2f201546125ae82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Copies d'écran</w:t>
          </w:r>
          <w:r/>
        </w:p>
      </w:docPartBody>
    </w:docPart>
    <w:docPart>
      <w:docPartPr>
        <w:name w:val="7884e953c2e64ec6820e15f47c160f0c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29dc4057af814aa1a89eaea24f97ceab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967cf3f83010461998b2c6ad977640f8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3ed6af8680d4484d86178a08ba570b98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b041ab4de9084b42999db0c286a2dec3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Copies d'écran</w:t>
          </w:r>
          <w:r/>
        </w:p>
      </w:docPartBody>
    </w:docPart>
    <w:docPart>
      <w:docPartPr>
        <w:name w:val="2e2b798f240b4e529a84dbb07839835e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e34ab3db90a349d596fa5c05c50c80b3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dfa11159fc8c439481c3f46d4122dcd8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Copies d'écran</w:t>
          </w:r>
          <w:r/>
        </w:p>
      </w:docPartBody>
    </w:docPart>
    <w:docPart>
      <w:docPartPr>
        <w:name w:val="448e5e975b464862b4e7536f57fb0aa1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Copies d'écran</w:t>
          </w:r>
          <w:r/>
        </w:p>
      </w:docPartBody>
    </w:docPart>
    <w:docPart>
      <w:docPartPr>
        <w:name w:val="e06c33b94daf41568532f6ec26932d29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1edaf82af9f44d7e9d137bfbc26bf564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docPartBody>
    </w:docPart>
    <w:docPart>
      <w:docPartPr>
        <w:name w:val="838ffa6791bd4b63844d59fac0dbf4be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docPartBody>
    </w:docPart>
    <w:docPart>
      <w:docPartPr>
        <w:name w:val="22664282908e4077893323116521ead5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docPartBody>
    </w:docPart>
    <w:docPart>
      <w:docPartPr>
        <w:name w:val="9a45be096ded4d6a876b11e7a15cdfdc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docPartBody>
    </w:docPart>
    <w:docPart>
      <w:docPartPr>
        <w:name w:val="19f1c1b66f874fd2b97ed0797928d096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docPartBody>
    </w:docPart>
    <w:docPart>
      <w:docPartPr>
        <w:name w:val="4823934b9f67471296d22c52f50552ba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56">
    <w:name w:val="Placeholder Text"/>
    <w:basedOn w:val="1541"/>
    <w:uiPriority w:val="99"/>
    <w:semiHidden/>
    <w:pPr>
      <w:pBdr/>
      <w:spacing/>
      <w:ind/>
    </w:pPr>
    <w:rPr>
      <w:color w:val="666666"/>
    </w:rPr>
  </w:style>
  <w:style w:type="table" w:styleId="14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Table Grid"/>
    <w:basedOn w:val="14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Table Grid Light"/>
    <w:basedOn w:val="14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Plain Table 1"/>
    <w:basedOn w:val="14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Plain Table 2"/>
    <w:basedOn w:val="14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Plain Table 3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Plain Table 4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Plain Table 5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1 Light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1 Light - Accent 1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1 Light - Accent 2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1 Light - Accent 3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1 Light - Accent 4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1 Light - Accent 5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1 Light - Accent 6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2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2 - Accent 1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2 - Accent 2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2 - Accent 3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2 - Accent 4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2 - Accent 5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2 - Accent 6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3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3 - Accent 1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3 - Accent 2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3 - Accent 3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3 - Accent 4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3 - Accent 5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3 - Accent 6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4"/>
    <w:basedOn w:val="14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4 - Accent 1"/>
    <w:basedOn w:val="14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4 - Accent 2"/>
    <w:basedOn w:val="14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4 - Accent 3"/>
    <w:basedOn w:val="14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4 - Accent 4"/>
    <w:basedOn w:val="14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4 - Accent 5"/>
    <w:basedOn w:val="14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4 - Accent 6"/>
    <w:basedOn w:val="14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5 Dark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5 Dark- Accent 1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5 Dark - Accent 2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5 Dark - Accent 3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5 Dark- Accent 4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5 Dark - Accent 5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5 Dark - Accent 6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6 Colorful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6 Colorful - Accent 1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6 Colorful - Accent 2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6 Colorful - Accent 3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6 Colorful - Accent 4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6 Colorful - Accent 5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6 Colorful - Accent 6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7 Colorful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7 Colorful - Accent 1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7 Colorful - Accent 2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7 Colorful - Accent 3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7 Colorful - Accent 4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7 Colorful - Accent 5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7 Colorful - Accent 6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1 Light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1 Light - Accent 1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1 Light - Accent 2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1 Light - Accent 3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1 Light - Accent 4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1 Light - Accent 5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1 Light - Accent 6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2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2 - Accent 1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2 - Accent 2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2 - Accent 3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2 - Accent 4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2 - Accent 5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2 - Accent 6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3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3 - Accent 1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3 - Accent 2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3 - Accent 3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3 - Accent 4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3 - Accent 5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3 - Accent 6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4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4 - Accent 1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4 - Accent 2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4 - Accent 3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4 - Accent 4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4 - Accent 5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4 - Accent 6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5 Dark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5 Dark - Accent 1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5 Dark - Accent 2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5 Dark - Accent 3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5 Dark - Accent 4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5 Dark - Accent 5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5 Dark - Accent 6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6 Colorful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6 Colorful - Accent 1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6 Colorful - Accent 2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6 Colorful - Accent 3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6 Colorful - Accent 4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6 Colorful - Accent 5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6 Colorful - Accent 6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7 Colorful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7 Colorful - Accent 1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7 Colorful - Accent 2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7 Colorful - Accent 3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7 Colorful - Accent 4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7 Colorful - Accent 5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7 Colorful - Accent 6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ned - Accent"/>
    <w:basedOn w:val="14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ned - Accent 1"/>
    <w:basedOn w:val="14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ned - Accent 2"/>
    <w:basedOn w:val="14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ned - Accent 3"/>
    <w:basedOn w:val="14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ned - Accent 4"/>
    <w:basedOn w:val="14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ned - Accent 5"/>
    <w:basedOn w:val="14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ned - Accent 6"/>
    <w:basedOn w:val="14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Bordered &amp; Lined - Accent"/>
    <w:basedOn w:val="14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Bordered &amp; Lined - Accent 1"/>
    <w:basedOn w:val="14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Bordered &amp; Lined - Accent 2"/>
    <w:basedOn w:val="14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Bordered &amp; Lined - Accent 3"/>
    <w:basedOn w:val="14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Bordered &amp; Lined - Accent 4"/>
    <w:basedOn w:val="14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Bordered &amp; Lined - Accent 5"/>
    <w:basedOn w:val="14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Bordered &amp; Lined - Accent 6"/>
    <w:basedOn w:val="14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Bordered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Bordered - Accent 1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Bordered - Accent 2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Bordered - Accent 3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Bordered - Accent 4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Bordered - Accent 5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 - Accent 6"/>
    <w:basedOn w:val="14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31" w:default="1">
    <w:name w:val="Normal"/>
    <w:qFormat/>
    <w:pPr>
      <w:pBdr/>
      <w:spacing/>
      <w:ind/>
    </w:pPr>
  </w:style>
  <w:style w:type="paragraph" w:styleId="1532">
    <w:name w:val="Heading 1"/>
    <w:basedOn w:val="1531"/>
    <w:next w:val="1531"/>
    <w:link w:val="15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33">
    <w:name w:val="Heading 2"/>
    <w:basedOn w:val="1531"/>
    <w:next w:val="1531"/>
    <w:link w:val="15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34">
    <w:name w:val="Heading 3"/>
    <w:basedOn w:val="1531"/>
    <w:next w:val="1531"/>
    <w:link w:val="15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35">
    <w:name w:val="Heading 4"/>
    <w:basedOn w:val="1531"/>
    <w:next w:val="1531"/>
    <w:link w:val="15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36">
    <w:name w:val="Heading 5"/>
    <w:basedOn w:val="1531"/>
    <w:next w:val="1531"/>
    <w:link w:val="15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37">
    <w:name w:val="Heading 6"/>
    <w:basedOn w:val="1531"/>
    <w:next w:val="1531"/>
    <w:link w:val="15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38">
    <w:name w:val="Heading 7"/>
    <w:basedOn w:val="1531"/>
    <w:next w:val="1531"/>
    <w:link w:val="15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39">
    <w:name w:val="Heading 8"/>
    <w:basedOn w:val="1531"/>
    <w:next w:val="1531"/>
    <w:link w:val="15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40">
    <w:name w:val="Heading 9"/>
    <w:basedOn w:val="1531"/>
    <w:next w:val="1531"/>
    <w:link w:val="15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41" w:default="1">
    <w:name w:val="Default Paragraph Font"/>
    <w:uiPriority w:val="1"/>
    <w:semiHidden/>
    <w:unhideWhenUsed/>
    <w:pPr>
      <w:pBdr/>
      <w:spacing/>
      <w:ind/>
    </w:pPr>
  </w:style>
  <w:style w:type="numbering" w:styleId="1542" w:default="1">
    <w:name w:val="No List"/>
    <w:uiPriority w:val="99"/>
    <w:semiHidden/>
    <w:unhideWhenUsed/>
    <w:pPr>
      <w:pBdr/>
      <w:spacing/>
      <w:ind/>
    </w:pPr>
  </w:style>
  <w:style w:type="character" w:styleId="1543">
    <w:name w:val="Heading 1 Char"/>
    <w:basedOn w:val="1541"/>
    <w:link w:val="15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44">
    <w:name w:val="Heading 2 Char"/>
    <w:basedOn w:val="1541"/>
    <w:link w:val="15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45">
    <w:name w:val="Heading 3 Char"/>
    <w:basedOn w:val="1541"/>
    <w:link w:val="15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46">
    <w:name w:val="Heading 4 Char"/>
    <w:basedOn w:val="1541"/>
    <w:link w:val="15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7">
    <w:name w:val="Heading 5 Char"/>
    <w:basedOn w:val="1541"/>
    <w:link w:val="15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8">
    <w:name w:val="Heading 6 Char"/>
    <w:basedOn w:val="1541"/>
    <w:link w:val="15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49">
    <w:name w:val="Heading 7 Char"/>
    <w:basedOn w:val="1541"/>
    <w:link w:val="15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50">
    <w:name w:val="Heading 8 Char"/>
    <w:basedOn w:val="1541"/>
    <w:link w:val="15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51">
    <w:name w:val="Heading 9 Char"/>
    <w:basedOn w:val="1541"/>
    <w:link w:val="15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52">
    <w:name w:val="Title"/>
    <w:basedOn w:val="1531"/>
    <w:next w:val="1531"/>
    <w:link w:val="15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53">
    <w:name w:val="Title Char"/>
    <w:basedOn w:val="1541"/>
    <w:link w:val="15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54">
    <w:name w:val="Subtitle"/>
    <w:basedOn w:val="1531"/>
    <w:next w:val="1531"/>
    <w:link w:val="15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55">
    <w:name w:val="Subtitle Char"/>
    <w:basedOn w:val="1541"/>
    <w:link w:val="15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56">
    <w:name w:val="Quote"/>
    <w:basedOn w:val="1531"/>
    <w:next w:val="1531"/>
    <w:link w:val="15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57">
    <w:name w:val="Quote Char"/>
    <w:basedOn w:val="1541"/>
    <w:link w:val="15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58">
    <w:name w:val="List Paragraph"/>
    <w:basedOn w:val="1531"/>
    <w:uiPriority w:val="34"/>
    <w:qFormat/>
    <w:pPr>
      <w:pBdr/>
      <w:spacing/>
      <w:ind w:left="720"/>
      <w:contextualSpacing w:val="true"/>
    </w:pPr>
  </w:style>
  <w:style w:type="character" w:styleId="1559">
    <w:name w:val="Intense Emphasis"/>
    <w:basedOn w:val="15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60">
    <w:name w:val="Intense Quote"/>
    <w:basedOn w:val="1531"/>
    <w:next w:val="1531"/>
    <w:link w:val="15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61">
    <w:name w:val="Intense Quote Char"/>
    <w:basedOn w:val="1541"/>
    <w:link w:val="15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62">
    <w:name w:val="Intense Reference"/>
    <w:basedOn w:val="15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63">
    <w:name w:val="No Spacing"/>
    <w:basedOn w:val="1531"/>
    <w:uiPriority w:val="1"/>
    <w:qFormat/>
    <w:pPr>
      <w:pBdr/>
      <w:spacing w:after="0" w:line="240" w:lineRule="auto"/>
      <w:ind/>
    </w:pPr>
  </w:style>
  <w:style w:type="character" w:styleId="1564">
    <w:name w:val="Subtle Emphasis"/>
    <w:basedOn w:val="15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65">
    <w:name w:val="Emphasis"/>
    <w:basedOn w:val="1541"/>
    <w:uiPriority w:val="20"/>
    <w:qFormat/>
    <w:pPr>
      <w:pBdr/>
      <w:spacing/>
      <w:ind/>
    </w:pPr>
    <w:rPr>
      <w:i/>
      <w:iCs/>
    </w:rPr>
  </w:style>
  <w:style w:type="character" w:styleId="1566">
    <w:name w:val="Strong"/>
    <w:basedOn w:val="1541"/>
    <w:uiPriority w:val="22"/>
    <w:qFormat/>
    <w:pPr>
      <w:pBdr/>
      <w:spacing/>
      <w:ind/>
    </w:pPr>
    <w:rPr>
      <w:b/>
      <w:bCs/>
    </w:rPr>
  </w:style>
  <w:style w:type="character" w:styleId="1567">
    <w:name w:val="Subtle Reference"/>
    <w:basedOn w:val="15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68">
    <w:name w:val="Book Title"/>
    <w:basedOn w:val="15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69">
    <w:name w:val="Header"/>
    <w:basedOn w:val="1531"/>
    <w:link w:val="15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0">
    <w:name w:val="Header Char"/>
    <w:basedOn w:val="1541"/>
    <w:link w:val="1569"/>
    <w:uiPriority w:val="99"/>
    <w:pPr>
      <w:pBdr/>
      <w:spacing/>
      <w:ind/>
    </w:pPr>
  </w:style>
  <w:style w:type="paragraph" w:styleId="1571">
    <w:name w:val="Footer"/>
    <w:basedOn w:val="1531"/>
    <w:link w:val="15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2">
    <w:name w:val="Footer Char"/>
    <w:basedOn w:val="1541"/>
    <w:link w:val="1571"/>
    <w:uiPriority w:val="99"/>
    <w:pPr>
      <w:pBdr/>
      <w:spacing/>
      <w:ind/>
    </w:pPr>
  </w:style>
  <w:style w:type="paragraph" w:styleId="1573">
    <w:name w:val="Caption"/>
    <w:basedOn w:val="1531"/>
    <w:next w:val="15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74">
    <w:name w:val="footnote text"/>
    <w:basedOn w:val="1531"/>
    <w:link w:val="15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75">
    <w:name w:val="Footnote Text Char"/>
    <w:basedOn w:val="1541"/>
    <w:link w:val="1574"/>
    <w:uiPriority w:val="99"/>
    <w:semiHidden/>
    <w:pPr>
      <w:pBdr/>
      <w:spacing/>
      <w:ind/>
    </w:pPr>
    <w:rPr>
      <w:sz w:val="20"/>
      <w:szCs w:val="20"/>
    </w:rPr>
  </w:style>
  <w:style w:type="character" w:styleId="1576">
    <w:name w:val="footnote reference"/>
    <w:basedOn w:val="1541"/>
    <w:uiPriority w:val="99"/>
    <w:semiHidden/>
    <w:unhideWhenUsed/>
    <w:pPr>
      <w:pBdr/>
      <w:spacing/>
      <w:ind/>
    </w:pPr>
    <w:rPr>
      <w:vertAlign w:val="superscript"/>
    </w:rPr>
  </w:style>
  <w:style w:type="paragraph" w:styleId="1577">
    <w:name w:val="endnote text"/>
    <w:basedOn w:val="1531"/>
    <w:link w:val="15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78">
    <w:name w:val="Endnote Text Char"/>
    <w:basedOn w:val="1541"/>
    <w:link w:val="1577"/>
    <w:uiPriority w:val="99"/>
    <w:semiHidden/>
    <w:pPr>
      <w:pBdr/>
      <w:spacing/>
      <w:ind/>
    </w:pPr>
    <w:rPr>
      <w:sz w:val="20"/>
      <w:szCs w:val="20"/>
    </w:rPr>
  </w:style>
  <w:style w:type="character" w:styleId="1579">
    <w:name w:val="endnote reference"/>
    <w:basedOn w:val="1541"/>
    <w:uiPriority w:val="99"/>
    <w:semiHidden/>
    <w:unhideWhenUsed/>
    <w:pPr>
      <w:pBdr/>
      <w:spacing/>
      <w:ind/>
    </w:pPr>
    <w:rPr>
      <w:vertAlign w:val="superscript"/>
    </w:rPr>
  </w:style>
  <w:style w:type="character" w:styleId="1580">
    <w:name w:val="Hyperlink"/>
    <w:basedOn w:val="15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81">
    <w:name w:val="FollowedHyperlink"/>
    <w:basedOn w:val="15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82">
    <w:name w:val="toc 1"/>
    <w:basedOn w:val="1531"/>
    <w:next w:val="1531"/>
    <w:uiPriority w:val="39"/>
    <w:unhideWhenUsed/>
    <w:pPr>
      <w:pBdr/>
      <w:spacing w:after="100"/>
      <w:ind/>
    </w:pPr>
  </w:style>
  <w:style w:type="paragraph" w:styleId="1583">
    <w:name w:val="toc 2"/>
    <w:basedOn w:val="1531"/>
    <w:next w:val="1531"/>
    <w:uiPriority w:val="39"/>
    <w:unhideWhenUsed/>
    <w:pPr>
      <w:pBdr/>
      <w:spacing w:after="100"/>
      <w:ind w:left="220"/>
    </w:pPr>
  </w:style>
  <w:style w:type="paragraph" w:styleId="1584">
    <w:name w:val="toc 3"/>
    <w:basedOn w:val="1531"/>
    <w:next w:val="1531"/>
    <w:uiPriority w:val="39"/>
    <w:unhideWhenUsed/>
    <w:pPr>
      <w:pBdr/>
      <w:spacing w:after="100"/>
      <w:ind w:left="440"/>
    </w:pPr>
  </w:style>
  <w:style w:type="paragraph" w:styleId="1585">
    <w:name w:val="toc 4"/>
    <w:basedOn w:val="1531"/>
    <w:next w:val="1531"/>
    <w:uiPriority w:val="39"/>
    <w:unhideWhenUsed/>
    <w:pPr>
      <w:pBdr/>
      <w:spacing w:after="100"/>
      <w:ind w:left="660"/>
    </w:pPr>
  </w:style>
  <w:style w:type="paragraph" w:styleId="1586">
    <w:name w:val="toc 5"/>
    <w:basedOn w:val="1531"/>
    <w:next w:val="1531"/>
    <w:uiPriority w:val="39"/>
    <w:unhideWhenUsed/>
    <w:pPr>
      <w:pBdr/>
      <w:spacing w:after="100"/>
      <w:ind w:left="880"/>
    </w:pPr>
  </w:style>
  <w:style w:type="paragraph" w:styleId="1587">
    <w:name w:val="toc 6"/>
    <w:basedOn w:val="1531"/>
    <w:next w:val="1531"/>
    <w:uiPriority w:val="39"/>
    <w:unhideWhenUsed/>
    <w:pPr>
      <w:pBdr/>
      <w:spacing w:after="100"/>
      <w:ind w:left="1100"/>
    </w:pPr>
  </w:style>
  <w:style w:type="paragraph" w:styleId="1588">
    <w:name w:val="toc 7"/>
    <w:basedOn w:val="1531"/>
    <w:next w:val="1531"/>
    <w:uiPriority w:val="39"/>
    <w:unhideWhenUsed/>
    <w:pPr>
      <w:pBdr/>
      <w:spacing w:after="100"/>
      <w:ind w:left="1320"/>
    </w:pPr>
  </w:style>
  <w:style w:type="paragraph" w:styleId="1589">
    <w:name w:val="toc 8"/>
    <w:basedOn w:val="1531"/>
    <w:next w:val="1531"/>
    <w:uiPriority w:val="39"/>
    <w:unhideWhenUsed/>
    <w:pPr>
      <w:pBdr/>
      <w:spacing w:after="100"/>
      <w:ind w:left="1540"/>
    </w:pPr>
  </w:style>
  <w:style w:type="paragraph" w:styleId="1590">
    <w:name w:val="toc 9"/>
    <w:basedOn w:val="1531"/>
    <w:next w:val="1531"/>
    <w:uiPriority w:val="39"/>
    <w:unhideWhenUsed/>
    <w:pPr>
      <w:pBdr/>
      <w:spacing w:after="100"/>
      <w:ind w:left="1760"/>
    </w:pPr>
  </w:style>
  <w:style w:type="paragraph" w:styleId="1591">
    <w:name w:val="TOC Heading"/>
    <w:uiPriority w:val="39"/>
    <w:unhideWhenUsed/>
    <w:pPr>
      <w:pBdr/>
      <w:spacing/>
      <w:ind/>
    </w:pPr>
  </w:style>
  <w:style w:type="paragraph" w:styleId="1592">
    <w:name w:val="table of figures"/>
    <w:basedOn w:val="1531"/>
    <w:next w:val="1531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8</cp:revision>
  <dcterms:modified xsi:type="dcterms:W3CDTF">2026-02-13T11:45:56Z</dcterms:modified>
</cp:coreProperties>
</file>