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Aplicación del método Delphi para priorizar líneas y prioridades de ciencia, tecnología e innovación</w:t>
      </w:r>
    </w:p>
    <w:p>
      <w:pPr>
        <w:pStyle w:val="Subtitle"/>
      </w:pPr>
      <w:r>
        <w:t xml:space="preserve">Documento de Trabajo</w:t>
      </w:r>
    </w:p>
    <w:bookmarkStart w:id="20" w:name="propósito"/>
    <w:p>
      <w:pPr>
        <w:pStyle w:val="Heading2"/>
      </w:pPr>
      <w:r>
        <w:t xml:space="preserve">Propósito</w:t>
      </w:r>
    </w:p>
    <w:p>
      <w:pPr>
        <w:pStyle w:val="FirstParagraph"/>
      </w:pPr>
      <w:r>
        <w:t xml:space="preserve">Este documento de trabajo propone una aplicación del método Delphi como herramienta complementaria de juicio de expertos para apoyar la selección, ajuste o secuenciación de las líneas y prioridades de ciencia, tecnología e innovación (CTI) orientadas a prevenir y controlar la criminalidad violenta en el Perú.</w:t>
      </w:r>
    </w:p>
    <w:p>
      <w:pPr>
        <w:pStyle w:val="BodyText"/>
      </w:pPr>
      <w:r>
        <w:t xml:space="preserve">El instrumento está diseñado para recoger valoración experta de manera estructurada, comparada y trazable, de modo que permita identificar cuáles prioridades deberían ser impulsadas primero, cuáles requieren ajuste de diseño y cuáles podrían reservarse para una etapa posterior.</w:t>
      </w:r>
    </w:p>
    <w:bookmarkEnd w:id="20"/>
    <w:bookmarkStart w:id="21" w:name="objeto-de-evaluación"/>
    <w:p>
      <w:pPr>
        <w:pStyle w:val="Heading2"/>
      </w:pPr>
      <w:r>
        <w:t xml:space="preserve">Objeto de evaluación</w:t>
      </w:r>
    </w:p>
    <w:p>
      <w:pPr>
        <w:pStyle w:val="FirstParagraph"/>
      </w:pPr>
      <w:r>
        <w:t xml:space="preserve">La propuesta actual organiza</w:t>
      </w:r>
      <w:r>
        <w:t xml:space="preserve"> </w:t>
      </w:r>
      <w:r>
        <w:rPr>
          <w:b/>
          <w:bCs/>
        </w:rPr>
        <w:t xml:space="preserve">11 prioridades de ciencia</w:t>
      </w:r>
      <w:r>
        <w:t xml:space="preserve"> </w:t>
      </w:r>
      <w:r>
        <w:t xml:space="preserve">en</w:t>
      </w:r>
      <w:r>
        <w:t xml:space="preserve"> </w:t>
      </w:r>
      <w:r>
        <w:rPr>
          <w:b/>
          <w:bCs/>
        </w:rPr>
        <w:t xml:space="preserve">3 líneas</w:t>
      </w:r>
      <w:r>
        <w:t xml:space="preserve">:</w:t>
      </w:r>
    </w:p>
    <w:p>
      <w:pPr>
        <w:pStyle w:val="Compact"/>
        <w:numPr>
          <w:ilvl w:val="0"/>
          <w:numId w:val="1001"/>
        </w:numPr>
      </w:pPr>
      <w:r>
        <w:rPr>
          <w:b/>
          <w:bCs/>
        </w:rPr>
        <w:t xml:space="preserve">Línea 1. Prevención policial y comunitaria</w:t>
      </w:r>
    </w:p>
    <w:p>
      <w:pPr>
        <w:pStyle w:val="Compact"/>
        <w:numPr>
          <w:ilvl w:val="0"/>
          <w:numId w:val="1001"/>
        </w:numPr>
      </w:pPr>
      <w:r>
        <w:rPr>
          <w:b/>
          <w:bCs/>
        </w:rPr>
        <w:t xml:space="preserve">Línea 2. Investigación criminal e inteligencia</w:t>
      </w:r>
    </w:p>
    <w:p>
      <w:pPr>
        <w:pStyle w:val="Compact"/>
        <w:numPr>
          <w:ilvl w:val="0"/>
          <w:numId w:val="1001"/>
        </w:numPr>
      </w:pPr>
      <w:r>
        <w:rPr>
          <w:b/>
          <w:bCs/>
        </w:rPr>
        <w:t xml:space="preserve">Línea 3. Investigación en ciencias sociales</w:t>
      </w:r>
    </w:p>
    <w:p>
      <w:pPr>
        <w:pStyle w:val="FirstParagraph"/>
      </w:pPr>
      <w:r>
        <w:t xml:space="preserve">Las 11 prioridades propuestas son las siguientes:</w:t>
      </w:r>
    </w:p>
    <w:tbl>
      <w:tblPr>
        <w:tblStyle w:val="Table"/>
        <w:tblW w:type="auto" w:w="0"/>
        <w:tblLook w:firstRow="1" w:lastRow="0" w:firstColumn="0" w:lastColumn="0" w:noHBand="0" w:noVBand="0" w:val="002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40"/>
        <w:gridCol w:w="2640"/>
        <w:gridCol w:w="2640"/>
      </w:tblGrid>
      <w:tr>
        <w:trPr>
          <w:tblHeader w:val="on"/>
        </w:trPr>
        <w:tc>
          <w:tcPr>
            <w:tcBorders>
              <w:top w:val="single" w:sz="6" w:space="0" w:color="D9D9D9"/>
              <w:left w:val="single" w:sz="6" w:space="0" w:color="D9D9D9"/>
              <w:bottom w:val="single" w:sz="6" w:space="0" w:color="D9D9D9"/>
              <w:right w:val="single" w:sz="6" w:space="0" w:color="D9D9D9"/>
            </w:tcBorders>
          </w:tcPr>
          <w:p>
            <w:pPr>
              <w:pStyle w:val="Compact"/>
            </w:pPr>
            <w:r>
              <w:t xml:space="preserve">Línea</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Código</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Prioridad</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1</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1.1</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Patrullaje preventivo inteligente</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1</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1.2</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Prevención focalizada en jóvenes y poblaciones vulnerables</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1</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1.3</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Redes de alerta comunitaria</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2</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2.1</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Inteligencia digital</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2</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2.2</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Interoperabilidad interinstitucional</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2</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2.3</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Formación asistida por tecnología</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2</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2.4</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Inteligencia financiera</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2</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2.5</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Seguridad tecnológica penitenciaria</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3</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3.1</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Fenómenos criminales y economías ilegales</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3</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3.2</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Respuesta del Estado ante la criminalidad</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3</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3.3</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Legitimidad, confianza y acción ciudadana</w:t>
            </w:r>
          </w:p>
        </w:tc>
      </w:tr>
    </w:tbl>
    <w:bookmarkEnd w:id="21"/>
    <w:bookmarkStart w:id="22" w:name="por-qué-utilizar-delphi"/>
    <w:p>
      <w:pPr>
        <w:pStyle w:val="Heading2"/>
      </w:pPr>
      <w:r>
        <w:t xml:space="preserve">¿Por qué utilizar Delphi?</w:t>
      </w:r>
    </w:p>
    <w:p>
      <w:pPr>
        <w:pStyle w:val="FirstParagraph"/>
      </w:pPr>
      <w:r>
        <w:t xml:space="preserve">El método Delphi es útil en este caso por cuatro razones:</w:t>
      </w:r>
    </w:p>
    <w:p>
      <w:pPr>
        <w:pStyle w:val="Compact"/>
        <w:numPr>
          <w:ilvl w:val="0"/>
          <w:numId w:val="1002"/>
        </w:numPr>
      </w:pPr>
      <w:r>
        <w:t xml:space="preserve">Permite ordenar juicio experto cuando no existe una única métrica objetiva suficiente para decidir entre alternativas.</w:t>
      </w:r>
    </w:p>
    <w:p>
      <w:pPr>
        <w:pStyle w:val="Compact"/>
        <w:numPr>
          <w:ilvl w:val="0"/>
          <w:numId w:val="1002"/>
        </w:numPr>
      </w:pPr>
      <w:r>
        <w:t xml:space="preserve">Reduce el peso de jerarquías institucionales, porque la valoración se recoge de forma independiente y se consolida en rondas.</w:t>
      </w:r>
    </w:p>
    <w:p>
      <w:pPr>
        <w:pStyle w:val="Compact"/>
        <w:numPr>
          <w:ilvl w:val="0"/>
          <w:numId w:val="1002"/>
        </w:numPr>
      </w:pPr>
      <w:r>
        <w:t xml:space="preserve">Ayuda a distinguir entre prioridades técnicamente deseables y prioridades realmente viables para una convocatoria pública.</w:t>
      </w:r>
    </w:p>
    <w:p>
      <w:pPr>
        <w:pStyle w:val="Compact"/>
        <w:numPr>
          <w:ilvl w:val="0"/>
          <w:numId w:val="1002"/>
        </w:numPr>
      </w:pPr>
      <w:r>
        <w:t xml:space="preserve">Produce una base defendible para justificar por qué ciertas prioridades se impulsan primero y otras requieren mayor maduración.</w:t>
      </w:r>
    </w:p>
    <w:bookmarkEnd w:id="22"/>
    <w:bookmarkStart w:id="25" w:name="diseño-sugerido-del-ejercicio"/>
    <w:p>
      <w:pPr>
        <w:pStyle w:val="Heading2"/>
      </w:pPr>
      <w:r>
        <w:t xml:space="preserve">Diseño sugerido del ejercicio</w:t>
      </w:r>
    </w:p>
    <w:p>
      <w:pPr>
        <w:pStyle w:val="FirstParagraph"/>
      </w:pPr>
      <w:r>
        <w:t xml:space="preserve">Se recomienda una aplicación breve, en</w:t>
      </w:r>
      <w:r>
        <w:t xml:space="preserve"> </w:t>
      </w:r>
      <w:r>
        <w:rPr>
          <w:b/>
          <w:bCs/>
        </w:rPr>
        <w:t xml:space="preserve">dos rondas</w:t>
      </w:r>
      <w:r>
        <w:t xml:space="preserve">, con un panel de entre</w:t>
      </w:r>
      <w:r>
        <w:t xml:space="preserve"> </w:t>
      </w:r>
      <w:r>
        <w:rPr>
          <w:b/>
          <w:bCs/>
        </w:rPr>
        <w:t xml:space="preserve">9 y 15 expertos</w:t>
      </w:r>
      <w:r>
        <w:t xml:space="preserve">. El panel puede combinar:</w:t>
      </w:r>
    </w:p>
    <w:p>
      <w:pPr>
        <w:pStyle w:val="Compact"/>
        <w:numPr>
          <w:ilvl w:val="0"/>
          <w:numId w:val="1003"/>
        </w:numPr>
      </w:pPr>
      <w:r>
        <w:t xml:space="preserve">Especialistas en seguridad ciudadana y criminalidad.</w:t>
      </w:r>
    </w:p>
    <w:p>
      <w:pPr>
        <w:pStyle w:val="Compact"/>
        <w:numPr>
          <w:ilvl w:val="0"/>
          <w:numId w:val="1003"/>
        </w:numPr>
      </w:pPr>
      <w:r>
        <w:t xml:space="preserve">Expertos en investigación, innovación y evaluación.</w:t>
      </w:r>
    </w:p>
    <w:p>
      <w:pPr>
        <w:pStyle w:val="Compact"/>
        <w:numPr>
          <w:ilvl w:val="0"/>
          <w:numId w:val="1003"/>
        </w:numPr>
      </w:pPr>
      <w:r>
        <w:t xml:space="preserve">Representantes con experiencia operativa o institucional en prevención, investigación criminal, justicia o sistemas de información.</w:t>
      </w:r>
    </w:p>
    <w:bookmarkStart w:id="23" w:name="ronda-1"/>
    <w:p>
      <w:pPr>
        <w:pStyle w:val="Heading3"/>
      </w:pPr>
      <w:r>
        <w:t xml:space="preserve">Ronda 1</w:t>
      </w:r>
    </w:p>
    <w:p>
      <w:pPr>
        <w:pStyle w:val="FirstParagraph"/>
      </w:pPr>
      <w:r>
        <w:t xml:space="preserve">Cada experto valora individualmente las 11 prioridades según los criterios definidos más abajo y puede sugerir:</w:t>
      </w:r>
    </w:p>
    <w:p>
      <w:pPr>
        <w:pStyle w:val="Compact"/>
        <w:numPr>
          <w:ilvl w:val="0"/>
          <w:numId w:val="1004"/>
        </w:numPr>
      </w:pPr>
      <w:r>
        <w:t xml:space="preserve">mantener una prioridad sin cambios,</w:t>
      </w:r>
    </w:p>
    <w:p>
      <w:pPr>
        <w:pStyle w:val="Compact"/>
        <w:numPr>
          <w:ilvl w:val="0"/>
          <w:numId w:val="1004"/>
        </w:numPr>
      </w:pPr>
      <w:r>
        <w:t xml:space="preserve">reformularla,</w:t>
      </w:r>
    </w:p>
    <w:p>
      <w:pPr>
        <w:pStyle w:val="Compact"/>
        <w:numPr>
          <w:ilvl w:val="0"/>
          <w:numId w:val="1004"/>
        </w:numPr>
      </w:pPr>
      <w:r>
        <w:t xml:space="preserve">fusionarla con otra,</w:t>
      </w:r>
    </w:p>
    <w:p>
      <w:pPr>
        <w:pStyle w:val="Compact"/>
        <w:numPr>
          <w:ilvl w:val="0"/>
          <w:numId w:val="1004"/>
        </w:numPr>
      </w:pPr>
      <w:r>
        <w:t xml:space="preserve">postergarla para una segunda etapa.</w:t>
      </w:r>
    </w:p>
    <w:bookmarkEnd w:id="23"/>
    <w:bookmarkStart w:id="24" w:name="ronda-2"/>
    <w:p>
      <w:pPr>
        <w:pStyle w:val="Heading3"/>
      </w:pPr>
      <w:r>
        <w:t xml:space="preserve">Ronda 2</w:t>
      </w:r>
    </w:p>
    <w:p>
      <w:pPr>
        <w:pStyle w:val="FirstParagraph"/>
      </w:pPr>
      <w:r>
        <w:t xml:space="preserve">Se devuelve al panel una síntesis agregada con:</w:t>
      </w:r>
    </w:p>
    <w:p>
      <w:pPr>
        <w:pStyle w:val="Compact"/>
        <w:numPr>
          <w:ilvl w:val="0"/>
          <w:numId w:val="1005"/>
        </w:numPr>
      </w:pPr>
      <w:r>
        <w:t xml:space="preserve">mediana por criterio,</w:t>
      </w:r>
    </w:p>
    <w:p>
      <w:pPr>
        <w:pStyle w:val="Compact"/>
        <w:numPr>
          <w:ilvl w:val="0"/>
          <w:numId w:val="1005"/>
        </w:numPr>
      </w:pPr>
      <w:r>
        <w:t xml:space="preserve">nivel de dispersión,</w:t>
      </w:r>
    </w:p>
    <w:p>
      <w:pPr>
        <w:pStyle w:val="Compact"/>
        <w:numPr>
          <w:ilvl w:val="0"/>
          <w:numId w:val="1005"/>
        </w:numPr>
      </w:pPr>
      <w:r>
        <w:t xml:space="preserve">principales argumentos cualitativos,</w:t>
      </w:r>
    </w:p>
    <w:p>
      <w:pPr>
        <w:pStyle w:val="Compact"/>
        <w:numPr>
          <w:ilvl w:val="0"/>
          <w:numId w:val="1005"/>
        </w:numPr>
      </w:pPr>
      <w:r>
        <w:t xml:space="preserve">prioridades con mayor y menor consenso.</w:t>
      </w:r>
    </w:p>
    <w:p>
      <w:pPr>
        <w:pStyle w:val="FirstParagraph"/>
      </w:pPr>
      <w:r>
        <w:t xml:space="preserve">Luego cada experto puede confirmar o ajustar su valoración.</w:t>
      </w:r>
    </w:p>
    <w:bookmarkEnd w:id="24"/>
    <w:bookmarkEnd w:id="25"/>
    <w:bookmarkStart w:id="26" w:name="criterios-de-valoración"/>
    <w:p>
      <w:pPr>
        <w:pStyle w:val="Heading2"/>
      </w:pPr>
      <w:r>
        <w:t xml:space="preserve">Criterios de valoración</w:t>
      </w:r>
    </w:p>
    <w:p>
      <w:pPr>
        <w:pStyle w:val="FirstParagraph"/>
      </w:pPr>
      <w:r>
        <w:t xml:space="preserve">Se propone usar cinco criterios, con escala de</w:t>
      </w:r>
      <w:r>
        <w:t xml:space="preserve"> </w:t>
      </w:r>
      <w:r>
        <w:rPr>
          <w:b/>
          <w:bCs/>
        </w:rPr>
        <w:t xml:space="preserve">1 a 5</w:t>
      </w:r>
      <w:r>
        <w:t xml:space="preserve">, donde</w:t>
      </w:r>
      <w:r>
        <w:t xml:space="preserve"> </w:t>
      </w:r>
      <w:r>
        <w:rPr>
          <w:rStyle w:val="VerbatimChar"/>
        </w:rPr>
        <w:t xml:space="preserve">1</w:t>
      </w:r>
      <w:r>
        <w:t xml:space="preserve"> </w:t>
      </w:r>
      <w:r>
        <w:t xml:space="preserve">es muy bajo y</w:t>
      </w:r>
      <w:r>
        <w:t xml:space="preserve"> </w:t>
      </w:r>
      <w:r>
        <w:rPr>
          <w:rStyle w:val="VerbatimChar"/>
        </w:rPr>
        <w:t xml:space="preserve">5</w:t>
      </w:r>
      <w:r>
        <w:t xml:space="preserve"> </w:t>
      </w:r>
      <w:r>
        <w:t xml:space="preserve">es muy alto.</w:t>
      </w:r>
    </w:p>
    <w:tbl>
      <w:tblPr>
        <w:tblStyle w:val="Table"/>
        <w:tblW w:type="pct" w:w="5000"/>
        <w:tblLayout w:type="fixed"/>
        <w:tblLook w:firstRow="1" w:lastRow="0" w:firstColumn="0" w:lastColumn="0" w:noHBand="0" w:noVBand="0" w:val="002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960"/>
        <w:gridCol w:w="3960"/>
      </w:tblGrid>
      <w:tr>
        <w:trPr>
          <w:tblHeader w:val="on"/>
        </w:trPr>
        <w:tc>
          <w:tcPr>
            <w:tcBorders>
              <w:top w:val="single" w:sz="6" w:space="0" w:color="D9D9D9"/>
              <w:left w:val="single" w:sz="6" w:space="0" w:color="D9D9D9"/>
              <w:bottom w:val="single" w:sz="6" w:space="0" w:color="D9D9D9"/>
              <w:right w:val="single" w:sz="6" w:space="0" w:color="D9D9D9"/>
            </w:tcBorders>
          </w:tcPr>
          <w:p>
            <w:pPr>
              <w:pStyle w:val="Compact"/>
            </w:pPr>
            <w:r>
              <w:t xml:space="preserve">Criterio</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Pregunta orientadora</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Relevancia estratégica</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¿La prioridad contribuye directamente a reducir extorsión, homicidios o sus mecanismos críticos?</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Viabilidad institucional</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¿Existen condiciones mínimas para implementar pilotos, acceder a datos y articular actores?</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Factibilidad técnica</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¿La prioridad puede traducirse en proyectos de investigación o desarrollo realistas dentro de una convocatoria?</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Potencial de uso público</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¿Los resultados podrían convertirse en protocolos, herramientas, sistemas o decisiones utilizables por el Estado?</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Oportunidad temporal</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¿Es una prioridad pertinente para financiar en el corto plazo y no solo en una agenda futura?</w:t>
            </w:r>
          </w:p>
        </w:tc>
      </w:tr>
    </w:tbl>
    <w:p>
      <w:pPr>
        <w:pStyle w:val="BodyText"/>
      </w:pPr>
      <w:r>
        <w:t xml:space="preserve">Puede añadirse un sexto criterio opcional:</w:t>
      </w:r>
    </w:p>
    <w:tbl>
      <w:tblPr>
        <w:tblStyle w:val="Table"/>
        <w:tblW w:type="pct" w:w="5000"/>
        <w:tblLayout w:type="fixed"/>
        <w:tblLook w:firstRow="1" w:lastRow="0" w:firstColumn="0" w:lastColumn="0" w:noHBand="0" w:noVBand="0" w:val="002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960"/>
        <w:gridCol w:w="3960"/>
      </w:tblGrid>
      <w:tr>
        <w:trPr>
          <w:tblHeader w:val="on"/>
        </w:trPr>
        <w:tc>
          <w:tcPr>
            <w:tcBorders>
              <w:top w:val="single" w:sz="6" w:space="0" w:color="D9D9D9"/>
              <w:left w:val="single" w:sz="6" w:space="0" w:color="D9D9D9"/>
              <w:bottom w:val="single" w:sz="6" w:space="0" w:color="D9D9D9"/>
              <w:right w:val="single" w:sz="6" w:space="0" w:color="D9D9D9"/>
            </w:tcBorders>
          </w:tcPr>
          <w:p>
            <w:pPr>
              <w:pStyle w:val="Compact"/>
            </w:pPr>
            <w:r>
              <w:t xml:space="preserve">Criterio opcional</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Pregunta orientadora</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Capacidad de escalamiento</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¿La solución, evidencia o herramienta podría ampliarse a otros territorios o instituciones si funciona?</w:t>
            </w:r>
          </w:p>
        </w:tc>
      </w:tr>
    </w:tbl>
    <w:bookmarkEnd w:id="26"/>
    <w:bookmarkStart w:id="27" w:name="regla-sugerida-de-interpretación"/>
    <w:p>
      <w:pPr>
        <w:pStyle w:val="Heading2"/>
      </w:pPr>
      <w:r>
        <w:t xml:space="preserve">Regla sugerida de interpretación</w:t>
      </w:r>
    </w:p>
    <w:p>
      <w:pPr>
        <w:pStyle w:val="FirstParagraph"/>
      </w:pPr>
      <w:r>
        <w:t xml:space="preserve">Como regla práctica para la toma de decisiones, se sugiere:</w:t>
      </w:r>
    </w:p>
    <w:p>
      <w:pPr>
        <w:pStyle w:val="Compact"/>
        <w:numPr>
          <w:ilvl w:val="0"/>
          <w:numId w:val="1006"/>
        </w:numPr>
      </w:pPr>
      <w:r>
        <w:rPr>
          <w:b/>
          <w:bCs/>
        </w:rPr>
        <w:t xml:space="preserve">Prioridad alta</w:t>
      </w:r>
      <w:r>
        <w:t xml:space="preserve">: mediana de</w:t>
      </w:r>
      <w:r>
        <w:t xml:space="preserve"> </w:t>
      </w:r>
      <w:r>
        <w:rPr>
          <w:rStyle w:val="VerbatimChar"/>
        </w:rPr>
        <w:t xml:space="preserve">4</w:t>
      </w:r>
      <w:r>
        <w:t xml:space="preserve"> </w:t>
      </w:r>
      <w:r>
        <w:t xml:space="preserve">o más en relevancia estratégica y potencial de uso público, con dispersión baja o moderada.</w:t>
      </w:r>
    </w:p>
    <w:p>
      <w:pPr>
        <w:pStyle w:val="Compact"/>
        <w:numPr>
          <w:ilvl w:val="0"/>
          <w:numId w:val="1006"/>
        </w:numPr>
      </w:pPr>
      <w:r>
        <w:rPr>
          <w:b/>
          <w:bCs/>
        </w:rPr>
        <w:t xml:space="preserve">Prioridad condicionada</w:t>
      </w:r>
      <w:r>
        <w:t xml:space="preserve">: mediana de</w:t>
      </w:r>
      <w:r>
        <w:t xml:space="preserve"> </w:t>
      </w:r>
      <w:r>
        <w:rPr>
          <w:rStyle w:val="VerbatimChar"/>
        </w:rPr>
        <w:t xml:space="preserve">4</w:t>
      </w:r>
      <w:r>
        <w:t xml:space="preserve"> </w:t>
      </w:r>
      <w:r>
        <w:t xml:space="preserve">o más, pero con observaciones relevantes sobre viabilidad o acceso a datos.</w:t>
      </w:r>
    </w:p>
    <w:p>
      <w:pPr>
        <w:pStyle w:val="Compact"/>
        <w:numPr>
          <w:ilvl w:val="0"/>
          <w:numId w:val="1006"/>
        </w:numPr>
      </w:pPr>
      <w:r>
        <w:rPr>
          <w:b/>
          <w:bCs/>
        </w:rPr>
        <w:t xml:space="preserve">Prioridad a reformular</w:t>
      </w:r>
      <w:r>
        <w:t xml:space="preserve">: puntajes intermedios o comentarios recurrentes que señalan necesidad de redefinir alcance.</w:t>
      </w:r>
    </w:p>
    <w:p>
      <w:pPr>
        <w:pStyle w:val="Compact"/>
        <w:numPr>
          <w:ilvl w:val="0"/>
          <w:numId w:val="1006"/>
        </w:numPr>
      </w:pPr>
      <w:r>
        <w:rPr>
          <w:b/>
          <w:bCs/>
        </w:rPr>
        <w:t xml:space="preserve">Prioridad para etapa posterior</w:t>
      </w:r>
      <w:r>
        <w:t xml:space="preserve">: puntajes bajos en oportunidad temporal o viabilidad institucional.</w:t>
      </w:r>
    </w:p>
    <w:p>
      <w:pPr>
        <w:pStyle w:val="FirstParagraph"/>
      </w:pPr>
      <w:r>
        <w:t xml:space="preserve">Si se desea una regla simple de consenso, puede utilizarse el</w:t>
      </w:r>
      <w:r>
        <w:t xml:space="preserve"> </w:t>
      </w:r>
      <w:r>
        <w:rPr>
          <w:b/>
          <w:bCs/>
        </w:rPr>
        <w:t xml:space="preserve">rango intercuartílico (RIC)</w:t>
      </w:r>
      <w:r>
        <w:t xml:space="preserve">:</w:t>
      </w:r>
    </w:p>
    <w:p>
      <w:pPr>
        <w:pStyle w:val="Compact"/>
        <w:numPr>
          <w:ilvl w:val="0"/>
          <w:numId w:val="1007"/>
        </w:numPr>
      </w:pPr>
      <w:r>
        <w:rPr>
          <w:rStyle w:val="VerbatimChar"/>
        </w:rPr>
        <w:t xml:space="preserve">RIC &lt;= 1</w:t>
      </w:r>
      <w:r>
        <w:t xml:space="preserve">: consenso aceptable.</w:t>
      </w:r>
    </w:p>
    <w:p>
      <w:pPr>
        <w:pStyle w:val="Compact"/>
        <w:numPr>
          <w:ilvl w:val="0"/>
          <w:numId w:val="1007"/>
        </w:numPr>
      </w:pPr>
      <w:r>
        <w:rPr>
          <w:rStyle w:val="VerbatimChar"/>
        </w:rPr>
        <w:t xml:space="preserve">RIC &gt; 1</w:t>
      </w:r>
      <w:r>
        <w:t xml:space="preserve">: conviene una segunda ronda o revisión de redacción.</w:t>
      </w:r>
    </w:p>
    <w:bookmarkEnd w:id="27"/>
    <w:bookmarkStart w:id="28" w:name="instrucciones-para-el-panel-experto"/>
    <w:p>
      <w:pPr>
        <w:pStyle w:val="Heading2"/>
      </w:pPr>
      <w:r>
        <w:t xml:space="preserve">Instrucciones para el panel experto</w:t>
      </w:r>
    </w:p>
    <w:p>
      <w:pPr>
        <w:pStyle w:val="FirstParagraph"/>
      </w:pPr>
      <w:r>
        <w:t xml:space="preserve">Se sugiere compartir con cada experto:</w:t>
      </w:r>
    </w:p>
    <w:p>
      <w:pPr>
        <w:pStyle w:val="Compact"/>
        <w:numPr>
          <w:ilvl w:val="0"/>
          <w:numId w:val="1008"/>
        </w:numPr>
      </w:pPr>
      <w:r>
        <w:t xml:space="preserve">la definición breve de cada prioridad,</w:t>
      </w:r>
    </w:p>
    <w:p>
      <w:pPr>
        <w:pStyle w:val="Compact"/>
        <w:numPr>
          <w:ilvl w:val="0"/>
          <w:numId w:val="1008"/>
        </w:numPr>
      </w:pPr>
      <w:r>
        <w:t xml:space="preserve">sus aplicaciones potenciales,</w:t>
      </w:r>
    </w:p>
    <w:p>
      <w:pPr>
        <w:pStyle w:val="Compact"/>
        <w:numPr>
          <w:ilvl w:val="0"/>
          <w:numId w:val="1008"/>
        </w:numPr>
      </w:pPr>
      <w:r>
        <w:t xml:space="preserve">los estudios tipo esperados,</w:t>
      </w:r>
    </w:p>
    <w:p>
      <w:pPr>
        <w:pStyle w:val="Compact"/>
        <w:numPr>
          <w:ilvl w:val="0"/>
          <w:numId w:val="1008"/>
        </w:numPr>
      </w:pPr>
      <w:r>
        <w:t xml:space="preserve">las preguntas de investigación asociadas,</w:t>
      </w:r>
    </w:p>
    <w:p>
      <w:pPr>
        <w:pStyle w:val="Compact"/>
        <w:numPr>
          <w:ilvl w:val="0"/>
          <w:numId w:val="1008"/>
        </w:numPr>
      </w:pPr>
      <w:r>
        <w:t xml:space="preserve">la matriz de valoración.</w:t>
      </w:r>
    </w:p>
    <w:p>
      <w:pPr>
        <w:pStyle w:val="FirstParagraph"/>
      </w:pPr>
      <w:r>
        <w:t xml:space="preserve">La consigna puede formularse así:</w:t>
      </w:r>
    </w:p>
    <w:p>
      <w:pPr>
        <w:pStyle w:val="BlockText"/>
      </w:pPr>
      <w:r>
        <w:t xml:space="preserve">Valore cada prioridad según los criterios propuestos, considerando no solo su importancia sustantiva, sino también su viabilidad para una convocatoria pública de CTI orientada al sector seguridad. Si considera que una prioridad debe reformularse, fusionarse o postergarse, indíquelo en observaciones.</w:t>
      </w:r>
    </w:p>
    <w:bookmarkEnd w:id="28"/>
    <w:bookmarkStart w:id="29" w:name="matriz-de-valoración-sugerida"/>
    <w:p>
      <w:pPr>
        <w:pStyle w:val="Heading2"/>
      </w:pPr>
      <w:r>
        <w:t xml:space="preserve">Matriz de valoración sugerida</w:t>
      </w:r>
    </w:p>
    <w:p>
      <w:pPr>
        <w:pStyle w:val="FirstParagraph"/>
      </w:pPr>
      <w:r>
        <w:t xml:space="preserve">Escala sugerida:</w:t>
      </w:r>
      <w:r>
        <w:t xml:space="preserve"> </w:t>
      </w:r>
      <w:r>
        <w:rPr>
          <w:rStyle w:val="VerbatimChar"/>
        </w:rPr>
        <w:t xml:space="preserve">1 = muy bajo</w:t>
      </w:r>
      <w:r>
        <w:t xml:space="preserve">,</w:t>
      </w:r>
      <w:r>
        <w:t xml:space="preserve"> </w:t>
      </w:r>
      <w:r>
        <w:rPr>
          <w:rStyle w:val="VerbatimChar"/>
        </w:rPr>
        <w:t xml:space="preserve">2 = bajo</w:t>
      </w:r>
      <w:r>
        <w:t xml:space="preserve">,</w:t>
      </w:r>
      <w:r>
        <w:t xml:space="preserve"> </w:t>
      </w:r>
      <w:r>
        <w:rPr>
          <w:rStyle w:val="VerbatimChar"/>
        </w:rPr>
        <w:t xml:space="preserve">3 = medio</w:t>
      </w:r>
      <w:r>
        <w:t xml:space="preserve">,</w:t>
      </w:r>
      <w:r>
        <w:t xml:space="preserve"> </w:t>
      </w:r>
      <w:r>
        <w:rPr>
          <w:rStyle w:val="VerbatimChar"/>
        </w:rPr>
        <w:t xml:space="preserve">4 = alto</w:t>
      </w:r>
      <w:r>
        <w:t xml:space="preserve">,</w:t>
      </w:r>
      <w:r>
        <w:t xml:space="preserve"> </w:t>
      </w:r>
      <w:r>
        <w:rPr>
          <w:rStyle w:val="VerbatimChar"/>
        </w:rPr>
        <w:t xml:space="preserve">5 = muy alto</w:t>
      </w:r>
      <w:r>
        <w:t xml:space="preserve">.</w:t>
      </w:r>
    </w:p>
    <w:tbl>
      <w:tblPr>
        <w:tblStyle w:val="Table"/>
        <w:tblW w:type="pct" w:w="5000"/>
        <w:tblLayout w:type="fixed"/>
        <w:tblLook w:firstRow="1" w:lastRow="0" w:firstColumn="0" w:lastColumn="0" w:noHBand="0" w:noVBand="0" w:val="002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819"/>
        <w:gridCol w:w="819"/>
        <w:gridCol w:w="1092"/>
        <w:gridCol w:w="1092"/>
        <w:gridCol w:w="1092"/>
        <w:gridCol w:w="1092"/>
        <w:gridCol w:w="1092"/>
        <w:gridCol w:w="819"/>
      </w:tblGrid>
      <w:tr>
        <w:trPr>
          <w:tblHeader w:val="on"/>
        </w:trPr>
        <w:tc>
          <w:tcPr>
            <w:tcBorders>
              <w:top w:val="single" w:sz="6" w:space="0" w:color="D9D9D9"/>
              <w:left w:val="single" w:sz="6" w:space="0" w:color="D9D9D9"/>
              <w:bottom w:val="single" w:sz="6" w:space="0" w:color="D9D9D9"/>
              <w:right w:val="single" w:sz="6" w:space="0" w:color="D9D9D9"/>
            </w:tcBorders>
          </w:tcPr>
          <w:p>
            <w:pPr>
              <w:pStyle w:val="Compact"/>
            </w:pPr>
            <w:r>
              <w:t xml:space="preserve">Código</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Prioridad</w:t>
            </w:r>
          </w:p>
        </w:tc>
        <w:tc>
          <w:tcPr>
            <w:tcBorders>
              <w:top w:val="single" w:sz="6" w:space="0" w:color="D9D9D9"/>
              <w:left w:val="single" w:sz="6" w:space="0" w:color="D9D9D9"/>
              <w:bottom w:val="single" w:sz="6" w:space="0" w:color="D9D9D9"/>
              <w:right w:val="single" w:sz="6" w:space="0" w:color="D9D9D9"/>
            </w:tcBorders>
          </w:tcPr>
          <w:p>
            <w:pPr>
              <w:pStyle w:val="Compact"/>
              <w:jc w:val="right"/>
            </w:pPr>
            <w:r>
              <w:t xml:space="preserve">Relevancia estratégica</w:t>
            </w:r>
          </w:p>
        </w:tc>
        <w:tc>
          <w:tcPr>
            <w:tcBorders>
              <w:top w:val="single" w:sz="6" w:space="0" w:color="D9D9D9"/>
              <w:left w:val="single" w:sz="6" w:space="0" w:color="D9D9D9"/>
              <w:bottom w:val="single" w:sz="6" w:space="0" w:color="D9D9D9"/>
              <w:right w:val="single" w:sz="6" w:space="0" w:color="D9D9D9"/>
            </w:tcBorders>
          </w:tcPr>
          <w:p>
            <w:pPr>
              <w:pStyle w:val="Compact"/>
              <w:jc w:val="right"/>
            </w:pPr>
            <w:r>
              <w:t xml:space="preserve">Viabilidad institucional</w:t>
            </w:r>
          </w:p>
        </w:tc>
        <w:tc>
          <w:tcPr>
            <w:tcBorders>
              <w:top w:val="single" w:sz="6" w:space="0" w:color="D9D9D9"/>
              <w:left w:val="single" w:sz="6" w:space="0" w:color="D9D9D9"/>
              <w:bottom w:val="single" w:sz="6" w:space="0" w:color="D9D9D9"/>
              <w:right w:val="single" w:sz="6" w:space="0" w:color="D9D9D9"/>
            </w:tcBorders>
          </w:tcPr>
          <w:p>
            <w:pPr>
              <w:pStyle w:val="Compact"/>
              <w:jc w:val="right"/>
            </w:pPr>
            <w:r>
              <w:t xml:space="preserve">Factibilidad técnica</w:t>
            </w:r>
          </w:p>
        </w:tc>
        <w:tc>
          <w:tcPr>
            <w:tcBorders>
              <w:top w:val="single" w:sz="6" w:space="0" w:color="D9D9D9"/>
              <w:left w:val="single" w:sz="6" w:space="0" w:color="D9D9D9"/>
              <w:bottom w:val="single" w:sz="6" w:space="0" w:color="D9D9D9"/>
              <w:right w:val="single" w:sz="6" w:space="0" w:color="D9D9D9"/>
            </w:tcBorders>
          </w:tcPr>
          <w:p>
            <w:pPr>
              <w:pStyle w:val="Compact"/>
              <w:jc w:val="right"/>
            </w:pPr>
            <w:r>
              <w:t xml:space="preserve">Potencial de uso público</w:t>
            </w:r>
          </w:p>
        </w:tc>
        <w:tc>
          <w:tcPr>
            <w:tcBorders>
              <w:top w:val="single" w:sz="6" w:space="0" w:color="D9D9D9"/>
              <w:left w:val="single" w:sz="6" w:space="0" w:color="D9D9D9"/>
              <w:bottom w:val="single" w:sz="6" w:space="0" w:color="D9D9D9"/>
              <w:right w:val="single" w:sz="6" w:space="0" w:color="D9D9D9"/>
            </w:tcBorders>
          </w:tcPr>
          <w:p>
            <w:pPr>
              <w:pStyle w:val="Compact"/>
              <w:jc w:val="right"/>
            </w:pPr>
            <w:r>
              <w:t xml:space="preserve">Oportunidad temporal</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Observaciones</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1.1</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Patrullaje preventivo inteligente</w:t>
            </w: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1.2</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Prevención focalizada en jóvenes y poblaciones vulnerables</w:t>
            </w: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1.3</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Redes de alerta comunitaria</w:t>
            </w: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2.1</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Inteligencia digital</w:t>
            </w: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2.2</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Interoperabilidad interinstitucional</w:t>
            </w: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2.3</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Formación asistida por tecnología</w:t>
            </w: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2.4</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Inteligencia financiera</w:t>
            </w: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2.5</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Seguridad tecnológica penitenciaria</w:t>
            </w: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3.1</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Fenómenos criminales y economías ilegales</w:t>
            </w: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3.2</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Respuesta del Estado ante la criminalidad</w:t>
            </w: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3.3</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Legitimidad, confianza y acción ciudadana</w:t>
            </w: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c>
          <w:tcPr>
            <w:tcBorders>
              <w:top w:val="single" w:sz="6" w:space="0" w:color="D9D9D9"/>
              <w:left w:val="single" w:sz="6" w:space="0" w:color="D9D9D9"/>
              <w:bottom w:val="single" w:sz="6" w:space="0" w:color="D9D9D9"/>
              <w:right w:val="single" w:sz="6" w:space="0" w:color="D9D9D9"/>
            </w:tcBorders>
          </w:tcPr>
          <w:p>
            <w:pPr>
              <w:pStyle w:val="Compact"/>
            </w:pPr>
          </w:p>
        </w:tc>
      </w:tr>
    </w:tbl>
    <w:bookmarkEnd w:id="29"/>
    <w:bookmarkStart w:id="30" w:name="formato-de-consolidación"/>
    <w:p>
      <w:pPr>
        <w:pStyle w:val="Heading2"/>
      </w:pPr>
      <w:r>
        <w:t xml:space="preserve">Formato de consolidación</w:t>
      </w:r>
    </w:p>
    <w:p>
      <w:pPr>
        <w:pStyle w:val="FirstParagraph"/>
      </w:pPr>
      <w:r>
        <w:t xml:space="preserve">Para el equipo técnico que procese las respuestas, se recomienda consolidar por prioridad:</w:t>
      </w:r>
    </w:p>
    <w:p>
      <w:pPr>
        <w:pStyle w:val="Compact"/>
        <w:numPr>
          <w:ilvl w:val="0"/>
          <w:numId w:val="1009"/>
        </w:numPr>
      </w:pPr>
      <w:r>
        <w:t xml:space="preserve">mediana por criterio,</w:t>
      </w:r>
    </w:p>
    <w:p>
      <w:pPr>
        <w:pStyle w:val="Compact"/>
        <w:numPr>
          <w:ilvl w:val="0"/>
          <w:numId w:val="1009"/>
        </w:numPr>
      </w:pPr>
      <w:r>
        <w:t xml:space="preserve">promedio general,</w:t>
      </w:r>
    </w:p>
    <w:p>
      <w:pPr>
        <w:pStyle w:val="Compact"/>
        <w:numPr>
          <w:ilvl w:val="0"/>
          <w:numId w:val="1009"/>
        </w:numPr>
      </w:pPr>
      <w:r>
        <w:t xml:space="preserve">rango intercuartílico por criterio,</w:t>
      </w:r>
    </w:p>
    <w:p>
      <w:pPr>
        <w:pStyle w:val="Compact"/>
        <w:numPr>
          <w:ilvl w:val="0"/>
          <w:numId w:val="1009"/>
        </w:numPr>
      </w:pPr>
      <w:r>
        <w:t xml:space="preserve">principales observaciones cualitativas,</w:t>
      </w:r>
    </w:p>
    <w:p>
      <w:pPr>
        <w:pStyle w:val="Compact"/>
        <w:numPr>
          <w:ilvl w:val="0"/>
          <w:numId w:val="1009"/>
        </w:numPr>
      </w:pPr>
      <w:r>
        <w:t xml:space="preserve">recomendación final.</w:t>
      </w:r>
    </w:p>
    <w:p>
      <w:pPr>
        <w:pStyle w:val="FirstParagraph"/>
      </w:pPr>
      <w:r>
        <w:t xml:space="preserve">La recomendación final puede usar cuatro categorías:</w:t>
      </w:r>
    </w:p>
    <w:tbl>
      <w:tblPr>
        <w:tblStyle w:val="Table"/>
        <w:tblW w:type="pct" w:w="5000"/>
        <w:tblLayout w:type="fixed"/>
        <w:tblLook w:firstRow="1" w:lastRow="0" w:firstColumn="0" w:lastColumn="0" w:noHBand="0" w:noVBand="0" w:val="002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960"/>
        <w:gridCol w:w="3960"/>
      </w:tblGrid>
      <w:tr>
        <w:trPr>
          <w:tblHeader w:val="on"/>
        </w:trPr>
        <w:tc>
          <w:tcPr>
            <w:tcBorders>
              <w:top w:val="single" w:sz="6" w:space="0" w:color="D9D9D9"/>
              <w:left w:val="single" w:sz="6" w:space="0" w:color="D9D9D9"/>
              <w:bottom w:val="single" w:sz="6" w:space="0" w:color="D9D9D9"/>
              <w:right w:val="single" w:sz="6" w:space="0" w:color="D9D9D9"/>
            </w:tcBorders>
          </w:tcPr>
          <w:p>
            <w:pPr>
              <w:pStyle w:val="Compact"/>
            </w:pPr>
            <w:r>
              <w:t xml:space="preserve">Categoría</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Significado operativo</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Aprobar</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Mantener la prioridad tal como está y considerarla en la primera convocatoria</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Aprobar con ajuste</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Mantenerla, pero con cambios de alcance, formulación o condiciones de implementación</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Revisión adicional</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Requiere una nueva ronda o mayor discusión técnica</w:t>
            </w:r>
          </w:p>
        </w:tc>
      </w:tr>
      <w:tr>
        <w:tc>
          <w:tcPr>
            <w:tcBorders>
              <w:top w:val="single" w:sz="6" w:space="0" w:color="D9D9D9"/>
              <w:left w:val="single" w:sz="6" w:space="0" w:color="D9D9D9"/>
              <w:bottom w:val="single" w:sz="6" w:space="0" w:color="D9D9D9"/>
              <w:right w:val="single" w:sz="6" w:space="0" w:color="D9D9D9"/>
            </w:tcBorders>
          </w:tcPr>
          <w:p>
            <w:pPr>
              <w:pStyle w:val="Compact"/>
            </w:pPr>
            <w:r>
              <w:t xml:space="preserve">Postergar</w:t>
            </w:r>
          </w:p>
        </w:tc>
        <w:tc>
          <w:tcPr>
            <w:tcBorders>
              <w:top w:val="single" w:sz="6" w:space="0" w:color="D9D9D9"/>
              <w:left w:val="single" w:sz="6" w:space="0" w:color="D9D9D9"/>
              <w:bottom w:val="single" w:sz="6" w:space="0" w:color="D9D9D9"/>
              <w:right w:val="single" w:sz="6" w:space="0" w:color="D9D9D9"/>
            </w:tcBorders>
          </w:tcPr>
          <w:p>
            <w:pPr>
              <w:pStyle w:val="Compact"/>
            </w:pPr>
            <w:r>
              <w:t xml:space="preserve">No priorizar en la primera etapa</w:t>
            </w:r>
          </w:p>
        </w:tc>
      </w:tr>
    </w:tbl>
    <w:bookmarkEnd w:id="30"/>
    <w:bookmarkStart w:id="31" w:name="cronograma-sugerido"/>
    <w:p>
      <w:pPr>
        <w:pStyle w:val="Heading2"/>
      </w:pPr>
      <w:r>
        <w:t xml:space="preserve">Cronograma sugerido</w:t>
      </w:r>
    </w:p>
    <w:p>
      <w:pPr>
        <w:pStyle w:val="FirstParagraph"/>
      </w:pPr>
      <w:r>
        <w:t xml:space="preserve">Una aplicación compacta puede desarrollarse en dos semanas:</w:t>
      </w:r>
    </w:p>
    <w:p>
      <w:pPr>
        <w:pStyle w:val="Compact"/>
        <w:numPr>
          <w:ilvl w:val="0"/>
          <w:numId w:val="1010"/>
        </w:numPr>
      </w:pPr>
      <w:r>
        <w:rPr>
          <w:b/>
          <w:bCs/>
        </w:rPr>
        <w:t xml:space="preserve">Día 1 al 2</w:t>
      </w:r>
      <w:r>
        <w:t xml:space="preserve">: envío del instrumento y materiales de apoyo.</w:t>
      </w:r>
    </w:p>
    <w:p>
      <w:pPr>
        <w:pStyle w:val="Compact"/>
        <w:numPr>
          <w:ilvl w:val="0"/>
          <w:numId w:val="1010"/>
        </w:numPr>
      </w:pPr>
      <w:r>
        <w:rPr>
          <w:b/>
          <w:bCs/>
        </w:rPr>
        <w:t xml:space="preserve">Día 3 al 6</w:t>
      </w:r>
      <w:r>
        <w:t xml:space="preserve">: recepción de respuestas de la primera ronda.</w:t>
      </w:r>
    </w:p>
    <w:p>
      <w:pPr>
        <w:pStyle w:val="Compact"/>
        <w:numPr>
          <w:ilvl w:val="0"/>
          <w:numId w:val="1010"/>
        </w:numPr>
      </w:pPr>
      <w:r>
        <w:rPr>
          <w:b/>
          <w:bCs/>
        </w:rPr>
        <w:t xml:space="preserve">Día 7 al 8</w:t>
      </w:r>
      <w:r>
        <w:t xml:space="preserve">: consolidación técnica y elaboración de síntesis.</w:t>
      </w:r>
    </w:p>
    <w:p>
      <w:pPr>
        <w:pStyle w:val="Compact"/>
        <w:numPr>
          <w:ilvl w:val="0"/>
          <w:numId w:val="1010"/>
        </w:numPr>
      </w:pPr>
      <w:r>
        <w:rPr>
          <w:b/>
          <w:bCs/>
        </w:rPr>
        <w:t xml:space="preserve">Día 9 al 11</w:t>
      </w:r>
      <w:r>
        <w:t xml:space="preserve">: segunda ronda.</w:t>
      </w:r>
    </w:p>
    <w:p>
      <w:pPr>
        <w:pStyle w:val="Compact"/>
        <w:numPr>
          <w:ilvl w:val="0"/>
          <w:numId w:val="1010"/>
        </w:numPr>
      </w:pPr>
      <w:r>
        <w:rPr>
          <w:b/>
          <w:bCs/>
        </w:rPr>
        <w:t xml:space="preserve">Día 12 al 14</w:t>
      </w:r>
      <w:r>
        <w:t xml:space="preserve">: informe final de resultados y propuesta de priorización ajustada.</w:t>
      </w:r>
    </w:p>
    <w:bookmarkEnd w:id="31"/>
    <w:bookmarkStart w:id="32" w:name="producto-esperado"/>
    <w:p>
      <w:pPr>
        <w:pStyle w:val="Heading2"/>
      </w:pPr>
      <w:r>
        <w:t xml:space="preserve">Producto esperado</w:t>
      </w:r>
    </w:p>
    <w:p>
      <w:pPr>
        <w:pStyle w:val="FirstParagraph"/>
      </w:pPr>
      <w:r>
        <w:t xml:space="preserve">El resultado del ejercicio Delphi debería permitir:</w:t>
      </w:r>
    </w:p>
    <w:p>
      <w:pPr>
        <w:pStyle w:val="Compact"/>
        <w:numPr>
          <w:ilvl w:val="0"/>
          <w:numId w:val="1011"/>
        </w:numPr>
      </w:pPr>
      <w:r>
        <w:t xml:space="preserve">confirmar cuáles prioridades cuentan con mayor respaldo experto,</w:t>
      </w:r>
    </w:p>
    <w:p>
      <w:pPr>
        <w:pStyle w:val="Compact"/>
        <w:numPr>
          <w:ilvl w:val="0"/>
          <w:numId w:val="1011"/>
        </w:numPr>
      </w:pPr>
      <w:r>
        <w:t xml:space="preserve">identificar prioridades que requieren reformulación,</w:t>
      </w:r>
    </w:p>
    <w:p>
      <w:pPr>
        <w:pStyle w:val="Compact"/>
        <w:numPr>
          <w:ilvl w:val="0"/>
          <w:numId w:val="1011"/>
        </w:numPr>
      </w:pPr>
      <w:r>
        <w:t xml:space="preserve">distinguir cuáles pueden financiarse de inmediato y cuáles necesitan preparación institucional,</w:t>
      </w:r>
    </w:p>
    <w:p>
      <w:pPr>
        <w:pStyle w:val="Compact"/>
        <w:numPr>
          <w:ilvl w:val="0"/>
          <w:numId w:val="1011"/>
        </w:numPr>
      </w:pPr>
      <w:r>
        <w:t xml:space="preserve">dejar una justificación metodológica clara para la selección final.</w:t>
      </w:r>
    </w:p>
    <w:bookmarkEnd w:id="32"/>
    <w:bookmarkStart w:id="33" w:name="referencia-metodológica-breve"/>
    <w:p>
      <w:pPr>
        <w:pStyle w:val="Heading2"/>
      </w:pPr>
      <w:r>
        <w:t xml:space="preserve">Referencia metodológica breve</w:t>
      </w:r>
    </w:p>
    <w:p>
      <w:pPr>
        <w:pStyle w:val="FirstParagraph"/>
      </w:pPr>
      <w:r>
        <w:t xml:space="preserve">El método Delphi es un procedimiento estructurado de consulta iterativa a expertos que busca construir consensos informados sin depender de deliberación presencial ni de jerarquías visibles. Su valor, en este caso, no está en reemplazar la decisión pública, sino en mejorar la calidad de la justificación técnica que la sustenta.</w:t>
      </w:r>
    </w:p>
    <w:p>
      <w:pPr>
        <w:pStyle w:val="BodyText"/>
      </w:pPr>
      <w:r>
        <w:t xml:space="preserve">Elaboración: Noam López Villanes, Dirección de Investigación y Estudios, Consejo Nacional de Ciencia, Tecnología e Innovación Tecnológica.</w:t>
      </w:r>
      <w:r>
        <w:br/>
      </w:r>
      <w:r>
        <w:t xml:space="preserve">Fecha: 16 de marzo</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del método Delphi para priorizar líneas y prioridades de ciencia, tecnología e innovación</dc:title>
  <dc:creator/>
  <dc:language>es</dc:language>
  <cp:keywords/>
  <dcterms:created xsi:type="dcterms:W3CDTF">2026-03-17T10:44:21Z</dcterms:created>
  <dcterms:modified xsi:type="dcterms:W3CDTF">2026-03-17T10:44:21Z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Documento de Trabajo</vt:lpwstr>
  </property>
  <property fmtid="{D5CDD505-2E9C-101B-9397-08002B2CF9AE}" pid="9" name="toc-title">
    <vt:lpwstr>Tabla de contenidos</vt:lpwstr>
  </property>
</Properties>
</file>