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FC7C" w14:textId="6275D6B6" w:rsidR="007939C1" w:rsidRPr="007939C1" w:rsidRDefault="00000000" w:rsidP="007939C1">
      <w:pPr>
        <w:spacing w:after="60"/>
        <w:jc w:val="center"/>
        <w:rPr>
          <w:b/>
          <w:bCs/>
          <w:color w:val="171717" w:themeColor="background2" w:themeShade="1A"/>
          <w:sz w:val="44"/>
          <w:szCs w:val="44"/>
          <w:u w:val="single"/>
          <w:rtl/>
        </w:rPr>
      </w:pPr>
      <w:r w:rsidRPr="007939C1">
        <w:rPr>
          <w:b/>
          <w:bCs/>
          <w:color w:val="171717" w:themeColor="background2" w:themeShade="1A"/>
          <w:sz w:val="44"/>
          <w:szCs w:val="44"/>
          <w:u w:val="single"/>
        </w:rPr>
        <w:t>Lab 1</w:t>
      </w:r>
    </w:p>
    <w:p w14:paraId="611FAEB8" w14:textId="4905B3EA" w:rsidR="00682369" w:rsidRPr="000D1785" w:rsidRDefault="00000000" w:rsidP="007939C1">
      <w:pPr>
        <w:spacing w:after="60"/>
        <w:jc w:val="center"/>
        <w:rPr>
          <w:sz w:val="36"/>
          <w:szCs w:val="36"/>
          <w:rtl/>
        </w:rPr>
      </w:pPr>
      <w:r w:rsidRPr="000D1785">
        <w:rPr>
          <w:b/>
          <w:bCs/>
          <w:sz w:val="36"/>
          <w:szCs w:val="36"/>
        </w:rPr>
        <w:t>From CTI to SOC Investigation and MITRE ATT&amp;CK Mapping</w:t>
      </w:r>
    </w:p>
    <w:p w14:paraId="335FB61B" w14:textId="77777777" w:rsidR="007939C1" w:rsidRPr="000D1785" w:rsidRDefault="007939C1">
      <w:pPr>
        <w:spacing w:after="60"/>
        <w:rPr>
          <w:sz w:val="40"/>
          <w:szCs w:val="40"/>
        </w:rPr>
      </w:pPr>
    </w:p>
    <w:p w14:paraId="7175D6C2" w14:textId="77777777" w:rsidR="00682369" w:rsidRDefault="00000000">
      <w:pPr>
        <w:pStyle w:val="1"/>
        <w:keepNext/>
      </w:pPr>
      <w:r>
        <w:t>1. CTI Report</w:t>
      </w:r>
    </w:p>
    <w:p w14:paraId="50BCCF08" w14:textId="77777777" w:rsidR="00682369" w:rsidRDefault="00000000">
      <w:pPr>
        <w:spacing w:after="100"/>
      </w:pPr>
      <w:r>
        <w:t xml:space="preserve">Microsoft Threat Intelligence. </w:t>
      </w:r>
      <w:r>
        <w:rPr>
          <w:i/>
          <w:iCs/>
        </w:rPr>
        <w:t>Photo ZIP campaign targeting hospitality industry delivers Node.js implant for persistent access</w:t>
      </w:r>
      <w:r>
        <w:t xml:space="preserve">. Microsoft Security Blog, June 25, 2026. </w:t>
      </w:r>
      <w:hyperlink r:id="rId5" w:history="1">
        <w:r>
          <w:rPr>
            <w:rStyle w:val="Hyperlink"/>
            <w:sz w:val="18"/>
            <w:szCs w:val="18"/>
          </w:rPr>
          <w:t>htt</w:t>
        </w:r>
        <w:r>
          <w:rPr>
            <w:rStyle w:val="Hyperlink"/>
            <w:sz w:val="18"/>
            <w:szCs w:val="18"/>
          </w:rPr>
          <w:t>p</w:t>
        </w:r>
        <w:r>
          <w:rPr>
            <w:rStyle w:val="Hyperlink"/>
            <w:sz w:val="18"/>
            <w:szCs w:val="18"/>
          </w:rPr>
          <w:t>s://www.microsoft.com/en-us/security/blog/2026/06/25/photo-zip-campaign-targeting-hospitality-industry-delivers-node-js-implant-persistent-access/</w:t>
        </w:r>
      </w:hyperlink>
    </w:p>
    <w:p w14:paraId="765F37CD" w14:textId="77777777" w:rsidR="00682369" w:rsidRDefault="00000000">
      <w:pPr>
        <w:spacing w:after="100"/>
      </w:pPr>
      <w:r>
        <w:t xml:space="preserve">Microsoft Threat Intelligence reported an active, multi-stage campaign targeting hotel and hospitality organizations in Europe and Asia since April 2026. The affected devices were mainly Windows machines used by front desk, reception and reservation staff. Microsoft did not attribute the campaign to a known actor and states that its final objective is </w:t>
      </w:r>
      <w:proofErr w:type="gramStart"/>
      <w:r>
        <w:t>unclear, but</w:t>
      </w:r>
      <w:proofErr w:type="gramEnd"/>
      <w:r>
        <w:t xml:space="preserve"> assesses that the heavy focus on obfuscation and persistence may indicate preparation for follow-on activity.</w:t>
      </w:r>
    </w:p>
    <w:p w14:paraId="3DECA1C4" w14:textId="77777777" w:rsidR="00682369" w:rsidRDefault="00000000">
      <w:pPr>
        <w:spacing w:after="100"/>
      </w:pPr>
      <w:r>
        <w:t>The attack starts when a user downloads a photo-themed ZIP archive through the browser, in some cases from a link in a phishing email relayed through Calendly and Google redirects. The archive contains a shortcut disguised as an image (IMG-/PHOTO-&lt;</w:t>
      </w:r>
      <w:proofErr w:type="gramStart"/>
      <w:r>
        <w:t>numbers&gt;.</w:t>
      </w:r>
      <w:proofErr w:type="spellStart"/>
      <w:r>
        <w:t>png.lnk</w:t>
      </w:r>
      <w:proofErr w:type="spellEnd"/>
      <w:proofErr w:type="gramEnd"/>
      <w:r>
        <w:t xml:space="preserve">). Opening it launches obfuscated PowerShell that decodes a URL, downloads a second script to %TEMP% and runs it. Next, node.exe runs a JavaScript implant from the user's </w:t>
      </w:r>
      <w:proofErr w:type="spellStart"/>
      <w:r>
        <w:t>AppData</w:t>
      </w:r>
      <w:proofErr w:type="spellEnd"/>
      <w:r>
        <w:t xml:space="preserve"> folder. The attacker then adds Microsoft Defender exclusions for executables in the Temp folder, runs them, copies payloads to </w:t>
      </w:r>
      <w:proofErr w:type="spellStart"/>
      <w:r>
        <w:t>ProgramData</w:t>
      </w:r>
      <w:proofErr w:type="spellEnd"/>
      <w:r>
        <w:t xml:space="preserve"> and creates Run and </w:t>
      </w:r>
      <w:proofErr w:type="spellStart"/>
      <w:r>
        <w:t>RunOnce</w:t>
      </w:r>
      <w:proofErr w:type="spellEnd"/>
      <w:r>
        <w:t xml:space="preserve"> registry keys for persistence. Infected hosts beacon to C2 servers over non-standard ports, and on some </w:t>
      </w:r>
      <w:proofErr w:type="gramStart"/>
      <w:r>
        <w:t>devices</w:t>
      </w:r>
      <w:proofErr w:type="gramEnd"/>
      <w:r>
        <w:t xml:space="preserve"> Microsoft also observed headless browser automation, an IP geolocation lookup and forced shutdowns.</w:t>
      </w:r>
    </w:p>
    <w:p w14:paraId="3A06C46E" w14:textId="77777777" w:rsidR="00682369" w:rsidRDefault="00000000">
      <w:pPr>
        <w:pStyle w:val="1"/>
        <w:keepNext/>
      </w:pPr>
      <w:r>
        <w:t>2. Attack Flow</w:t>
      </w:r>
    </w:p>
    <w:p w14:paraId="30AA7CD7" w14:textId="77777777" w:rsidR="00682369" w:rsidRDefault="00000000">
      <w:pPr>
        <w:spacing w:after="80"/>
        <w:jc w:val="center"/>
      </w:pPr>
      <w:r>
        <w:rPr>
          <w:noProof/>
        </w:rPr>
        <w:drawing>
          <wp:inline distT="0" distB="0" distL="0" distR="0" wp14:anchorId="2E7CE683" wp14:editId="79D5F171">
            <wp:extent cx="5715000" cy="3010486"/>
            <wp:effectExtent l="0" t="0" r="0" b="0"/>
            <wp:docPr id="1" name="flow" descr="Attack flow from ZIP download to C2" title="Attac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57862" cy="3033064"/>
                    </a:xfrm>
                    <a:prstGeom prst="rect">
                      <a:avLst/>
                    </a:prstGeom>
                    <a:solidFill>
                      <a:schemeClr val="accent6">
                        <a:lumMod val="40000"/>
                        <a:lumOff val="60000"/>
                        <a:alpha val="49000"/>
                      </a:schemeClr>
                    </a:solidFill>
                    <a:ln>
                      <a:noFill/>
                    </a:ln>
                  </pic:spPr>
                </pic:pic>
              </a:graphicData>
            </a:graphic>
          </wp:inline>
        </w:drawing>
      </w:r>
    </w:p>
    <w:p w14:paraId="17840585" w14:textId="77777777" w:rsidR="00682369" w:rsidRDefault="00000000">
      <w:pPr>
        <w:spacing w:after="100"/>
      </w:pPr>
      <w:r>
        <w:t xml:space="preserve">Numbers match the behaviors in the mapping table. </w:t>
      </w:r>
      <w:r>
        <w:rPr>
          <w:b/>
          <w:bCs/>
        </w:rPr>
        <w:t>Facts vs. interpretation:</w:t>
      </w:r>
      <w:r>
        <w:t xml:space="preserve"> we did not treat the following as facts, because the report itself does not confirm them: the final objective of the campaign (the report says it is unclear), execution of the Wave 2 DLL (it was compiled but not seen loaded), and what the headless browser actually did (Microsoft infers automation only from the command line).</w:t>
      </w:r>
    </w:p>
    <w:p w14:paraId="3ED488BF" w14:textId="77777777" w:rsidR="00682369" w:rsidRDefault="00000000">
      <w:pPr>
        <w:pStyle w:val="1"/>
        <w:keepNext/>
      </w:pPr>
      <w:r>
        <w:lastRenderedPageBreak/>
        <w:t>3. ATT&amp;CK Mapping (ATT&amp;CK Enterprise v20)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1150"/>
        <w:gridCol w:w="1950"/>
        <w:gridCol w:w="2838"/>
        <w:gridCol w:w="2050"/>
      </w:tblGrid>
      <w:tr w:rsidR="00682369" w14:paraId="320E1B54" w14:textId="77777777">
        <w:tblPrEx>
          <w:tblCellMar>
            <w:top w:w="0" w:type="dxa"/>
            <w:bottom w:w="0" w:type="dxa"/>
          </w:tblCellMar>
        </w:tblPrEx>
        <w:trPr>
          <w:cantSplit/>
          <w:tblHeader/>
        </w:trPr>
        <w:tc>
          <w:tcPr>
            <w:tcW w:w="16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7A8EE186" w14:textId="77777777" w:rsidR="00682369" w:rsidRDefault="00000000">
            <w:pPr>
              <w:spacing w:after="20"/>
            </w:pPr>
            <w:r>
              <w:rPr>
                <w:b/>
                <w:bCs/>
                <w:sz w:val="18"/>
                <w:szCs w:val="18"/>
              </w:rPr>
              <w:t>Observed behavior</w:t>
            </w:r>
          </w:p>
        </w:tc>
        <w:tc>
          <w:tcPr>
            <w:tcW w:w="11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566EBF39" w14:textId="77777777" w:rsidR="00682369" w:rsidRDefault="00000000">
            <w:pPr>
              <w:spacing w:after="20"/>
            </w:pPr>
            <w:r>
              <w:rPr>
                <w:b/>
                <w:bCs/>
                <w:sz w:val="18"/>
                <w:szCs w:val="18"/>
              </w:rPr>
              <w:t>ATT&amp;CK tactic</w:t>
            </w:r>
          </w:p>
        </w:tc>
        <w:tc>
          <w:tcPr>
            <w:tcW w:w="19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71AADCF9" w14:textId="77777777" w:rsidR="00682369" w:rsidRDefault="00000000">
            <w:pPr>
              <w:spacing w:after="20"/>
            </w:pPr>
            <w:r>
              <w:rPr>
                <w:b/>
                <w:bCs/>
                <w:sz w:val="18"/>
                <w:szCs w:val="18"/>
              </w:rPr>
              <w:t>Technique / ID</w:t>
            </w:r>
          </w:p>
        </w:tc>
        <w:tc>
          <w:tcPr>
            <w:tcW w:w="2838"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42EC328B" w14:textId="77777777" w:rsidR="00682369" w:rsidRDefault="00000000">
            <w:pPr>
              <w:spacing w:after="20"/>
            </w:pPr>
            <w:r>
              <w:rPr>
                <w:b/>
                <w:bCs/>
                <w:sz w:val="18"/>
                <w:szCs w:val="18"/>
              </w:rPr>
              <w:t>Evidence and mapping rationale</w:t>
            </w:r>
          </w:p>
        </w:tc>
        <w:tc>
          <w:tcPr>
            <w:tcW w:w="20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7A5BE286" w14:textId="77777777" w:rsidR="00682369" w:rsidRDefault="00000000">
            <w:pPr>
              <w:spacing w:after="20"/>
            </w:pPr>
            <w:r>
              <w:rPr>
                <w:b/>
                <w:bCs/>
                <w:sz w:val="18"/>
                <w:szCs w:val="18"/>
              </w:rPr>
              <w:t>SOC telemetry / investigation</w:t>
            </w:r>
          </w:p>
        </w:tc>
      </w:tr>
      <w:tr w:rsidR="00682369" w14:paraId="22A71137" w14:textId="77777777">
        <w:tblPrEx>
          <w:tblCellMar>
            <w:top w:w="0" w:type="dxa"/>
            <w:bottom w:w="0" w:type="dxa"/>
          </w:tblCellMar>
        </w:tblPrEx>
        <w:trPr>
          <w:cantSplit/>
        </w:trPr>
        <w:tc>
          <w:tcPr>
            <w:tcW w:w="16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3B2787" w14:textId="77777777" w:rsidR="00682369" w:rsidRDefault="00000000">
            <w:pPr>
              <w:spacing w:after="20"/>
            </w:pPr>
            <w:r>
              <w:rPr>
                <w:sz w:val="18"/>
                <w:szCs w:val="18"/>
              </w:rPr>
              <w:t xml:space="preserve">1. User opens a fake image shortcut </w:t>
            </w:r>
            <w:proofErr w:type="gramStart"/>
            <w:r>
              <w:rPr>
                <w:sz w:val="18"/>
                <w:szCs w:val="18"/>
              </w:rPr>
              <w:t>(.</w:t>
            </w:r>
            <w:proofErr w:type="spellStart"/>
            <w:r>
              <w:rPr>
                <w:sz w:val="18"/>
                <w:szCs w:val="18"/>
              </w:rPr>
              <w:t>png.lnk</w:t>
            </w:r>
            <w:proofErr w:type="spellEnd"/>
            <w:proofErr w:type="gramEnd"/>
            <w:r>
              <w:rPr>
                <w:sz w:val="18"/>
                <w:szCs w:val="18"/>
              </w:rPr>
              <w:t>) from a downloaded ZIP</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6840DC" w14:textId="77777777" w:rsidR="00682369" w:rsidRDefault="00000000">
            <w:pPr>
              <w:spacing w:after="20"/>
            </w:pPr>
            <w:r>
              <w:rPr>
                <w:sz w:val="18"/>
                <w:szCs w:val="18"/>
              </w:rPr>
              <w:t>Execution</w:t>
            </w:r>
          </w:p>
          <w:p w14:paraId="448CF118" w14:textId="77777777" w:rsidR="00682369" w:rsidRDefault="00000000">
            <w:pPr>
              <w:spacing w:after="20"/>
            </w:pPr>
            <w:r>
              <w:rPr>
                <w:sz w:val="18"/>
                <w:szCs w:val="18"/>
              </w:rPr>
              <w:t>Stealth</w:t>
            </w:r>
          </w:p>
        </w:tc>
        <w:tc>
          <w:tcPr>
            <w:tcW w:w="19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09EFE5" w14:textId="77777777" w:rsidR="00682369" w:rsidRDefault="00000000">
            <w:pPr>
              <w:spacing w:after="20"/>
            </w:pPr>
            <w:r>
              <w:rPr>
                <w:sz w:val="18"/>
                <w:szCs w:val="18"/>
              </w:rPr>
              <w:t>User Execution: Malicious File (T1204.002)</w:t>
            </w:r>
          </w:p>
          <w:p w14:paraId="0E451DA7" w14:textId="77777777" w:rsidR="00682369" w:rsidRDefault="00000000">
            <w:pPr>
              <w:spacing w:after="20"/>
            </w:pPr>
            <w:r>
              <w:rPr>
                <w:sz w:val="18"/>
                <w:szCs w:val="18"/>
              </w:rPr>
              <w:t>Masquerading: Double File Extension (T1036.007)</w:t>
            </w:r>
          </w:p>
        </w:tc>
        <w:tc>
          <w:tcPr>
            <w:tcW w:w="28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8F5415" w14:textId="77777777" w:rsidR="00682369" w:rsidRDefault="00000000">
            <w:pPr>
              <w:spacing w:after="20"/>
            </w:pPr>
            <w:r>
              <w:rPr>
                <w:sz w:val="18"/>
                <w:szCs w:val="18"/>
              </w:rPr>
              <w:t>The infection starts only when the user opens IMG-/PHOTO-&lt;n</w:t>
            </w:r>
            <w:proofErr w:type="gramStart"/>
            <w:r>
              <w:rPr>
                <w:sz w:val="18"/>
                <w:szCs w:val="18"/>
              </w:rPr>
              <w:t>&gt;.</w:t>
            </w:r>
            <w:proofErr w:type="spellStart"/>
            <w:r>
              <w:rPr>
                <w:sz w:val="18"/>
                <w:szCs w:val="18"/>
              </w:rPr>
              <w:t>png.lnk</w:t>
            </w:r>
            <w:proofErr w:type="spellEnd"/>
            <w:proofErr w:type="gramEnd"/>
            <w:r>
              <w:rPr>
                <w:sz w:val="18"/>
                <w:szCs w:val="18"/>
              </w:rPr>
              <w:t>. Windows hides the .</w:t>
            </w:r>
            <w:proofErr w:type="spellStart"/>
            <w:r>
              <w:rPr>
                <w:sz w:val="18"/>
                <w:szCs w:val="18"/>
              </w:rPr>
              <w:t>lnk</w:t>
            </w:r>
            <w:proofErr w:type="spellEnd"/>
            <w:r>
              <w:rPr>
                <w:sz w:val="18"/>
                <w:szCs w:val="18"/>
              </w:rPr>
              <w:t xml:space="preserve"> extension, so the file looks like a PNG image.</w:t>
            </w:r>
          </w:p>
        </w:tc>
        <w:tc>
          <w:tcPr>
            <w:tcW w:w="2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9956E2" w14:textId="77777777" w:rsidR="00682369" w:rsidRDefault="00000000">
            <w:pPr>
              <w:spacing w:after="20"/>
            </w:pPr>
            <w:r>
              <w:rPr>
                <w:sz w:val="18"/>
                <w:szCs w:val="18"/>
              </w:rPr>
              <w:t>Process creation: explorer.exe opens a .</w:t>
            </w:r>
            <w:proofErr w:type="spellStart"/>
            <w:r>
              <w:rPr>
                <w:sz w:val="18"/>
                <w:szCs w:val="18"/>
              </w:rPr>
              <w:t>lnk</w:t>
            </w:r>
            <w:proofErr w:type="spellEnd"/>
            <w:r>
              <w:rPr>
                <w:sz w:val="18"/>
                <w:szCs w:val="18"/>
              </w:rPr>
              <w:t xml:space="preserve"> from Downloads, followed by powershell.exe.</w:t>
            </w:r>
          </w:p>
        </w:tc>
      </w:tr>
      <w:tr w:rsidR="00682369" w14:paraId="3D884865" w14:textId="77777777">
        <w:tblPrEx>
          <w:tblCellMar>
            <w:top w:w="0" w:type="dxa"/>
            <w:bottom w:w="0" w:type="dxa"/>
          </w:tblCellMar>
        </w:tblPrEx>
        <w:trPr>
          <w:cantSplit/>
        </w:trPr>
        <w:tc>
          <w:tcPr>
            <w:tcW w:w="16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4C4138" w14:textId="77777777" w:rsidR="00682369" w:rsidRDefault="00000000">
            <w:pPr>
              <w:spacing w:after="20"/>
            </w:pPr>
            <w:r>
              <w:rPr>
                <w:sz w:val="18"/>
                <w:szCs w:val="18"/>
              </w:rPr>
              <w:t>2. Obfuscated PowerShell downloads a .ps1 to %TEMP% and runs it</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6F042B" w14:textId="77777777" w:rsidR="00682369" w:rsidRDefault="00000000">
            <w:pPr>
              <w:spacing w:after="20"/>
            </w:pPr>
            <w:r>
              <w:rPr>
                <w:sz w:val="18"/>
                <w:szCs w:val="18"/>
              </w:rPr>
              <w:t>Execution</w:t>
            </w:r>
          </w:p>
          <w:p w14:paraId="13FFC502" w14:textId="77777777" w:rsidR="00682369" w:rsidRDefault="00000000">
            <w:pPr>
              <w:spacing w:after="20"/>
            </w:pPr>
            <w:r>
              <w:rPr>
                <w:sz w:val="18"/>
                <w:szCs w:val="18"/>
              </w:rPr>
              <w:t>Command and Control</w:t>
            </w:r>
          </w:p>
          <w:p w14:paraId="563599F8" w14:textId="77777777" w:rsidR="00682369" w:rsidRDefault="00000000">
            <w:pPr>
              <w:spacing w:after="20"/>
            </w:pPr>
            <w:r>
              <w:rPr>
                <w:sz w:val="18"/>
                <w:szCs w:val="18"/>
              </w:rPr>
              <w:t>Stealth</w:t>
            </w:r>
          </w:p>
        </w:tc>
        <w:tc>
          <w:tcPr>
            <w:tcW w:w="19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609A6E" w14:textId="77777777" w:rsidR="00682369" w:rsidRDefault="00000000">
            <w:pPr>
              <w:spacing w:after="20"/>
            </w:pPr>
            <w:r>
              <w:rPr>
                <w:sz w:val="18"/>
                <w:szCs w:val="18"/>
              </w:rPr>
              <w:t>PowerShell (T1059.001)</w:t>
            </w:r>
          </w:p>
          <w:p w14:paraId="521157E9" w14:textId="77777777" w:rsidR="00682369" w:rsidRDefault="00000000">
            <w:pPr>
              <w:spacing w:after="20"/>
            </w:pPr>
            <w:r>
              <w:rPr>
                <w:sz w:val="18"/>
                <w:szCs w:val="18"/>
              </w:rPr>
              <w:t>Ingress Tool Transfer (T1105)</w:t>
            </w:r>
          </w:p>
          <w:p w14:paraId="7E665956" w14:textId="77777777" w:rsidR="00682369" w:rsidRDefault="00000000">
            <w:pPr>
              <w:spacing w:after="20"/>
            </w:pPr>
            <w:r>
              <w:rPr>
                <w:sz w:val="18"/>
                <w:szCs w:val="18"/>
              </w:rPr>
              <w:t>Command Obfuscation (T1027.010)</w:t>
            </w:r>
          </w:p>
        </w:tc>
        <w:tc>
          <w:tcPr>
            <w:tcW w:w="28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7E3453" w14:textId="77777777" w:rsidR="00682369" w:rsidRDefault="00000000">
            <w:pPr>
              <w:spacing w:after="20"/>
            </w:pPr>
            <w:r>
              <w:rPr>
                <w:sz w:val="18"/>
                <w:szCs w:val="18"/>
              </w:rPr>
              <w:t xml:space="preserve">Figs. 9–15 show PowerShell with -ep bypass, a download with </w:t>
            </w:r>
            <w:proofErr w:type="spellStart"/>
            <w:r>
              <w:rPr>
                <w:sz w:val="18"/>
                <w:szCs w:val="18"/>
              </w:rPr>
              <w:t>iwr</w:t>
            </w:r>
            <w:proofErr w:type="spellEnd"/>
            <w:r>
              <w:rPr>
                <w:sz w:val="18"/>
                <w:szCs w:val="18"/>
              </w:rPr>
              <w:t xml:space="preserve"> -</w:t>
            </w:r>
            <w:proofErr w:type="spellStart"/>
            <w:r>
              <w:rPr>
                <w:sz w:val="18"/>
                <w:szCs w:val="18"/>
              </w:rPr>
              <w:t>OutFile</w:t>
            </w:r>
            <w:proofErr w:type="spellEnd"/>
            <w:r>
              <w:rPr>
                <w:sz w:val="18"/>
                <w:szCs w:val="18"/>
              </w:rPr>
              <w:t xml:space="preserve"> to %TEMP%, and the URL hidden as encoded numbers inside the command line.</w:t>
            </w:r>
          </w:p>
        </w:tc>
        <w:tc>
          <w:tcPr>
            <w:tcW w:w="2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AA2632" w14:textId="77777777" w:rsidR="00682369" w:rsidRDefault="00000000">
            <w:pPr>
              <w:spacing w:after="20"/>
            </w:pPr>
            <w:r>
              <w:rPr>
                <w:sz w:val="18"/>
                <w:szCs w:val="18"/>
              </w:rPr>
              <w:t>Process creation with command line (4688 / Sysmon 1), PowerShell 4104, proxy/DNS logs.</w:t>
            </w:r>
          </w:p>
        </w:tc>
      </w:tr>
      <w:tr w:rsidR="00682369" w14:paraId="05B9153E" w14:textId="77777777">
        <w:tblPrEx>
          <w:tblCellMar>
            <w:top w:w="0" w:type="dxa"/>
            <w:bottom w:w="0" w:type="dxa"/>
          </w:tblCellMar>
        </w:tblPrEx>
        <w:trPr>
          <w:cantSplit/>
        </w:trPr>
        <w:tc>
          <w:tcPr>
            <w:tcW w:w="16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4E2AAD" w14:textId="77777777" w:rsidR="00682369" w:rsidRDefault="00000000">
            <w:pPr>
              <w:spacing w:after="20"/>
            </w:pPr>
            <w:r>
              <w:rPr>
                <w:sz w:val="18"/>
                <w:szCs w:val="18"/>
              </w:rPr>
              <w:t xml:space="preserve">3. node.exe runs a JavaScript implant from </w:t>
            </w:r>
            <w:proofErr w:type="spellStart"/>
            <w:r>
              <w:rPr>
                <w:sz w:val="18"/>
                <w:szCs w:val="18"/>
              </w:rPr>
              <w:t>AppData</w:t>
            </w:r>
            <w:proofErr w:type="spellEnd"/>
            <w:r>
              <w:rPr>
                <w:sz w:val="18"/>
                <w:szCs w:val="18"/>
              </w:rPr>
              <w:t>\Local\Nodejs</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C7FC79" w14:textId="77777777" w:rsidR="00682369" w:rsidRDefault="00000000">
            <w:pPr>
              <w:spacing w:after="20"/>
            </w:pPr>
            <w:r>
              <w:rPr>
                <w:sz w:val="18"/>
                <w:szCs w:val="18"/>
              </w:rPr>
              <w:t>Execution</w:t>
            </w:r>
          </w:p>
        </w:tc>
        <w:tc>
          <w:tcPr>
            <w:tcW w:w="19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2D8EB1" w14:textId="77777777" w:rsidR="00682369" w:rsidRDefault="00000000">
            <w:pPr>
              <w:spacing w:after="20"/>
            </w:pPr>
            <w:r>
              <w:rPr>
                <w:sz w:val="18"/>
                <w:szCs w:val="18"/>
              </w:rPr>
              <w:t>JavaScript (T1059.007)</w:t>
            </w:r>
          </w:p>
        </w:tc>
        <w:tc>
          <w:tcPr>
            <w:tcW w:w="28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C7E2E2" w14:textId="77777777" w:rsidR="00682369" w:rsidRDefault="00000000">
            <w:pPr>
              <w:spacing w:after="20"/>
            </w:pPr>
            <w:r>
              <w:rPr>
                <w:sz w:val="18"/>
                <w:szCs w:val="18"/>
              </w:rPr>
              <w:t>Fig. 3: node.exe runs a random .</w:t>
            </w:r>
            <w:proofErr w:type="spellStart"/>
            <w:r>
              <w:rPr>
                <w:sz w:val="18"/>
                <w:szCs w:val="18"/>
              </w:rPr>
              <w:t>js</w:t>
            </w:r>
            <w:proofErr w:type="spellEnd"/>
            <w:r>
              <w:rPr>
                <w:sz w:val="18"/>
                <w:szCs w:val="18"/>
              </w:rPr>
              <w:t xml:space="preserve"> file with a domain as an argument. The report does not describe the C2 protocol, so we did not map T1071.</w:t>
            </w:r>
          </w:p>
        </w:tc>
        <w:tc>
          <w:tcPr>
            <w:tcW w:w="2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57D5FD" w14:textId="77777777" w:rsidR="00682369" w:rsidRDefault="00000000">
            <w:pPr>
              <w:spacing w:after="20"/>
            </w:pPr>
            <w:r>
              <w:rPr>
                <w:sz w:val="18"/>
                <w:szCs w:val="18"/>
              </w:rPr>
              <w:t>Process creation of node.exe from the user profile and its network connections.</w:t>
            </w:r>
          </w:p>
        </w:tc>
      </w:tr>
      <w:tr w:rsidR="00682369" w14:paraId="3ABC3F06" w14:textId="77777777">
        <w:tblPrEx>
          <w:tblCellMar>
            <w:top w:w="0" w:type="dxa"/>
            <w:bottom w:w="0" w:type="dxa"/>
          </w:tblCellMar>
        </w:tblPrEx>
        <w:trPr>
          <w:cantSplit/>
        </w:trPr>
        <w:tc>
          <w:tcPr>
            <w:tcW w:w="16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70A632" w14:textId="77777777" w:rsidR="00682369" w:rsidRDefault="00000000">
            <w:pPr>
              <w:spacing w:after="20"/>
            </w:pPr>
            <w:r>
              <w:rPr>
                <w:sz w:val="18"/>
                <w:szCs w:val="18"/>
              </w:rPr>
              <w:t>4. Defender exclusions added for EXEs in the Temp folder</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A48843" w14:textId="77777777" w:rsidR="00682369" w:rsidRDefault="00000000">
            <w:pPr>
              <w:spacing w:after="20"/>
            </w:pPr>
            <w:r>
              <w:rPr>
                <w:sz w:val="18"/>
                <w:szCs w:val="18"/>
              </w:rPr>
              <w:t>Defense Impairment</w:t>
            </w:r>
          </w:p>
        </w:tc>
        <w:tc>
          <w:tcPr>
            <w:tcW w:w="19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0C1961" w14:textId="77777777" w:rsidR="00682369" w:rsidRDefault="00000000">
            <w:pPr>
              <w:spacing w:after="20"/>
            </w:pPr>
            <w:r>
              <w:rPr>
                <w:sz w:val="18"/>
                <w:szCs w:val="18"/>
              </w:rPr>
              <w:t>Disable or Modify Tools (T1685)</w:t>
            </w:r>
          </w:p>
        </w:tc>
        <w:tc>
          <w:tcPr>
            <w:tcW w:w="28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366A10" w14:textId="77777777" w:rsidR="00682369" w:rsidRDefault="00000000">
            <w:pPr>
              <w:spacing w:after="20"/>
            </w:pPr>
            <w:r>
              <w:rPr>
                <w:sz w:val="18"/>
                <w:szCs w:val="18"/>
              </w:rPr>
              <w:t>Fig. 5: Add-</w:t>
            </w:r>
            <w:proofErr w:type="spellStart"/>
            <w:r>
              <w:rPr>
                <w:sz w:val="18"/>
                <w:szCs w:val="18"/>
              </w:rPr>
              <w:t>MpPreference</w:t>
            </w:r>
            <w:proofErr w:type="spellEnd"/>
            <w:r>
              <w:rPr>
                <w:sz w:val="18"/>
                <w:szCs w:val="18"/>
              </w:rPr>
              <w:t xml:space="preserve"> -</w:t>
            </w:r>
            <w:proofErr w:type="spellStart"/>
            <w:r>
              <w:rPr>
                <w:sz w:val="18"/>
                <w:szCs w:val="18"/>
              </w:rPr>
              <w:t>ExclusionProcess</w:t>
            </w:r>
            <w:proofErr w:type="spellEnd"/>
            <w:r>
              <w:rPr>
                <w:sz w:val="18"/>
                <w:szCs w:val="18"/>
              </w:rPr>
              <w:t>, seconds before those EXEs run. No sub-technique of T1685 covers antivirus exclusions.</w:t>
            </w:r>
          </w:p>
        </w:tc>
        <w:tc>
          <w:tcPr>
            <w:tcW w:w="2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8FE11F" w14:textId="77777777" w:rsidR="00682369" w:rsidRDefault="00000000">
            <w:pPr>
              <w:spacing w:after="20"/>
            </w:pPr>
            <w:r>
              <w:rPr>
                <w:sz w:val="18"/>
                <w:szCs w:val="18"/>
              </w:rPr>
              <w:t>Defender event 5007, registry changes under Windows Defender\Exclusions.</w:t>
            </w:r>
          </w:p>
        </w:tc>
      </w:tr>
      <w:tr w:rsidR="00682369" w14:paraId="0AB54CD0" w14:textId="77777777">
        <w:tblPrEx>
          <w:tblCellMar>
            <w:top w:w="0" w:type="dxa"/>
            <w:bottom w:w="0" w:type="dxa"/>
          </w:tblCellMar>
        </w:tblPrEx>
        <w:trPr>
          <w:cantSplit/>
        </w:trPr>
        <w:tc>
          <w:tcPr>
            <w:tcW w:w="16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CA9E12" w14:textId="77777777" w:rsidR="00682369" w:rsidRDefault="00000000">
            <w:pPr>
              <w:spacing w:after="20"/>
            </w:pPr>
            <w:r>
              <w:rPr>
                <w:sz w:val="18"/>
                <w:szCs w:val="18"/>
              </w:rPr>
              <w:t xml:space="preserve">5. Run / </w:t>
            </w:r>
            <w:proofErr w:type="spellStart"/>
            <w:r>
              <w:rPr>
                <w:sz w:val="18"/>
                <w:szCs w:val="18"/>
              </w:rPr>
              <w:t>RunOnce</w:t>
            </w:r>
            <w:proofErr w:type="spellEnd"/>
            <w:r>
              <w:rPr>
                <w:sz w:val="18"/>
                <w:szCs w:val="18"/>
              </w:rPr>
              <w:t xml:space="preserve"> registry keys</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1F1107" w14:textId="77777777" w:rsidR="00682369" w:rsidRDefault="00000000">
            <w:pPr>
              <w:spacing w:after="20"/>
            </w:pPr>
            <w:r>
              <w:rPr>
                <w:sz w:val="18"/>
                <w:szCs w:val="18"/>
              </w:rPr>
              <w:t>Persistence</w:t>
            </w:r>
          </w:p>
        </w:tc>
        <w:tc>
          <w:tcPr>
            <w:tcW w:w="19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DCF004" w14:textId="77777777" w:rsidR="00682369" w:rsidRDefault="00000000">
            <w:pPr>
              <w:spacing w:after="20"/>
            </w:pPr>
            <w:r>
              <w:rPr>
                <w:sz w:val="18"/>
                <w:szCs w:val="18"/>
              </w:rPr>
              <w:t>Registry Run Keys / Startup Folder (T1547.001)</w:t>
            </w:r>
          </w:p>
        </w:tc>
        <w:tc>
          <w:tcPr>
            <w:tcW w:w="28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F0A550" w14:textId="77777777" w:rsidR="00682369" w:rsidRDefault="00000000">
            <w:pPr>
              <w:spacing w:after="20"/>
            </w:pPr>
            <w:r>
              <w:rPr>
                <w:sz w:val="18"/>
                <w:szCs w:val="18"/>
              </w:rPr>
              <w:t xml:space="preserve">Fig. 7: HKCU </w:t>
            </w:r>
            <w:proofErr w:type="spellStart"/>
            <w:r>
              <w:rPr>
                <w:sz w:val="18"/>
                <w:szCs w:val="18"/>
              </w:rPr>
              <w:t>RunOnce</w:t>
            </w:r>
            <w:proofErr w:type="spellEnd"/>
            <w:r>
              <w:rPr>
                <w:sz w:val="18"/>
                <w:szCs w:val="18"/>
              </w:rPr>
              <w:t xml:space="preserve"> points to an EXE in </w:t>
            </w:r>
            <w:proofErr w:type="spellStart"/>
            <w:r>
              <w:rPr>
                <w:sz w:val="18"/>
                <w:szCs w:val="18"/>
              </w:rPr>
              <w:t>ProgramData</w:t>
            </w:r>
            <w:proofErr w:type="spellEnd"/>
            <w:r>
              <w:rPr>
                <w:sz w:val="18"/>
                <w:szCs w:val="18"/>
              </w:rPr>
              <w:t>; HKCU Run points to node.exe.</w:t>
            </w:r>
          </w:p>
        </w:tc>
        <w:tc>
          <w:tcPr>
            <w:tcW w:w="2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02E26C" w14:textId="77777777" w:rsidR="00682369" w:rsidRDefault="00000000">
            <w:pPr>
              <w:spacing w:after="20"/>
            </w:pPr>
            <w:r>
              <w:rPr>
                <w:sz w:val="18"/>
                <w:szCs w:val="18"/>
              </w:rPr>
              <w:t>Sysmon 13 on Run/</w:t>
            </w:r>
            <w:proofErr w:type="spellStart"/>
            <w:r>
              <w:rPr>
                <w:sz w:val="18"/>
                <w:szCs w:val="18"/>
              </w:rPr>
              <w:t>RunOnce</w:t>
            </w:r>
            <w:proofErr w:type="spellEnd"/>
            <w:r>
              <w:rPr>
                <w:sz w:val="18"/>
                <w:szCs w:val="18"/>
              </w:rPr>
              <w:t xml:space="preserve">, EDR </w:t>
            </w:r>
            <w:proofErr w:type="spellStart"/>
            <w:r>
              <w:rPr>
                <w:sz w:val="18"/>
                <w:szCs w:val="18"/>
              </w:rPr>
              <w:t>autostart</w:t>
            </w:r>
            <w:proofErr w:type="spellEnd"/>
            <w:r>
              <w:rPr>
                <w:sz w:val="18"/>
                <w:szCs w:val="18"/>
              </w:rPr>
              <w:t xml:space="preserve"> alerts.</w:t>
            </w:r>
          </w:p>
        </w:tc>
      </w:tr>
      <w:tr w:rsidR="00682369" w14:paraId="7B4E6505" w14:textId="77777777">
        <w:tblPrEx>
          <w:tblCellMar>
            <w:top w:w="0" w:type="dxa"/>
            <w:bottom w:w="0" w:type="dxa"/>
          </w:tblCellMar>
        </w:tblPrEx>
        <w:trPr>
          <w:cantSplit/>
        </w:trPr>
        <w:tc>
          <w:tcPr>
            <w:tcW w:w="16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50798A" w14:textId="77777777" w:rsidR="00682369" w:rsidRDefault="00000000">
            <w:pPr>
              <w:spacing w:after="20"/>
            </w:pPr>
            <w:r>
              <w:rPr>
                <w:sz w:val="18"/>
                <w:szCs w:val="18"/>
              </w:rPr>
              <w:t xml:space="preserve">6. Lookup to </w:t>
            </w:r>
            <w:proofErr w:type="spellStart"/>
            <w:r>
              <w:rPr>
                <w:sz w:val="18"/>
                <w:szCs w:val="18"/>
              </w:rPr>
              <w:t>ip-api</w:t>
            </w:r>
            <w:proofErr w:type="spellEnd"/>
            <w:r>
              <w:rPr>
                <w:sz w:val="18"/>
                <w:szCs w:val="18"/>
              </w:rPr>
              <w:t>[.]com (some hosts)</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5382E3" w14:textId="77777777" w:rsidR="00682369" w:rsidRDefault="00000000">
            <w:pPr>
              <w:spacing w:after="20"/>
            </w:pPr>
            <w:r>
              <w:rPr>
                <w:sz w:val="18"/>
                <w:szCs w:val="18"/>
              </w:rPr>
              <w:t>Discovery</w:t>
            </w:r>
          </w:p>
        </w:tc>
        <w:tc>
          <w:tcPr>
            <w:tcW w:w="19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D143EA" w14:textId="77777777" w:rsidR="00682369" w:rsidRDefault="00000000">
            <w:pPr>
              <w:spacing w:after="20"/>
            </w:pPr>
            <w:r>
              <w:rPr>
                <w:sz w:val="18"/>
                <w:szCs w:val="18"/>
              </w:rPr>
              <w:t>System Location Discovery (T1614), uncertain</w:t>
            </w:r>
          </w:p>
        </w:tc>
        <w:tc>
          <w:tcPr>
            <w:tcW w:w="283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272ED0" w14:textId="77777777" w:rsidR="00682369" w:rsidRDefault="00000000">
            <w:pPr>
              <w:spacing w:after="20"/>
            </w:pPr>
            <w:proofErr w:type="spellStart"/>
            <w:r>
              <w:rPr>
                <w:sz w:val="18"/>
                <w:szCs w:val="18"/>
              </w:rPr>
              <w:t>ip-api</w:t>
            </w:r>
            <w:proofErr w:type="spellEnd"/>
            <w:r>
              <w:rPr>
                <w:sz w:val="18"/>
                <w:szCs w:val="18"/>
              </w:rPr>
              <w:t xml:space="preserve"> is an IP geolocation service, and T1614 covers this kind of lookup. Microsoft mapped it to T1016 (see section 5).</w:t>
            </w:r>
          </w:p>
        </w:tc>
        <w:tc>
          <w:tcPr>
            <w:tcW w:w="20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3BD459" w14:textId="77777777" w:rsidR="00682369" w:rsidRDefault="00000000">
            <w:pPr>
              <w:spacing w:after="20"/>
            </w:pPr>
            <w:r>
              <w:rPr>
                <w:sz w:val="18"/>
                <w:szCs w:val="18"/>
              </w:rPr>
              <w:t>Proxy/DNS logs with the full request URL.</w:t>
            </w:r>
          </w:p>
        </w:tc>
      </w:tr>
    </w:tbl>
    <w:p w14:paraId="0986796A" w14:textId="77777777" w:rsidR="00682369" w:rsidRDefault="00000000">
      <w:pPr>
        <w:spacing w:after="100"/>
      </w:pPr>
      <w:r>
        <w:rPr>
          <w:sz w:val="18"/>
          <w:szCs w:val="18"/>
        </w:rPr>
        <w:t>Note: the report maps the Defender exclusions to T1562.001 under Defense Evasion. In ATT&amp;CK v19 (April 2026), Defense Evasion was split into Stealth and Defense Impairment, and T1562.001 was merged into T1685, so we used the current ID.</w:t>
      </w:r>
    </w:p>
    <w:p w14:paraId="06EC9015" w14:textId="77777777" w:rsidR="00682369" w:rsidRDefault="00000000">
      <w:pPr>
        <w:pStyle w:val="1"/>
        <w:keepNext/>
      </w:pPr>
      <w:r>
        <w:t>4. SOC Investigation Notes</w:t>
      </w:r>
    </w:p>
    <w:p w14:paraId="3C602E6D" w14:textId="77777777" w:rsidR="00682369" w:rsidRDefault="00000000">
      <w:pPr>
        <w:spacing w:after="100"/>
      </w:pPr>
      <w:r>
        <w:rPr>
          <w:b/>
          <w:bCs/>
        </w:rPr>
        <w:t>Behavior 2 – PowerShell download and execution.</w:t>
      </w:r>
      <w:r>
        <w:t xml:space="preserve"> Telemetry: process creation with command line (4688 / Sysmon 1), Script Block Logging (4104), proxy/DNS. </w:t>
      </w:r>
      <w:r>
        <w:rPr>
          <w:b/>
          <w:bCs/>
        </w:rPr>
        <w:t>Tier 1:</w:t>
      </w:r>
      <w:r>
        <w:t xml:space="preserve"> check whether PowerShell was started by explorer.exe right after a .</w:t>
      </w:r>
      <w:proofErr w:type="spellStart"/>
      <w:r>
        <w:t>lnk</w:t>
      </w:r>
      <w:proofErr w:type="spellEnd"/>
      <w:r>
        <w:t xml:space="preserve"> from a ZIP was opened, and whether PowerShell is normal on a front-desk PC; an unknown destination domain means </w:t>
      </w:r>
      <w:proofErr w:type="gramStart"/>
      <w:r>
        <w:t>escalate</w:t>
      </w:r>
      <w:proofErr w:type="gramEnd"/>
      <w:r>
        <w:t xml:space="preserve">. </w:t>
      </w:r>
      <w:r>
        <w:rPr>
          <w:b/>
          <w:bCs/>
        </w:rPr>
        <w:t>Tier 2:</w:t>
      </w:r>
      <w:r>
        <w:t xml:space="preserve"> rebuild the process tree to see what ran next (node.exe), read the decoded script in event 4104, search other hosts for the same domain and pattern, and isolate affected hosts.</w:t>
      </w:r>
    </w:p>
    <w:p w14:paraId="50E1D94C" w14:textId="77777777" w:rsidR="00682369" w:rsidRDefault="00000000">
      <w:pPr>
        <w:spacing w:after="100"/>
      </w:pPr>
      <w:r>
        <w:rPr>
          <w:b/>
          <w:bCs/>
        </w:rPr>
        <w:t>Behavior 4 – Defender exclusions.</w:t>
      </w:r>
      <w:r>
        <w:t xml:space="preserve"> Telemetry: Defender Operational event 5007, registry changes under Windows Defender\Exclusions, PowerShell running Add-</w:t>
      </w:r>
      <w:proofErr w:type="spellStart"/>
      <w:r>
        <w:t>MpPreference</w:t>
      </w:r>
      <w:proofErr w:type="spellEnd"/>
      <w:r>
        <w:t xml:space="preserve">. </w:t>
      </w:r>
      <w:r>
        <w:rPr>
          <w:b/>
          <w:bCs/>
        </w:rPr>
        <w:t>Tier 1:</w:t>
      </w:r>
      <w:r>
        <w:t xml:space="preserve"> was the change made by an IT tool (Intune/GPO) with a change record, or by PowerShell in a user session? An excluded Temp path with no record means </w:t>
      </w:r>
      <w:proofErr w:type="gramStart"/>
      <w:r>
        <w:t>escalate</w:t>
      </w:r>
      <w:proofErr w:type="gramEnd"/>
      <w:r>
        <w:t xml:space="preserve">. </w:t>
      </w:r>
      <w:r>
        <w:rPr>
          <w:b/>
          <w:bCs/>
        </w:rPr>
        <w:t>Tier 2:</w:t>
      </w:r>
      <w:r>
        <w:t xml:space="preserve"> match the exclusion time with execution of the excluded files, check their hashes, review exclusions on other hosts, remove them and verify tamper protection. Open question: how the process had admin rights, which the report does not explain.</w:t>
      </w:r>
    </w:p>
    <w:p w14:paraId="035A2050" w14:textId="77777777" w:rsidR="00682369" w:rsidRDefault="00000000">
      <w:pPr>
        <w:spacing w:after="100"/>
      </w:pPr>
      <w:r>
        <w:rPr>
          <w:b/>
          <w:bCs/>
        </w:rPr>
        <w:t>Behavior 5 – Run/</w:t>
      </w:r>
      <w:proofErr w:type="spellStart"/>
      <w:r>
        <w:rPr>
          <w:b/>
          <w:bCs/>
        </w:rPr>
        <w:t>RunOnce</w:t>
      </w:r>
      <w:proofErr w:type="spellEnd"/>
      <w:r>
        <w:rPr>
          <w:b/>
          <w:bCs/>
        </w:rPr>
        <w:t xml:space="preserve"> persistence.</w:t>
      </w:r>
      <w:r>
        <w:t xml:space="preserve"> Telemetry: Sysmon 13 on HKCU Run/</w:t>
      </w:r>
      <w:proofErr w:type="spellStart"/>
      <w:r>
        <w:t>RunOnce</w:t>
      </w:r>
      <w:proofErr w:type="spellEnd"/>
      <w:r>
        <w:t xml:space="preserve">, EDR </w:t>
      </w:r>
      <w:proofErr w:type="spellStart"/>
      <w:r>
        <w:t>autostart</w:t>
      </w:r>
      <w:proofErr w:type="spellEnd"/>
      <w:r>
        <w:t xml:space="preserve"> alerts, reg.exe process creation. </w:t>
      </w:r>
      <w:r>
        <w:rPr>
          <w:b/>
          <w:bCs/>
        </w:rPr>
        <w:t>Tier 1:</w:t>
      </w:r>
      <w:r>
        <w:t xml:space="preserve"> a value pointing to a random </w:t>
      </w:r>
      <w:proofErr w:type="spellStart"/>
      <w:r>
        <w:t>ProgramData</w:t>
      </w:r>
      <w:proofErr w:type="spellEnd"/>
      <w:r>
        <w:t xml:space="preserve"> folder or to </w:t>
      </w:r>
      <w:proofErr w:type="spellStart"/>
      <w:r>
        <w:t>AppData</w:t>
      </w:r>
      <w:proofErr w:type="spellEnd"/>
      <w:r>
        <w:t xml:space="preserve">\Local\Nodejs, with a random name and written by reg.exe from a script, means escalate. </w:t>
      </w:r>
      <w:r>
        <w:rPr>
          <w:b/>
          <w:bCs/>
        </w:rPr>
        <w:t>Tier 2:</w:t>
      </w:r>
      <w:r>
        <w:t xml:space="preserve"> remove both keys (the report shows the Node.js Run key survived after one payload was blocked), check whether </w:t>
      </w:r>
      <w:proofErr w:type="spellStart"/>
      <w:r>
        <w:t>RunOnce</w:t>
      </w:r>
      <w:proofErr w:type="spellEnd"/>
      <w:r>
        <w:t xml:space="preserve"> is recreated after logon, and confirm cleanup after a reboot.</w:t>
      </w:r>
    </w:p>
    <w:p w14:paraId="33965F86" w14:textId="77777777" w:rsidR="00682369" w:rsidRDefault="00000000">
      <w:pPr>
        <w:spacing w:after="100"/>
      </w:pPr>
      <w:r>
        <w:rPr>
          <w:i/>
          <w:iCs/>
        </w:rPr>
        <w:t>ATT&amp;CK describes behavior, so none of these alerts proves malicious intent on its own; IT staff also use PowerShell, add exclusions and create Run keys. The decision depends on context.</w:t>
      </w:r>
    </w:p>
    <w:p w14:paraId="2ADB75F1" w14:textId="77777777" w:rsidR="00682369" w:rsidRDefault="00000000">
      <w:pPr>
        <w:pStyle w:val="1"/>
        <w:keepNext/>
      </w:pPr>
      <w:r>
        <w:lastRenderedPageBreak/>
        <w:t>5. Uncertain Mapping</w:t>
      </w:r>
    </w:p>
    <w:p w14:paraId="4048655C" w14:textId="77777777" w:rsidR="00682369" w:rsidRDefault="00000000">
      <w:pPr>
        <w:spacing w:after="100"/>
      </w:pPr>
      <w:r>
        <w:rPr>
          <w:b/>
          <w:bCs/>
        </w:rPr>
        <w:t>Behavior 6 (</w:t>
      </w:r>
      <w:proofErr w:type="spellStart"/>
      <w:r>
        <w:rPr>
          <w:b/>
          <w:bCs/>
        </w:rPr>
        <w:t>ip-api</w:t>
      </w:r>
      <w:proofErr w:type="spellEnd"/>
      <w:r>
        <w:rPr>
          <w:b/>
          <w:bCs/>
        </w:rPr>
        <w:t xml:space="preserve"> lookup).</w:t>
      </w:r>
      <w:r>
        <w:t xml:space="preserve"> We mapped it to System Location Discovery (T1614), because </w:t>
      </w:r>
      <w:proofErr w:type="spellStart"/>
      <w:r>
        <w:t>ip-api</w:t>
      </w:r>
      <w:proofErr w:type="spellEnd"/>
      <w:r>
        <w:t xml:space="preserve"> is an IP geolocation service and T1614 covers this kind of lookup. Microsoft mapped it to System Network Configuration Discovery (T1016), while describing it as a "geolocation lookup" in the same table. Another option is Internet Connection Discovery (T1016.001), if the request was only a connectivity check.</w:t>
      </w:r>
    </w:p>
    <w:p w14:paraId="346546DA" w14:textId="77777777" w:rsidR="00682369" w:rsidRDefault="00000000">
      <w:pPr>
        <w:spacing w:after="40"/>
      </w:pPr>
      <w:r>
        <w:t>Evidence that would decide it:</w:t>
      </w:r>
    </w:p>
    <w:p w14:paraId="2C5BD72A" w14:textId="77777777" w:rsidR="00682369" w:rsidRDefault="00000000">
      <w:pPr>
        <w:pStyle w:val="a4"/>
        <w:numPr>
          <w:ilvl w:val="0"/>
          <w:numId w:val="2"/>
        </w:numPr>
        <w:spacing w:after="40"/>
      </w:pPr>
      <w:r>
        <w:t>The full request URL: location fields (country, city) support T1614; requesting only the IP supports T1016.</w:t>
      </w:r>
    </w:p>
    <w:p w14:paraId="5A5A220D" w14:textId="77777777" w:rsidR="00682369" w:rsidRDefault="00000000">
      <w:pPr>
        <w:pStyle w:val="a4"/>
        <w:numPr>
          <w:ilvl w:val="0"/>
          <w:numId w:val="2"/>
        </w:numPr>
        <w:spacing w:after="40"/>
      </w:pPr>
      <w:r>
        <w:t>Whether the implant behaved differently by country after the lookup, which would strongly support T1614.</w:t>
      </w:r>
    </w:p>
    <w:p w14:paraId="4ED9249D" w14:textId="77777777" w:rsidR="00682369" w:rsidRDefault="00000000">
      <w:pPr>
        <w:pStyle w:val="a4"/>
        <w:numPr>
          <w:ilvl w:val="0"/>
          <w:numId w:val="2"/>
        </w:numPr>
        <w:spacing w:after="40"/>
      </w:pPr>
      <w:r>
        <w:t>The implant's .</w:t>
      </w:r>
      <w:proofErr w:type="spellStart"/>
      <w:r>
        <w:t>js</w:t>
      </w:r>
      <w:proofErr w:type="spellEnd"/>
      <w:r>
        <w:t xml:space="preserve"> code, which is not published in the report.</w:t>
      </w:r>
    </w:p>
    <w:p w14:paraId="7B5E7758" w14:textId="77777777" w:rsidR="00682369" w:rsidRDefault="00000000">
      <w:pPr>
        <w:spacing w:after="160"/>
      </w:pPr>
      <w:r>
        <w:t>Decision: we keep T1614 and mark it as uncertain.</w:t>
      </w:r>
    </w:p>
    <w:p w14:paraId="721562C7" w14:textId="77777777" w:rsidR="00682369" w:rsidRDefault="00000000">
      <w:pPr>
        <w:pStyle w:val="1"/>
        <w:keepNext/>
      </w:pPr>
      <w:r>
        <w:t>References</w:t>
      </w:r>
    </w:p>
    <w:p w14:paraId="397B5737" w14:textId="77777777" w:rsidR="00682369" w:rsidRDefault="00000000">
      <w:pPr>
        <w:spacing w:after="40"/>
      </w:pPr>
      <w:r>
        <w:rPr>
          <w:sz w:val="18"/>
          <w:szCs w:val="18"/>
        </w:rPr>
        <w:t xml:space="preserve">Microsoft Threat Intelligence report (above). </w:t>
      </w:r>
      <w:hyperlink r:id="rId7" w:history="1">
        <w:r>
          <w:rPr>
            <w:rStyle w:val="Hyperlink"/>
            <w:sz w:val="16"/>
            <w:szCs w:val="16"/>
          </w:rPr>
          <w:t>https://www.microsoft.com/en-us/security/blog/2026/06/25/photo-zip-campaign-targeting-hospitality-industry-delivers-node-js-implant-persistent-access/</w:t>
        </w:r>
      </w:hyperlink>
    </w:p>
    <w:p w14:paraId="4BCDBA9D" w14:textId="77777777" w:rsidR="00682369" w:rsidRDefault="00000000">
      <w:pPr>
        <w:spacing w:after="40"/>
      </w:pPr>
      <w:r>
        <w:rPr>
          <w:sz w:val="18"/>
          <w:szCs w:val="18"/>
        </w:rPr>
        <w:t xml:space="preserve">MITRE ATT&amp;CK Enterprise v20. </w:t>
      </w:r>
      <w:hyperlink r:id="rId8" w:history="1">
        <w:r>
          <w:rPr>
            <w:rStyle w:val="Hyperlink"/>
            <w:sz w:val="16"/>
            <w:szCs w:val="16"/>
          </w:rPr>
          <w:t>https://attack.mitre.org/</w:t>
        </w:r>
      </w:hyperlink>
    </w:p>
    <w:sectPr w:rsidR="0068236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7236B"/>
    <w:multiLevelType w:val="hybridMultilevel"/>
    <w:tmpl w:val="DD06E118"/>
    <w:lvl w:ilvl="0" w:tplc="0F16187A" w:tentative="1">
      <w:start w:val="1"/>
      <w:numFmt w:val="bullet"/>
      <w:lvlText w:val="●"/>
      <w:lvlJc w:val="left"/>
      <w:pPr>
        <w:ind w:left="720" w:hanging="360"/>
      </w:pPr>
    </w:lvl>
    <w:lvl w:ilvl="1" w:tplc="41769B6A" w:tentative="1">
      <w:start w:val="1"/>
      <w:numFmt w:val="bullet"/>
      <w:lvlText w:val="○"/>
      <w:lvlJc w:val="left"/>
      <w:pPr>
        <w:ind w:left="1440" w:hanging="360"/>
      </w:pPr>
    </w:lvl>
    <w:lvl w:ilvl="2" w:tplc="A796C3AE" w:tentative="1">
      <w:start w:val="1"/>
      <w:numFmt w:val="bullet"/>
      <w:lvlText w:val="■"/>
      <w:lvlJc w:val="left"/>
      <w:pPr>
        <w:ind w:left="2160" w:hanging="360"/>
      </w:pPr>
    </w:lvl>
    <w:lvl w:ilvl="3" w:tplc="912252DA" w:tentative="1">
      <w:start w:val="1"/>
      <w:numFmt w:val="bullet"/>
      <w:lvlText w:val="●"/>
      <w:lvlJc w:val="left"/>
      <w:pPr>
        <w:ind w:left="2880" w:hanging="360"/>
      </w:pPr>
    </w:lvl>
    <w:lvl w:ilvl="4" w:tplc="DEF4B8C6" w:tentative="1">
      <w:start w:val="1"/>
      <w:numFmt w:val="bullet"/>
      <w:lvlText w:val="○"/>
      <w:lvlJc w:val="left"/>
      <w:pPr>
        <w:ind w:left="3600" w:hanging="360"/>
      </w:pPr>
    </w:lvl>
    <w:lvl w:ilvl="5" w:tplc="2CD4288C" w:tentative="1">
      <w:start w:val="1"/>
      <w:numFmt w:val="bullet"/>
      <w:lvlText w:val="■"/>
      <w:lvlJc w:val="left"/>
      <w:pPr>
        <w:ind w:left="4320" w:hanging="360"/>
      </w:pPr>
    </w:lvl>
    <w:lvl w:ilvl="6" w:tplc="CA466066" w:tentative="1">
      <w:start w:val="1"/>
      <w:numFmt w:val="bullet"/>
      <w:lvlText w:val="●"/>
      <w:lvlJc w:val="left"/>
      <w:pPr>
        <w:ind w:left="5040" w:hanging="360"/>
      </w:pPr>
    </w:lvl>
    <w:lvl w:ilvl="7" w:tplc="C87CB898" w:tentative="1">
      <w:start w:val="1"/>
      <w:numFmt w:val="bullet"/>
      <w:lvlText w:val="●"/>
      <w:lvlJc w:val="left"/>
      <w:pPr>
        <w:ind w:left="5760" w:hanging="360"/>
      </w:pPr>
    </w:lvl>
    <w:lvl w:ilvl="8" w:tplc="2FFAFF4A" w:tentative="1">
      <w:start w:val="1"/>
      <w:numFmt w:val="bullet"/>
      <w:lvlText w:val="●"/>
      <w:lvlJc w:val="left"/>
      <w:pPr>
        <w:ind w:left="6480" w:hanging="360"/>
      </w:pPr>
    </w:lvl>
  </w:abstractNum>
  <w:abstractNum w:abstractNumId="1" w15:restartNumberingAfterBreak="0">
    <w:nsid w:val="39A1101B"/>
    <w:multiLevelType w:val="hybridMultilevel"/>
    <w:tmpl w:val="FB36DFC4"/>
    <w:lvl w:ilvl="0" w:tplc="E264AE76">
      <w:start w:val="1"/>
      <w:numFmt w:val="bullet"/>
      <w:lvlText w:val="•"/>
      <w:lvlJc w:val="left"/>
      <w:pPr>
        <w:ind w:left="500" w:hanging="250"/>
      </w:pPr>
    </w:lvl>
    <w:lvl w:ilvl="1" w:tplc="57E691C8">
      <w:numFmt w:val="decimal"/>
      <w:lvlText w:val=""/>
      <w:lvlJc w:val="left"/>
    </w:lvl>
    <w:lvl w:ilvl="2" w:tplc="23221DB4">
      <w:numFmt w:val="decimal"/>
      <w:lvlText w:val=""/>
      <w:lvlJc w:val="left"/>
    </w:lvl>
    <w:lvl w:ilvl="3" w:tplc="C2025F5A">
      <w:numFmt w:val="decimal"/>
      <w:lvlText w:val=""/>
      <w:lvlJc w:val="left"/>
    </w:lvl>
    <w:lvl w:ilvl="4" w:tplc="6672AF2A">
      <w:numFmt w:val="decimal"/>
      <w:lvlText w:val=""/>
      <w:lvlJc w:val="left"/>
    </w:lvl>
    <w:lvl w:ilvl="5" w:tplc="6D98013E">
      <w:numFmt w:val="decimal"/>
      <w:lvlText w:val=""/>
      <w:lvlJc w:val="left"/>
    </w:lvl>
    <w:lvl w:ilvl="6" w:tplc="21D4303E">
      <w:numFmt w:val="decimal"/>
      <w:lvlText w:val=""/>
      <w:lvlJc w:val="left"/>
    </w:lvl>
    <w:lvl w:ilvl="7" w:tplc="49B4D932">
      <w:numFmt w:val="decimal"/>
      <w:lvlText w:val=""/>
      <w:lvlJc w:val="left"/>
    </w:lvl>
    <w:lvl w:ilvl="8" w:tplc="136EE32E">
      <w:numFmt w:val="decimal"/>
      <w:lvlText w:val=""/>
      <w:lvlJc w:val="left"/>
    </w:lvl>
  </w:abstractNum>
  <w:num w:numId="1" w16cid:durableId="1450395581">
    <w:abstractNumId w:val="0"/>
    <w:lvlOverride w:ilvl="0">
      <w:startOverride w:val="1"/>
    </w:lvlOverride>
  </w:num>
  <w:num w:numId="2" w16cid:durableId="421990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369"/>
    <w:rsid w:val="000D1785"/>
    <w:rsid w:val="00110C35"/>
    <w:rsid w:val="00682369"/>
    <w:rsid w:val="007939C1"/>
    <w:rsid w:val="00FB38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3BC2ED0"/>
  <w15:docId w15:val="{4816EFA2-33C2-D84D-A915-488098EA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00" w:after="80"/>
      <w:outlineLvl w:val="0"/>
    </w:pPr>
    <w:rPr>
      <w:b/>
      <w:bCs/>
      <w:sz w:val="25"/>
      <w:szCs w:val="25"/>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character" w:styleId="FollowedHyperlink">
    <w:name w:val="FollowedHyperlink"/>
    <w:basedOn w:val="a0"/>
    <w:uiPriority w:val="99"/>
    <w:semiHidden/>
    <w:unhideWhenUsed/>
    <w:rsid w:val="007939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ttack.mitre.org/" TargetMode="External"/><Relationship Id="rId3" Type="http://schemas.openxmlformats.org/officeDocument/2006/relationships/settings" Target="settings.xml"/><Relationship Id="rId7" Type="http://schemas.openxmlformats.org/officeDocument/2006/relationships/hyperlink" Target="https://www.microsoft.com/en-us/security/blog/2026/06/25/photo-zip-campaign-targeting-hospitality-industry-delivers-node-js-implant-persistent-acc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icrosoft.com/en-us/security/blog/2026/06/25/photo-zip-campaign-targeting-hospitality-industry-delivers-node-js-implant-persistent-acc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1278</Words>
  <Characters>6392</Characters>
  <Application>Microsoft Office Word</Application>
  <DocSecurity>0</DocSecurity>
  <Lines>53</Lines>
  <Paragraphs>15</Paragraphs>
  <ScaleCrop>false</ScaleCrop>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CTI to SOC Investigation and MITRE ATT&amp;CK Mapping</dc:title>
  <dc:creator>Noam, Ofek</dc:creator>
  <cp:lastModifiedBy>Noam Ohanuna</cp:lastModifiedBy>
  <cp:revision>3</cp:revision>
  <dcterms:created xsi:type="dcterms:W3CDTF">2026-10-24T11:00:00Z</dcterms:created>
  <dcterms:modified xsi:type="dcterms:W3CDTF">2026-10-24T11:04:00Z</dcterms:modified>
</cp:coreProperties>
</file>