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GIRO GALETTE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301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Giro Galette has resided continuously in a family shelter run by Eliot Community Human Services located in Marlborough, MA at 265 Lakeside Ave. Rm. 301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Nov 7,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