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87175B" w:rsidRDefault="00D07821" w:rsidP="00D07821">
      <w:pPr>
        <w:pStyle w:val="3"/>
      </w:pPr>
      <w:r w:rsidRPr="0087175B">
        <w:rPr>
          <w:rFonts w:hint="eastAsia"/>
        </w:rPr>
        <w:t>交通費精算</w:t>
      </w:r>
      <w:bookmarkStart w:id="0" w:name="_GoBack"/>
      <w:bookmarkEnd w:id="0"/>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B07FF7" w:rsidRPr="0087175B" w:rsidTr="007B196E">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B07FF7" w:rsidRPr="0087175B" w:rsidRDefault="00B07FF7" w:rsidP="007B196E">
            <w:pPr>
              <w:rPr>
                <w:rFonts w:ascii="Meiryo UI" w:hAnsi="Meiryo UI" w:cs="ＭＳ Ｐゴシック"/>
                <w:color w:val="000000"/>
              </w:rPr>
            </w:pPr>
            <w:r w:rsidRPr="0087175B">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B07FF7" w:rsidRPr="0087175B" w:rsidRDefault="00B07FF7" w:rsidP="007B196E">
            <w:pPr>
              <w:rPr>
                <w:rFonts w:ascii="Meiryo UI" w:hAnsi="Meiryo UI" w:cs="ＭＳ Ｐゴシック"/>
                <w:color w:val="000000"/>
              </w:rPr>
            </w:pPr>
            <w:r w:rsidRPr="0087175B">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B07FF7" w:rsidRPr="0087175B" w:rsidRDefault="00B07FF7" w:rsidP="007B196E">
            <w:pPr>
              <w:rPr>
                <w:rFonts w:ascii="Meiryo UI" w:hAnsi="Meiryo UI" w:cs="ＭＳ Ｐゴシック"/>
                <w:color w:val="000000"/>
              </w:rPr>
            </w:pPr>
            <w:r w:rsidRPr="0087175B">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B07FF7" w:rsidRPr="0087175B" w:rsidRDefault="00B07FF7" w:rsidP="007B196E">
            <w:pPr>
              <w:rPr>
                <w:rFonts w:ascii="Meiryo UI" w:hAnsi="Meiryo UI" w:cs="ＭＳ Ｐゴシック"/>
                <w:color w:val="000000"/>
              </w:rPr>
            </w:pPr>
            <w:r w:rsidRPr="0087175B">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B07FF7" w:rsidRPr="0087175B" w:rsidRDefault="00B07FF7" w:rsidP="007B196E">
            <w:pPr>
              <w:rPr>
                <w:rFonts w:ascii="Meiryo UI" w:hAnsi="Meiryo UI" w:cs="ＭＳ Ｐゴシック"/>
                <w:color w:val="000000"/>
              </w:rPr>
            </w:pPr>
            <w:r w:rsidRPr="0087175B">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B07FF7" w:rsidRPr="0087175B" w:rsidRDefault="00B07FF7" w:rsidP="007B196E">
            <w:pPr>
              <w:rPr>
                <w:rFonts w:ascii="Meiryo UI" w:hAnsi="Meiryo UI" w:cs="ＭＳ Ｐゴシック"/>
                <w:color w:val="000000"/>
              </w:rPr>
            </w:pPr>
            <w:r w:rsidRPr="0087175B">
              <w:rPr>
                <w:rFonts w:ascii="Meiryo UI" w:hAnsi="Meiryo UI" w:cs="ＭＳ Ｐゴシック" w:hint="eastAsia"/>
                <w:color w:val="000000"/>
              </w:rPr>
              <w:t>W</w:t>
            </w:r>
          </w:p>
        </w:tc>
      </w:tr>
      <w:tr w:rsidR="00B07FF7" w:rsidRPr="0087175B" w:rsidTr="007B196E">
        <w:trPr>
          <w:trHeight w:val="360"/>
        </w:trPr>
        <w:tc>
          <w:tcPr>
            <w:tcW w:w="5524" w:type="dxa"/>
            <w:tcBorders>
              <w:top w:val="nil"/>
              <w:left w:val="single" w:sz="4" w:space="0" w:color="auto"/>
              <w:bottom w:val="single" w:sz="4" w:space="0" w:color="auto"/>
              <w:right w:val="nil"/>
            </w:tcBorders>
            <w:shd w:val="clear" w:color="auto" w:fill="auto"/>
            <w:noWrap/>
            <w:hideMark/>
          </w:tcPr>
          <w:p w:rsidR="00B07FF7" w:rsidRPr="0087175B" w:rsidRDefault="00B07FF7" w:rsidP="00B07FF7">
            <w:pPr>
              <w:rPr>
                <w:rFonts w:ascii="Meiryo UI" w:hAnsi="Meiryo UI"/>
              </w:rPr>
            </w:pPr>
            <w:r w:rsidRPr="0087175B">
              <w:rPr>
                <w:rFonts w:ascii="Meiryo UI" w:hAnsi="Meiryo UI" w:hint="eastAsia"/>
              </w:rPr>
              <w:t>(1)交通費精算の起票</w:t>
            </w:r>
          </w:p>
        </w:tc>
        <w:tc>
          <w:tcPr>
            <w:tcW w:w="425" w:type="dxa"/>
            <w:tcBorders>
              <w:top w:val="nil"/>
              <w:left w:val="single" w:sz="4" w:space="0" w:color="auto"/>
              <w:bottom w:val="single" w:sz="4" w:space="0" w:color="auto"/>
              <w:right w:val="nil"/>
            </w:tcBorders>
            <w:shd w:val="clear" w:color="auto" w:fill="auto"/>
            <w:noWrap/>
            <w:hideMark/>
          </w:tcPr>
          <w:p w:rsidR="00B07FF7" w:rsidRPr="0087175B" w:rsidRDefault="00B07FF7" w:rsidP="00B07FF7">
            <w:pPr>
              <w:rPr>
                <w:rFonts w:ascii="Meiryo UI" w:hAnsi="Meiryo UI"/>
              </w:rPr>
            </w:pPr>
            <w:r w:rsidRPr="0087175B">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B07FF7" w:rsidRPr="0087175B" w:rsidRDefault="00B07FF7" w:rsidP="00B07FF7">
            <w:pPr>
              <w:rPr>
                <w:rFonts w:ascii="Meiryo UI" w:hAnsi="Meiryo UI"/>
              </w:rPr>
            </w:pPr>
            <w:r w:rsidRPr="0087175B">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B07FF7" w:rsidRPr="0087175B" w:rsidRDefault="00B07FF7" w:rsidP="00B07FF7">
            <w:pPr>
              <w:rPr>
                <w:rFonts w:ascii="Meiryo UI" w:hAnsi="Meiryo UI"/>
              </w:rPr>
            </w:pPr>
            <w:r w:rsidRPr="0087175B">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B07FF7" w:rsidRPr="0087175B" w:rsidRDefault="00B07FF7" w:rsidP="00B07FF7">
            <w:pPr>
              <w:rPr>
                <w:rFonts w:ascii="Meiryo UI" w:hAnsi="Meiryo UI"/>
              </w:rPr>
            </w:pPr>
            <w:r w:rsidRPr="0087175B">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B07FF7" w:rsidRPr="0087175B" w:rsidRDefault="00B07FF7" w:rsidP="00B07FF7">
            <w:pPr>
              <w:rPr>
                <w:rFonts w:ascii="Meiryo UI" w:hAnsi="Meiryo UI" w:cs="ＭＳ Ｐゴシック"/>
                <w:color w:val="000000"/>
              </w:rPr>
            </w:pPr>
            <w:r w:rsidRPr="0087175B">
              <w:rPr>
                <w:rFonts w:ascii="Meiryo UI" w:hAnsi="Meiryo UI" w:cs="ＭＳ Ｐゴシック" w:hint="eastAsia"/>
                <w:color w:val="000000"/>
              </w:rPr>
              <w:t>×</w:t>
            </w:r>
          </w:p>
        </w:tc>
      </w:tr>
      <w:tr w:rsidR="00B07FF7" w:rsidRPr="0087175B" w:rsidTr="007B196E">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B07FF7" w:rsidRPr="0087175B" w:rsidRDefault="00B07FF7" w:rsidP="00B07FF7">
            <w:pPr>
              <w:rPr>
                <w:rFonts w:ascii="Meiryo UI" w:hAnsi="Meiryo UI"/>
              </w:rPr>
            </w:pPr>
            <w:r w:rsidRPr="0087175B">
              <w:rPr>
                <w:rFonts w:ascii="Meiryo UI" w:hAnsi="Meiryo UI" w:hint="eastAsia"/>
              </w:rPr>
              <w:t>(2)交通費精算のワークフロー</w:t>
            </w:r>
          </w:p>
        </w:tc>
        <w:tc>
          <w:tcPr>
            <w:tcW w:w="425" w:type="dxa"/>
            <w:tcBorders>
              <w:top w:val="single" w:sz="4" w:space="0" w:color="auto"/>
              <w:left w:val="single" w:sz="4" w:space="0" w:color="auto"/>
              <w:bottom w:val="single" w:sz="4" w:space="0" w:color="auto"/>
              <w:right w:val="nil"/>
            </w:tcBorders>
            <w:shd w:val="clear" w:color="auto" w:fill="auto"/>
            <w:noWrap/>
          </w:tcPr>
          <w:p w:rsidR="00B07FF7" w:rsidRPr="0087175B" w:rsidRDefault="00B07FF7" w:rsidP="00B07FF7">
            <w:pPr>
              <w:rPr>
                <w:rFonts w:ascii="Meiryo UI" w:hAnsi="Meiryo UI"/>
              </w:rPr>
            </w:pPr>
            <w:r w:rsidRPr="0087175B">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B07FF7" w:rsidRPr="0087175B" w:rsidRDefault="00B07FF7" w:rsidP="00B07FF7">
            <w:pPr>
              <w:rPr>
                <w:rFonts w:ascii="Meiryo UI" w:hAnsi="Meiryo UI"/>
              </w:rPr>
            </w:pPr>
            <w:r w:rsidRPr="0087175B">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B07FF7" w:rsidRPr="0087175B" w:rsidRDefault="00B07FF7" w:rsidP="00B07FF7">
            <w:pPr>
              <w:rPr>
                <w:rFonts w:ascii="Meiryo UI" w:hAnsi="Meiryo UI"/>
              </w:rPr>
            </w:pPr>
            <w:r w:rsidRPr="0087175B">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B07FF7" w:rsidRPr="0087175B" w:rsidRDefault="00B07FF7" w:rsidP="00B07FF7">
            <w:pPr>
              <w:rPr>
                <w:rFonts w:ascii="Meiryo UI" w:hAnsi="Meiryo UI"/>
              </w:rPr>
            </w:pPr>
            <w:r w:rsidRPr="0087175B">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7FF7" w:rsidRPr="0087175B" w:rsidRDefault="00B07FF7" w:rsidP="00B07FF7">
            <w:pPr>
              <w:rPr>
                <w:rFonts w:ascii="Meiryo UI" w:hAnsi="Meiryo UI" w:cs="ＭＳ Ｐゴシック"/>
                <w:color w:val="000000"/>
              </w:rPr>
            </w:pPr>
            <w:r w:rsidRPr="0087175B">
              <w:rPr>
                <w:rFonts w:ascii="Meiryo UI" w:hAnsi="Meiryo UI" w:cs="ＭＳ Ｐゴシック" w:hint="eastAsia"/>
                <w:color w:val="000000"/>
              </w:rPr>
              <w:t>○</w:t>
            </w:r>
          </w:p>
        </w:tc>
      </w:tr>
      <w:tr w:rsidR="00B07FF7" w:rsidRPr="0087175B" w:rsidTr="007B196E">
        <w:trPr>
          <w:trHeight w:val="360"/>
        </w:trPr>
        <w:tc>
          <w:tcPr>
            <w:tcW w:w="5524" w:type="dxa"/>
            <w:tcBorders>
              <w:top w:val="nil"/>
              <w:left w:val="single" w:sz="4" w:space="0" w:color="auto"/>
              <w:bottom w:val="single" w:sz="4" w:space="0" w:color="auto"/>
              <w:right w:val="nil"/>
            </w:tcBorders>
            <w:shd w:val="clear" w:color="auto" w:fill="auto"/>
            <w:noWrap/>
          </w:tcPr>
          <w:p w:rsidR="00B07FF7" w:rsidRPr="0087175B" w:rsidRDefault="00B07FF7" w:rsidP="00B07FF7">
            <w:pPr>
              <w:rPr>
                <w:rFonts w:ascii="Meiryo UI" w:hAnsi="Meiryo UI"/>
              </w:rPr>
            </w:pPr>
            <w:r w:rsidRPr="0087175B">
              <w:rPr>
                <w:rFonts w:ascii="Meiryo UI" w:hAnsi="Meiryo UI" w:hint="eastAsia"/>
              </w:rPr>
              <w:t>(3)交通費精算の参照</w:t>
            </w:r>
          </w:p>
        </w:tc>
        <w:tc>
          <w:tcPr>
            <w:tcW w:w="425" w:type="dxa"/>
            <w:tcBorders>
              <w:top w:val="nil"/>
              <w:left w:val="single" w:sz="4" w:space="0" w:color="auto"/>
              <w:bottom w:val="single" w:sz="4" w:space="0" w:color="auto"/>
              <w:right w:val="nil"/>
            </w:tcBorders>
            <w:shd w:val="clear" w:color="auto" w:fill="auto"/>
            <w:noWrap/>
          </w:tcPr>
          <w:p w:rsidR="00B07FF7" w:rsidRPr="0087175B" w:rsidRDefault="00B07FF7" w:rsidP="00B07FF7">
            <w:pPr>
              <w:rPr>
                <w:rFonts w:ascii="Meiryo UI" w:hAnsi="Meiryo UI"/>
              </w:rPr>
            </w:pPr>
            <w:r w:rsidRPr="0087175B">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B07FF7" w:rsidRPr="0087175B" w:rsidRDefault="00B07FF7" w:rsidP="00B07FF7">
            <w:pPr>
              <w:rPr>
                <w:rFonts w:ascii="Meiryo UI" w:hAnsi="Meiryo UI"/>
              </w:rPr>
            </w:pPr>
            <w:r w:rsidRPr="0087175B">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B07FF7" w:rsidRPr="0087175B" w:rsidRDefault="00B07FF7" w:rsidP="00B07FF7">
            <w:pPr>
              <w:rPr>
                <w:rFonts w:ascii="Meiryo UI" w:hAnsi="Meiryo UI"/>
              </w:rPr>
            </w:pPr>
            <w:r w:rsidRPr="0087175B">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rsidR="00B07FF7" w:rsidRPr="0087175B" w:rsidRDefault="00B07FF7" w:rsidP="00B07FF7">
            <w:pPr>
              <w:rPr>
                <w:rFonts w:ascii="Meiryo UI" w:hAnsi="Meiryo UI"/>
              </w:rPr>
            </w:pPr>
            <w:r w:rsidRPr="0087175B">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rsidR="00B07FF7" w:rsidRPr="0087175B" w:rsidRDefault="00B07FF7" w:rsidP="00B07FF7">
            <w:pPr>
              <w:rPr>
                <w:rFonts w:ascii="Meiryo UI" w:hAnsi="Meiryo UI"/>
              </w:rPr>
            </w:pPr>
            <w:r w:rsidRPr="0087175B">
              <w:rPr>
                <w:rFonts w:ascii="Meiryo UI" w:hAnsi="Meiryo UI" w:cs="ＭＳ Ｐゴシック" w:hint="eastAsia"/>
                <w:color w:val="000000"/>
              </w:rPr>
              <w:t>○</w:t>
            </w:r>
          </w:p>
        </w:tc>
      </w:tr>
    </w:tbl>
    <w:p w:rsidR="00D6186B" w:rsidRPr="0087175B" w:rsidRDefault="00D6186B" w:rsidP="00D6186B">
      <w:pPr>
        <w:rPr>
          <w:rFonts w:ascii="Meiryo UI" w:hAnsi="Meiryo UI"/>
          <w:lang w:val="ja-JP"/>
        </w:rPr>
      </w:pPr>
    </w:p>
    <w:p w:rsidR="00D6186B" w:rsidRPr="0087175B" w:rsidRDefault="00D6186B" w:rsidP="00D6186B">
      <w:pPr>
        <w:rPr>
          <w:rFonts w:ascii="Meiryo UI" w:hAnsi="Meiryo UI"/>
          <w:lang w:val="ja-JP"/>
        </w:rPr>
      </w:pPr>
      <w:r w:rsidRPr="0087175B">
        <w:rPr>
          <w:rFonts w:ascii="Meiryo UI" w:hAnsi="Meiryo UI" w:hint="eastAsia"/>
          <w:lang w:val="ja-JP"/>
        </w:rPr>
        <w:t>(1)交通費精算の起票</w:t>
      </w:r>
    </w:p>
    <w:p w:rsidR="00D6186B" w:rsidRPr="0087175B" w:rsidRDefault="00D6186B" w:rsidP="00630BFF">
      <w:pPr>
        <w:ind w:leftChars="100" w:left="220"/>
        <w:rPr>
          <w:rFonts w:ascii="Meiryo UI" w:hAnsi="Meiryo UI"/>
          <w:lang w:val="ja-JP"/>
        </w:rPr>
      </w:pPr>
      <w:r w:rsidRPr="0087175B">
        <w:rPr>
          <w:rFonts w:ascii="Meiryo UI" w:hAnsi="Meiryo UI" w:hint="eastAsia"/>
          <w:lang w:val="ja-JP"/>
        </w:rPr>
        <w:t>各種伝票で共通的な入力方法については「2.1.2.1 起票」を参照し、</w:t>
      </w:r>
    </w:p>
    <w:p w:rsidR="00B07FF7" w:rsidRPr="0087175B" w:rsidRDefault="00D6186B" w:rsidP="00630BFF">
      <w:pPr>
        <w:ind w:leftChars="100" w:left="220"/>
        <w:rPr>
          <w:rFonts w:ascii="Meiryo UI" w:hAnsi="Meiryo UI"/>
          <w:lang w:val="ja-JP"/>
        </w:rPr>
      </w:pPr>
      <w:r w:rsidRPr="0087175B">
        <w:rPr>
          <w:rFonts w:ascii="Meiryo UI" w:hAnsi="Meiryo UI" w:hint="eastAsia"/>
          <w:lang w:val="ja-JP"/>
        </w:rPr>
        <w:t>当項では伝票個別の申請内容の入力方法について記載します。</w:t>
      </w:r>
    </w:p>
    <w:p w:rsidR="006A3684" w:rsidRPr="0087175B" w:rsidRDefault="00D643D0" w:rsidP="00630BFF">
      <w:pPr>
        <w:ind w:leftChars="100" w:left="220"/>
        <w:rPr>
          <w:rFonts w:ascii="Meiryo UI" w:hAnsi="Meiryo UI"/>
          <w:lang w:val="ja-JP"/>
        </w:rPr>
      </w:pPr>
      <w:r w:rsidRPr="0087175B">
        <w:rPr>
          <w:rFonts w:ascii="Meiryo UI" w:hAnsi="Meiryo UI"/>
          <w:noProof/>
        </w:rPr>
        <w:drawing>
          <wp:anchor distT="0" distB="0" distL="114300" distR="114300" simplePos="0" relativeHeight="251658240" behindDoc="0" locked="0" layoutInCell="1" allowOverlap="1" wp14:anchorId="31F0EE7A">
            <wp:simplePos x="0" y="0"/>
            <wp:positionH relativeFrom="column">
              <wp:posOffset>141605</wp:posOffset>
            </wp:positionH>
            <wp:positionV relativeFrom="paragraph">
              <wp:posOffset>6350</wp:posOffset>
            </wp:positionV>
            <wp:extent cx="5553075" cy="2947948"/>
            <wp:effectExtent l="0" t="0" r="0" b="5080"/>
            <wp:wrapNone/>
            <wp:docPr id="2" name="図 1">
              <a:extLst xmlns:a="http://schemas.openxmlformats.org/drawingml/2006/main">
                <a:ext uri="{FF2B5EF4-FFF2-40B4-BE49-F238E27FC236}">
                  <a16:creationId xmlns:a16="http://schemas.microsoft.com/office/drawing/2014/main" id="{68A06587-3CF1-435B-A44C-55AC9A7FA6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68A06587-3CF1-435B-A44C-55AC9A7FA60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294794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Pr="0087175B" w:rsidRDefault="0087175B" w:rsidP="00630BFF">
      <w:pPr>
        <w:ind w:leftChars="100" w:left="220"/>
        <w:rPr>
          <w:rFonts w:ascii="Meiryo UI" w:hAnsi="Meiryo UI"/>
          <w:lang w:val="ja-JP"/>
        </w:rPr>
      </w:pPr>
      <w:r w:rsidRPr="0087175B">
        <w:rPr>
          <w:rFonts w:ascii="Meiryo UI" w:hAnsi="Meiryo UI"/>
          <w:noProof/>
        </w:rPr>
        <w:drawing>
          <wp:anchor distT="0" distB="0" distL="114300" distR="114300" simplePos="0" relativeHeight="251659264" behindDoc="0" locked="0" layoutInCell="1" allowOverlap="1" wp14:anchorId="7256B17F">
            <wp:simplePos x="0" y="0"/>
            <wp:positionH relativeFrom="column">
              <wp:posOffset>167005</wp:posOffset>
            </wp:positionH>
            <wp:positionV relativeFrom="paragraph">
              <wp:posOffset>175260</wp:posOffset>
            </wp:positionV>
            <wp:extent cx="5534025" cy="1943735"/>
            <wp:effectExtent l="0" t="0" r="9525" b="0"/>
            <wp:wrapNone/>
            <wp:docPr id="3" name="図 2">
              <a:extLst xmlns:a="http://schemas.openxmlformats.org/drawingml/2006/main">
                <a:ext uri="{FF2B5EF4-FFF2-40B4-BE49-F238E27FC236}">
                  <a16:creationId xmlns:a16="http://schemas.microsoft.com/office/drawing/2014/main" id="{275E1701-6F86-4917-9975-B101E6CBC0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275E1701-6F86-4917-9975-B101E6CBC07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19437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6A3684" w:rsidRPr="0087175B" w:rsidRDefault="006A3684" w:rsidP="00630BFF">
      <w:pPr>
        <w:ind w:leftChars="100" w:left="220"/>
        <w:rPr>
          <w:rFonts w:ascii="Meiryo UI" w:hAnsi="Meiryo UI"/>
          <w:lang w:val="ja-JP"/>
        </w:rPr>
      </w:pPr>
    </w:p>
    <w:p w:rsidR="00D643D0" w:rsidRPr="0087175B" w:rsidRDefault="00D643D0" w:rsidP="00630BFF">
      <w:pPr>
        <w:ind w:leftChars="100" w:left="220"/>
        <w:rPr>
          <w:rFonts w:ascii="Meiryo UI" w:hAnsi="Meiryo UI"/>
          <w:lang w:val="ja-JP"/>
        </w:rPr>
      </w:pPr>
    </w:p>
    <w:p w:rsidR="00D643D0" w:rsidRDefault="00D643D0" w:rsidP="0087175B">
      <w:pPr>
        <w:ind w:leftChars="100" w:left="220"/>
        <w:rPr>
          <w:rFonts w:ascii="Meiryo UI" w:hAnsi="Meiryo UI"/>
          <w:lang w:val="ja-JP"/>
        </w:rPr>
      </w:pPr>
    </w:p>
    <w:p w:rsidR="0087175B" w:rsidRPr="0087175B" w:rsidRDefault="0087175B" w:rsidP="0087175B">
      <w:pPr>
        <w:ind w:leftChars="100" w:left="220"/>
        <w:rPr>
          <w:rFonts w:ascii="Meiryo UI" w:hAnsi="Meiryo UI"/>
          <w:lang w:val="ja-JP"/>
        </w:rPr>
      </w:pPr>
    </w:p>
    <w:p w:rsidR="00497E60" w:rsidRPr="0087175B" w:rsidRDefault="006A3684" w:rsidP="00497E60">
      <w:pPr>
        <w:ind w:leftChars="100" w:left="220"/>
        <w:rPr>
          <w:rFonts w:ascii="Meiryo UI" w:hAnsi="Meiryo UI"/>
        </w:rPr>
      </w:pPr>
      <w:r w:rsidRPr="0087175B">
        <w:rPr>
          <w:rFonts w:ascii="Meiryo UI" w:hAnsi="Meiryo UI" w:hint="eastAsia"/>
        </w:rPr>
        <w:t>取引の選択を行うことで勘定科目枝番や負担部門の選択が可能になります。</w:t>
      </w:r>
    </w:p>
    <w:p w:rsidR="006A3684" w:rsidRPr="0087175B" w:rsidRDefault="00497E60" w:rsidP="00497E60">
      <w:pPr>
        <w:rPr>
          <w:rFonts w:ascii="Meiryo UI" w:hAnsi="Meiryo UI"/>
        </w:rPr>
      </w:pPr>
      <w:r w:rsidRPr="0087175B">
        <w:rPr>
          <w:rFonts w:ascii="Meiryo UI" w:hAnsi="Meiryo UI"/>
        </w:rPr>
        <w:br w:type="page"/>
      </w:r>
    </w:p>
    <w:p w:rsidR="00497E60" w:rsidRPr="0087175B" w:rsidRDefault="00497E60" w:rsidP="00630BFF">
      <w:pPr>
        <w:ind w:leftChars="100" w:left="220"/>
        <w:rPr>
          <w:rFonts w:ascii="Meiryo UI" w:hAnsi="Meiryo UI"/>
        </w:rPr>
      </w:pPr>
      <w:r w:rsidRPr="0087175B">
        <w:rPr>
          <w:rFonts w:ascii="Meiryo UI" w:hAnsi="Meiryo UI" w:hint="eastAsia"/>
        </w:rPr>
        <w:lastRenderedPageBreak/>
        <w:t>主な項目の説明は以下の通りです。</w:t>
      </w:r>
    </w:p>
    <w:tbl>
      <w:tblPr>
        <w:tblW w:w="10548" w:type="dxa"/>
        <w:tblInd w:w="220" w:type="dxa"/>
        <w:tblCellMar>
          <w:left w:w="99" w:type="dxa"/>
          <w:right w:w="99" w:type="dxa"/>
        </w:tblCellMar>
        <w:tblLook w:val="04A0" w:firstRow="1" w:lastRow="0" w:firstColumn="1" w:lastColumn="0" w:noHBand="0" w:noVBand="1"/>
      </w:tblPr>
      <w:tblGrid>
        <w:gridCol w:w="1618"/>
        <w:gridCol w:w="8930"/>
      </w:tblGrid>
      <w:tr w:rsidR="00497E60" w:rsidRPr="0087175B" w:rsidTr="00497E60">
        <w:trPr>
          <w:trHeight w:val="360"/>
        </w:trPr>
        <w:tc>
          <w:tcPr>
            <w:tcW w:w="1618" w:type="dxa"/>
            <w:tcBorders>
              <w:top w:val="single" w:sz="4" w:space="0" w:color="auto"/>
              <w:left w:val="single" w:sz="4" w:space="0" w:color="auto"/>
              <w:bottom w:val="single" w:sz="4" w:space="0" w:color="auto"/>
              <w:right w:val="nil"/>
            </w:tcBorders>
            <w:shd w:val="clear" w:color="000000" w:fill="CCFFCC"/>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項目名</w:t>
            </w:r>
          </w:p>
        </w:tc>
        <w:tc>
          <w:tcPr>
            <w:tcW w:w="893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説明</w:t>
            </w:r>
          </w:p>
        </w:tc>
      </w:tr>
      <w:tr w:rsidR="00497E60" w:rsidRPr="0087175B" w:rsidTr="00497E60">
        <w:trPr>
          <w:trHeight w:val="360"/>
        </w:trPr>
        <w:tc>
          <w:tcPr>
            <w:tcW w:w="1618" w:type="dxa"/>
            <w:tcBorders>
              <w:top w:val="nil"/>
              <w:left w:val="single" w:sz="4" w:space="0" w:color="auto"/>
              <w:bottom w:val="single" w:sz="4" w:space="0" w:color="auto"/>
              <w:right w:val="nil"/>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取引</w:t>
            </w:r>
          </w:p>
        </w:tc>
        <w:tc>
          <w:tcPr>
            <w:tcW w:w="8930" w:type="dxa"/>
            <w:tcBorders>
              <w:top w:val="nil"/>
              <w:left w:val="single" w:sz="4" w:space="0" w:color="auto"/>
              <w:bottom w:val="single" w:sz="4" w:space="0" w:color="auto"/>
              <w:right w:val="single" w:sz="4" w:space="0" w:color="auto"/>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経費の使用用途たる取引を選択してください。</w:t>
            </w:r>
          </w:p>
        </w:tc>
      </w:tr>
      <w:tr w:rsidR="00497E60" w:rsidRPr="0087175B" w:rsidTr="00497E60">
        <w:trPr>
          <w:trHeight w:val="360"/>
        </w:trPr>
        <w:tc>
          <w:tcPr>
            <w:tcW w:w="1618" w:type="dxa"/>
            <w:tcBorders>
              <w:top w:val="nil"/>
              <w:left w:val="single" w:sz="4" w:space="0" w:color="auto"/>
              <w:bottom w:val="single" w:sz="4" w:space="0" w:color="auto"/>
              <w:right w:val="nil"/>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勘定科目</w:t>
            </w:r>
          </w:p>
        </w:tc>
        <w:tc>
          <w:tcPr>
            <w:tcW w:w="8930" w:type="dxa"/>
            <w:tcBorders>
              <w:top w:val="nil"/>
              <w:left w:val="single" w:sz="4" w:space="0" w:color="auto"/>
              <w:bottom w:val="single" w:sz="4" w:space="0" w:color="auto"/>
              <w:right w:val="single" w:sz="4" w:space="0" w:color="auto"/>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選択した取引に紐付く勘定科目が自動入力されます。</w:t>
            </w:r>
          </w:p>
        </w:tc>
      </w:tr>
      <w:tr w:rsidR="00497E60" w:rsidRPr="0087175B" w:rsidTr="00497E60">
        <w:trPr>
          <w:trHeight w:val="360"/>
        </w:trPr>
        <w:tc>
          <w:tcPr>
            <w:tcW w:w="1618" w:type="dxa"/>
            <w:tcBorders>
              <w:top w:val="nil"/>
              <w:left w:val="single" w:sz="4" w:space="0" w:color="auto"/>
              <w:bottom w:val="single" w:sz="4" w:space="0" w:color="auto"/>
              <w:right w:val="nil"/>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勘定科目枝番</w:t>
            </w:r>
          </w:p>
        </w:tc>
        <w:tc>
          <w:tcPr>
            <w:tcW w:w="8930" w:type="dxa"/>
            <w:tcBorders>
              <w:top w:val="nil"/>
              <w:left w:val="single" w:sz="4" w:space="0" w:color="auto"/>
              <w:bottom w:val="single" w:sz="4" w:space="0" w:color="auto"/>
              <w:right w:val="single" w:sz="4" w:space="0" w:color="auto"/>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取引・画面項目設定によって、任意入力/自動入力(変更不可)/ブランク(入力不可)/非表示に分かれます。</w:t>
            </w:r>
          </w:p>
        </w:tc>
      </w:tr>
      <w:tr w:rsidR="00497E60" w:rsidRPr="0087175B" w:rsidTr="00497E60">
        <w:trPr>
          <w:trHeight w:val="360"/>
        </w:trPr>
        <w:tc>
          <w:tcPr>
            <w:tcW w:w="1618" w:type="dxa"/>
            <w:tcBorders>
              <w:top w:val="nil"/>
              <w:left w:val="single" w:sz="4" w:space="0" w:color="auto"/>
              <w:bottom w:val="single" w:sz="4" w:space="0" w:color="auto"/>
              <w:right w:val="nil"/>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負担部門</w:t>
            </w:r>
          </w:p>
        </w:tc>
        <w:tc>
          <w:tcPr>
            <w:tcW w:w="8930" w:type="dxa"/>
            <w:tcBorders>
              <w:top w:val="nil"/>
              <w:left w:val="single" w:sz="4" w:space="0" w:color="auto"/>
              <w:bottom w:val="single" w:sz="4" w:space="0" w:color="auto"/>
              <w:right w:val="single" w:sz="4" w:space="0" w:color="auto"/>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取引・画面項目設定によって、任意入力/自動入力(変更不可)/ブランク(入力不可)/非表示に分かれます。</w:t>
            </w:r>
          </w:p>
        </w:tc>
      </w:tr>
      <w:tr w:rsidR="00497E60" w:rsidRPr="0087175B" w:rsidTr="00497E60">
        <w:trPr>
          <w:trHeight w:val="360"/>
        </w:trPr>
        <w:tc>
          <w:tcPr>
            <w:tcW w:w="1618" w:type="dxa"/>
            <w:tcBorders>
              <w:top w:val="nil"/>
              <w:left w:val="single" w:sz="4" w:space="0" w:color="auto"/>
              <w:bottom w:val="single" w:sz="4" w:space="0" w:color="auto"/>
              <w:right w:val="nil"/>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プロジェクト</w:t>
            </w:r>
          </w:p>
        </w:tc>
        <w:tc>
          <w:tcPr>
            <w:tcW w:w="8930" w:type="dxa"/>
            <w:tcBorders>
              <w:top w:val="nil"/>
              <w:left w:val="single" w:sz="4" w:space="0" w:color="auto"/>
              <w:bottom w:val="single" w:sz="4" w:space="0" w:color="auto"/>
              <w:right w:val="single" w:sz="4" w:space="0" w:color="auto"/>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取引・画面項目設定によって、任意入力/自動入力(変更不可)/非表示に分かれます。</w:t>
            </w:r>
          </w:p>
        </w:tc>
      </w:tr>
      <w:tr w:rsidR="00497E60" w:rsidRPr="0087175B" w:rsidTr="00497E60">
        <w:trPr>
          <w:trHeight w:val="360"/>
        </w:trPr>
        <w:tc>
          <w:tcPr>
            <w:tcW w:w="1618" w:type="dxa"/>
            <w:tcBorders>
              <w:top w:val="nil"/>
              <w:left w:val="single" w:sz="4" w:space="0" w:color="auto"/>
              <w:bottom w:val="single" w:sz="4" w:space="0" w:color="auto"/>
              <w:right w:val="nil"/>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摘要</w:t>
            </w:r>
          </w:p>
        </w:tc>
        <w:tc>
          <w:tcPr>
            <w:tcW w:w="8930" w:type="dxa"/>
            <w:tcBorders>
              <w:top w:val="nil"/>
              <w:left w:val="single" w:sz="4" w:space="0" w:color="auto"/>
              <w:bottom w:val="single" w:sz="4" w:space="0" w:color="auto"/>
              <w:right w:val="single" w:sz="4" w:space="0" w:color="auto"/>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取引に対するデフォルト摘要文言が自動入力されますが、任意で変更可能です。</w:t>
            </w:r>
          </w:p>
        </w:tc>
      </w:tr>
      <w:tr w:rsidR="00497E60" w:rsidRPr="0087175B" w:rsidTr="00497E60">
        <w:trPr>
          <w:trHeight w:val="360"/>
        </w:trPr>
        <w:tc>
          <w:tcPr>
            <w:tcW w:w="1618" w:type="dxa"/>
            <w:tcBorders>
              <w:top w:val="nil"/>
              <w:left w:val="single" w:sz="4" w:space="0" w:color="auto"/>
              <w:bottom w:val="single" w:sz="4" w:space="0" w:color="auto"/>
              <w:right w:val="nil"/>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明細金額合計</w:t>
            </w:r>
          </w:p>
        </w:tc>
        <w:tc>
          <w:tcPr>
            <w:tcW w:w="8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明細の金額から自動計算されます。</w:t>
            </w:r>
          </w:p>
        </w:tc>
      </w:tr>
      <w:tr w:rsidR="00497E60" w:rsidRPr="0087175B" w:rsidTr="00497E60">
        <w:trPr>
          <w:trHeight w:val="360"/>
        </w:trPr>
        <w:tc>
          <w:tcPr>
            <w:tcW w:w="1618" w:type="dxa"/>
            <w:tcBorders>
              <w:top w:val="nil"/>
              <w:left w:val="single" w:sz="4" w:space="0" w:color="auto"/>
              <w:bottom w:val="single" w:sz="4" w:space="0" w:color="auto"/>
              <w:right w:val="nil"/>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消費税率</w:t>
            </w:r>
          </w:p>
        </w:tc>
        <w:tc>
          <w:tcPr>
            <w:tcW w:w="8930" w:type="dxa"/>
            <w:tcBorders>
              <w:top w:val="nil"/>
              <w:left w:val="single" w:sz="4" w:space="0" w:color="auto"/>
              <w:bottom w:val="single" w:sz="4" w:space="0" w:color="auto"/>
              <w:right w:val="single" w:sz="4" w:space="0" w:color="auto"/>
            </w:tcBorders>
            <w:shd w:val="clear" w:color="auto" w:fill="auto"/>
            <w:noWrap/>
            <w:vAlign w:val="center"/>
            <w:hideMark/>
          </w:tcPr>
          <w:p w:rsidR="00497E60" w:rsidRPr="0087175B" w:rsidRDefault="00497E60" w:rsidP="00497E60">
            <w:pPr>
              <w:rPr>
                <w:rFonts w:ascii="Meiryo UI" w:hAnsi="Meiryo UI" w:cs="ＭＳ Ｐゴシック"/>
                <w:color w:val="000000"/>
              </w:rPr>
            </w:pPr>
            <w:r w:rsidRPr="0087175B">
              <w:rPr>
                <w:rFonts w:ascii="Meiryo UI" w:hAnsi="Meiryo UI" w:cs="ＭＳ Ｐゴシック" w:hint="eastAsia"/>
                <w:color w:val="000000"/>
              </w:rPr>
              <w:t>基本的には変更不要です。起票時点での有効な消費税率が初期表示されています。</w:t>
            </w:r>
          </w:p>
        </w:tc>
      </w:tr>
    </w:tbl>
    <w:p w:rsidR="00497E60" w:rsidRPr="0087175B" w:rsidRDefault="00497E60" w:rsidP="00630BFF">
      <w:pPr>
        <w:ind w:leftChars="100" w:left="220"/>
        <w:rPr>
          <w:rFonts w:ascii="Meiryo UI" w:hAnsi="Meiryo UI"/>
        </w:rPr>
      </w:pPr>
    </w:p>
    <w:p w:rsidR="00CC7564" w:rsidRPr="0087175B" w:rsidRDefault="00CC7564" w:rsidP="00630BFF">
      <w:pPr>
        <w:ind w:leftChars="100" w:left="220"/>
        <w:rPr>
          <w:rFonts w:ascii="Meiryo UI" w:hAnsi="Meiryo UI"/>
        </w:rPr>
      </w:pPr>
      <w:r w:rsidRPr="0087175B">
        <w:rPr>
          <w:rFonts w:ascii="Meiryo UI" w:hAnsi="Meiryo UI" w:hint="eastAsia"/>
        </w:rPr>
        <w:t>明細の追加・変更</w:t>
      </w:r>
    </w:p>
    <w:p w:rsidR="00D643D0" w:rsidRPr="0087175B" w:rsidRDefault="00D643D0" w:rsidP="00630BFF">
      <w:pPr>
        <w:ind w:leftChars="100" w:left="220"/>
        <w:rPr>
          <w:rFonts w:ascii="Meiryo UI" w:hAnsi="Meiryo UI"/>
        </w:rPr>
      </w:pPr>
      <w:r w:rsidRPr="0087175B">
        <w:rPr>
          <w:rFonts w:ascii="Meiryo UI" w:hAnsi="Meiryo UI"/>
          <w:noProof/>
        </w:rPr>
        <w:drawing>
          <wp:anchor distT="0" distB="0" distL="114300" distR="114300" simplePos="0" relativeHeight="251660288" behindDoc="0" locked="0" layoutInCell="1" allowOverlap="1" wp14:anchorId="12507A96">
            <wp:simplePos x="0" y="0"/>
            <wp:positionH relativeFrom="column">
              <wp:posOffset>147955</wp:posOffset>
            </wp:positionH>
            <wp:positionV relativeFrom="paragraph">
              <wp:posOffset>8255</wp:posOffset>
            </wp:positionV>
            <wp:extent cx="4911725" cy="3333750"/>
            <wp:effectExtent l="0" t="0" r="3175" b="0"/>
            <wp:wrapNone/>
            <wp:docPr id="4" name="Picture 1">
              <a:extLst xmlns:a="http://schemas.openxmlformats.org/drawingml/2006/main">
                <a:ext uri="{FF2B5EF4-FFF2-40B4-BE49-F238E27FC236}">
                  <a16:creationId xmlns:a16="http://schemas.microsoft.com/office/drawing/2014/main" id="{E481030C-B2FD-4400-AE33-4B13D3698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a:extLst>
                        <a:ext uri="{FF2B5EF4-FFF2-40B4-BE49-F238E27FC236}">
                          <a16:creationId xmlns:a16="http://schemas.microsoft.com/office/drawing/2014/main" id="{E481030C-B2FD-4400-AE33-4B13D3698FC4}"/>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l="31042" t="30741" r="31093" b="25926"/>
                    <a:stretch>
                      <a:fillRect/>
                    </a:stretch>
                  </pic:blipFill>
                  <pic:spPr bwMode="auto">
                    <a:xfrm>
                      <a:off x="0" y="0"/>
                      <a:ext cx="4911725" cy="3333750"/>
                    </a:xfrm>
                    <a:prstGeom prst="rect">
                      <a:avLst/>
                    </a:prstGeom>
                    <a:noFill/>
                    <a:ln w="1">
                      <a:noFill/>
                      <a:miter lim="800000"/>
                      <a:headEnd/>
                      <a:tailEnd type="none" w="med" len="med"/>
                    </a:ln>
                    <a:effectLst/>
                  </pic:spPr>
                </pic:pic>
              </a:graphicData>
            </a:graphic>
          </wp:anchor>
        </w:drawing>
      </w:r>
    </w:p>
    <w:p w:rsidR="00D643D0" w:rsidRPr="0087175B" w:rsidRDefault="00D643D0" w:rsidP="00630BFF">
      <w:pPr>
        <w:ind w:leftChars="100" w:left="220"/>
        <w:rPr>
          <w:rFonts w:ascii="Meiryo UI" w:hAnsi="Meiryo UI"/>
        </w:rPr>
      </w:pPr>
    </w:p>
    <w:p w:rsidR="00D643D0" w:rsidRPr="0087175B" w:rsidRDefault="00D643D0" w:rsidP="00630BFF">
      <w:pPr>
        <w:ind w:leftChars="100" w:left="220"/>
        <w:rPr>
          <w:rFonts w:ascii="Meiryo UI" w:hAnsi="Meiryo UI"/>
        </w:rPr>
      </w:pPr>
    </w:p>
    <w:p w:rsidR="00D643D0" w:rsidRPr="0087175B" w:rsidRDefault="00D643D0" w:rsidP="00630BFF">
      <w:pPr>
        <w:ind w:leftChars="100" w:left="220"/>
        <w:rPr>
          <w:rFonts w:ascii="Meiryo UI" w:hAnsi="Meiryo UI"/>
        </w:rPr>
      </w:pPr>
    </w:p>
    <w:p w:rsidR="00D643D0" w:rsidRPr="0087175B" w:rsidRDefault="00D643D0" w:rsidP="00630BFF">
      <w:pPr>
        <w:ind w:leftChars="100" w:left="220"/>
        <w:rPr>
          <w:rFonts w:ascii="Meiryo UI" w:hAnsi="Meiryo UI"/>
        </w:rPr>
      </w:pPr>
    </w:p>
    <w:p w:rsidR="00D643D0" w:rsidRPr="0087175B" w:rsidRDefault="00D643D0" w:rsidP="00630BFF">
      <w:pPr>
        <w:ind w:leftChars="100" w:left="220"/>
        <w:rPr>
          <w:rFonts w:ascii="Meiryo UI" w:hAnsi="Meiryo UI"/>
        </w:rPr>
      </w:pPr>
    </w:p>
    <w:p w:rsidR="00D643D0" w:rsidRPr="0087175B" w:rsidRDefault="00D643D0" w:rsidP="00630BFF">
      <w:pPr>
        <w:ind w:leftChars="100" w:left="220"/>
        <w:rPr>
          <w:rFonts w:ascii="Meiryo UI" w:hAnsi="Meiryo UI"/>
        </w:rPr>
      </w:pPr>
    </w:p>
    <w:p w:rsidR="00D643D0" w:rsidRPr="0087175B" w:rsidRDefault="00D643D0" w:rsidP="00630BFF">
      <w:pPr>
        <w:ind w:leftChars="100" w:left="220"/>
        <w:rPr>
          <w:rFonts w:ascii="Meiryo UI" w:hAnsi="Meiryo UI"/>
        </w:rPr>
      </w:pPr>
    </w:p>
    <w:p w:rsidR="00D643D0" w:rsidRPr="0087175B" w:rsidRDefault="00D643D0" w:rsidP="00630BFF">
      <w:pPr>
        <w:ind w:leftChars="100" w:left="220"/>
        <w:rPr>
          <w:rFonts w:ascii="Meiryo UI" w:hAnsi="Meiryo UI"/>
        </w:rPr>
      </w:pPr>
    </w:p>
    <w:p w:rsidR="00D643D0" w:rsidRPr="0087175B" w:rsidRDefault="00D643D0" w:rsidP="00630BFF">
      <w:pPr>
        <w:ind w:leftChars="100" w:left="220"/>
        <w:rPr>
          <w:rFonts w:ascii="Meiryo UI" w:hAnsi="Meiryo UI"/>
        </w:rPr>
      </w:pPr>
    </w:p>
    <w:p w:rsidR="00D643D0" w:rsidRPr="0087175B" w:rsidRDefault="00D643D0" w:rsidP="00630BFF">
      <w:pPr>
        <w:ind w:leftChars="100" w:left="220"/>
        <w:rPr>
          <w:rFonts w:ascii="Meiryo UI" w:hAnsi="Meiryo UI"/>
        </w:rPr>
      </w:pPr>
    </w:p>
    <w:p w:rsidR="00D643D0" w:rsidRPr="0087175B" w:rsidRDefault="00D643D0" w:rsidP="00630BFF">
      <w:pPr>
        <w:ind w:leftChars="100" w:left="220"/>
        <w:rPr>
          <w:rFonts w:ascii="Meiryo UI" w:hAnsi="Meiryo UI"/>
        </w:rPr>
      </w:pPr>
    </w:p>
    <w:p w:rsidR="00D643D0" w:rsidRPr="0087175B" w:rsidRDefault="00D643D0" w:rsidP="00630BFF">
      <w:pPr>
        <w:ind w:leftChars="100" w:left="220"/>
        <w:rPr>
          <w:rFonts w:ascii="Meiryo UI" w:hAnsi="Meiryo UI"/>
        </w:rPr>
      </w:pPr>
    </w:p>
    <w:p w:rsidR="00D643D0" w:rsidRPr="0087175B" w:rsidRDefault="00D643D0" w:rsidP="00630BFF">
      <w:pPr>
        <w:ind w:leftChars="100" w:left="220"/>
        <w:rPr>
          <w:rFonts w:ascii="Meiryo UI" w:hAnsi="Meiryo UI"/>
        </w:rPr>
      </w:pPr>
    </w:p>
    <w:p w:rsidR="00CC7564" w:rsidRPr="0087175B" w:rsidRDefault="00CC7564" w:rsidP="00DF69F3">
      <w:pPr>
        <w:ind w:leftChars="100" w:left="220"/>
        <w:rPr>
          <w:rFonts w:ascii="Meiryo UI" w:hAnsi="Meiryo UI"/>
        </w:rPr>
      </w:pPr>
    </w:p>
    <w:p w:rsidR="00CC7564" w:rsidRPr="0087175B" w:rsidRDefault="00CC7564" w:rsidP="00CC7564">
      <w:pPr>
        <w:ind w:leftChars="100" w:left="220"/>
        <w:rPr>
          <w:rFonts w:ascii="Meiryo UI" w:hAnsi="Meiryo UI"/>
        </w:rPr>
      </w:pPr>
      <w:r w:rsidRPr="0087175B">
        <w:rPr>
          <w:rFonts w:ascii="Meiryo UI" w:hAnsi="Meiryo UI" w:hint="eastAsia"/>
        </w:rPr>
        <w:t>各種ボタンを押し、内容を入力してください。</w:t>
      </w:r>
      <w:r w:rsidRPr="0087175B">
        <w:rPr>
          <w:rFonts w:ascii="Meiryo UI" w:hAnsi="Meiryo UI" w:hint="eastAsia"/>
        </w:rPr>
        <w:br/>
        <w:t>「過去明細」ボタンはダイアログが表示され、ダイアログで選択した内容が反映されます。</w:t>
      </w:r>
    </w:p>
    <w:p w:rsidR="00CC7564" w:rsidRPr="0087175B" w:rsidRDefault="00CC7564" w:rsidP="00630BFF">
      <w:pPr>
        <w:ind w:leftChars="100" w:left="220"/>
        <w:rPr>
          <w:rFonts w:ascii="Meiryo UI" w:hAnsi="Meiryo UI"/>
        </w:rPr>
      </w:pPr>
    </w:p>
    <w:p w:rsidR="00D869A0" w:rsidRPr="0087175B" w:rsidRDefault="00D869A0" w:rsidP="00D869A0">
      <w:pPr>
        <w:rPr>
          <w:rFonts w:ascii="Meiryo UI" w:hAnsi="Meiryo UI"/>
        </w:rPr>
      </w:pPr>
      <w:r w:rsidRPr="0087175B">
        <w:rPr>
          <w:rFonts w:ascii="Meiryo UI" w:hAnsi="Meiryo UI" w:hint="eastAsia"/>
        </w:rPr>
        <w:t>(2)交通費精算のワークフロー</w:t>
      </w:r>
    </w:p>
    <w:p w:rsidR="00D869A0" w:rsidRPr="0087175B" w:rsidRDefault="002E6FFF" w:rsidP="00D643D0">
      <w:pPr>
        <w:ind w:leftChars="100" w:left="220"/>
        <w:rPr>
          <w:rFonts w:ascii="Meiryo UI" w:hAnsi="Meiryo UI"/>
        </w:rPr>
      </w:pPr>
      <w:r w:rsidRPr="0087175B">
        <w:rPr>
          <w:rFonts w:ascii="Meiryo UI" w:hAnsi="Meiryo UI" w:hint="eastAsia"/>
        </w:rPr>
        <w:t>「2.1.2 申請者の操作」～「2.1.3 承認者の操作」を参照してください</w:t>
      </w:r>
      <w:r w:rsidR="00D869A0" w:rsidRPr="0087175B">
        <w:rPr>
          <w:rFonts w:ascii="Meiryo UI" w:hAnsi="Meiryo UI" w:hint="eastAsia"/>
        </w:rPr>
        <w:t>。</w:t>
      </w:r>
    </w:p>
    <w:p w:rsidR="00D869A0" w:rsidRPr="0087175B" w:rsidRDefault="00D869A0" w:rsidP="00D869A0">
      <w:pPr>
        <w:rPr>
          <w:rFonts w:ascii="Meiryo UI" w:hAnsi="Meiryo UI"/>
        </w:rPr>
      </w:pPr>
    </w:p>
    <w:p w:rsidR="00D869A0" w:rsidRPr="0087175B" w:rsidRDefault="00D869A0" w:rsidP="00D869A0">
      <w:pPr>
        <w:rPr>
          <w:rFonts w:ascii="Meiryo UI" w:hAnsi="Meiryo UI"/>
        </w:rPr>
      </w:pPr>
      <w:r w:rsidRPr="0087175B">
        <w:rPr>
          <w:rFonts w:ascii="Meiryo UI" w:hAnsi="Meiryo UI" w:hint="eastAsia"/>
        </w:rPr>
        <w:t>(3)交通費精算の参照</w:t>
      </w:r>
    </w:p>
    <w:p w:rsidR="0076765B" w:rsidRPr="0087175B" w:rsidRDefault="00D869A0" w:rsidP="00D643D0">
      <w:pPr>
        <w:ind w:leftChars="100" w:left="220"/>
        <w:rPr>
          <w:rFonts w:ascii="Meiryo UI" w:hAnsi="Meiryo UI"/>
        </w:rPr>
      </w:pPr>
      <w:r w:rsidRPr="0087175B">
        <w:rPr>
          <w:rFonts w:ascii="Meiryo UI" w:hAnsi="Meiryo UI" w:hint="eastAsia"/>
        </w:rPr>
        <w:t>伝票一覧から伝票を開いて参照してください。</w:t>
      </w:r>
    </w:p>
    <w:p w:rsidR="00D869A0" w:rsidRPr="0087175B" w:rsidRDefault="0076765B" w:rsidP="00D869A0">
      <w:pPr>
        <w:rPr>
          <w:rFonts w:ascii="Meiryo UI" w:hAnsi="Meiryo UI"/>
        </w:rPr>
      </w:pPr>
      <w:r w:rsidRPr="0087175B">
        <w:rPr>
          <w:rFonts w:ascii="Meiryo UI" w:hAnsi="Meiryo UI"/>
        </w:rPr>
        <w:br w:type="page"/>
      </w:r>
    </w:p>
    <w:p w:rsidR="00D869A0" w:rsidRPr="0087175B" w:rsidRDefault="00D869A0" w:rsidP="00D869A0">
      <w:pPr>
        <w:rPr>
          <w:rFonts w:ascii="Meiryo UI" w:hAnsi="Meiryo UI"/>
        </w:rPr>
      </w:pPr>
      <w:r w:rsidRPr="0087175B">
        <w:rPr>
          <w:rFonts w:ascii="Meiryo UI" w:hAnsi="Meiryo UI" w:hint="eastAsia"/>
        </w:rPr>
        <w:lastRenderedPageBreak/>
        <w:t>備考(</w:t>
      </w:r>
      <w:r w:rsidR="0097728C">
        <w:rPr>
          <w:rFonts w:ascii="Meiryo UI" w:hAnsi="Meiryo UI"/>
        </w:rPr>
        <w:t>1</w:t>
      </w:r>
      <w:r w:rsidRPr="0087175B">
        <w:rPr>
          <w:rFonts w:ascii="Meiryo UI" w:hAnsi="Meiryo UI" w:hint="eastAsia"/>
        </w:rPr>
        <w:t>)法人カード使用について</w:t>
      </w:r>
    </w:p>
    <w:p w:rsidR="00D869A0" w:rsidRPr="0087175B" w:rsidRDefault="00D869A0" w:rsidP="00D643D0">
      <w:pPr>
        <w:ind w:leftChars="100" w:left="220"/>
        <w:rPr>
          <w:rFonts w:ascii="Meiryo UI" w:hAnsi="Meiryo UI"/>
        </w:rPr>
      </w:pPr>
      <w:r w:rsidRPr="0087175B">
        <w:rPr>
          <w:rFonts w:ascii="Meiryo UI" w:hAnsi="Meiryo UI" w:hint="eastAsia"/>
        </w:rPr>
        <w:t>明細で「法人カード利用」にチェックをつけると、申請画面の明細の横に「C」が追加されます。</w:t>
      </w:r>
    </w:p>
    <w:p w:rsidR="00D869A0" w:rsidRPr="0087175B" w:rsidRDefault="00D869A0" w:rsidP="00D643D0">
      <w:pPr>
        <w:ind w:leftChars="100" w:left="220"/>
        <w:rPr>
          <w:rFonts w:ascii="Meiryo UI" w:hAnsi="Meiryo UI"/>
        </w:rPr>
      </w:pPr>
      <w:r w:rsidRPr="0087175B">
        <w:rPr>
          <w:rFonts w:ascii="Meiryo UI" w:hAnsi="Meiryo UI" w:hint="eastAsia"/>
        </w:rPr>
        <w:t>「2.2.2 経費立替精算」と同様。</w:t>
      </w:r>
    </w:p>
    <w:p w:rsidR="00D869A0" w:rsidRPr="0087175B" w:rsidRDefault="00D869A0" w:rsidP="00D643D0">
      <w:pPr>
        <w:ind w:leftChars="100" w:left="220"/>
        <w:rPr>
          <w:rFonts w:ascii="Meiryo UI" w:hAnsi="Meiryo UI"/>
        </w:rPr>
      </w:pPr>
    </w:p>
    <w:p w:rsidR="00D869A0" w:rsidRPr="0087175B" w:rsidRDefault="00D869A0" w:rsidP="00D869A0">
      <w:pPr>
        <w:rPr>
          <w:rFonts w:ascii="Meiryo UI" w:hAnsi="Meiryo UI"/>
        </w:rPr>
      </w:pPr>
      <w:r w:rsidRPr="0087175B">
        <w:rPr>
          <w:rFonts w:ascii="Meiryo UI" w:hAnsi="Meiryo UI" w:hint="eastAsia"/>
        </w:rPr>
        <w:t>備考(</w:t>
      </w:r>
      <w:r w:rsidR="0097728C">
        <w:rPr>
          <w:rFonts w:ascii="Meiryo UI" w:hAnsi="Meiryo UI"/>
        </w:rPr>
        <w:t>2</w:t>
      </w:r>
      <w:r w:rsidRPr="0087175B">
        <w:rPr>
          <w:rFonts w:ascii="Meiryo UI" w:hAnsi="Meiryo UI" w:hint="eastAsia"/>
        </w:rPr>
        <w:t>)会社手配について</w:t>
      </w:r>
    </w:p>
    <w:p w:rsidR="00D869A0" w:rsidRPr="0087175B" w:rsidRDefault="00D869A0" w:rsidP="00D643D0">
      <w:pPr>
        <w:ind w:leftChars="100" w:left="220"/>
        <w:rPr>
          <w:rFonts w:ascii="Meiryo UI" w:hAnsi="Meiryo UI"/>
        </w:rPr>
      </w:pPr>
      <w:r w:rsidRPr="0087175B">
        <w:rPr>
          <w:rFonts w:ascii="Meiryo UI" w:hAnsi="Meiryo UI" w:hint="eastAsia"/>
        </w:rPr>
        <w:t>明細で「会社手配」にチェックをつけると、申請画面の明細の横に「K」が追加されます。</w:t>
      </w:r>
    </w:p>
    <w:p w:rsidR="00D869A0" w:rsidRPr="0087175B" w:rsidRDefault="00D869A0" w:rsidP="00D643D0">
      <w:pPr>
        <w:ind w:leftChars="100" w:left="220"/>
        <w:rPr>
          <w:rFonts w:ascii="Meiryo UI" w:hAnsi="Meiryo UI"/>
        </w:rPr>
      </w:pPr>
      <w:r w:rsidRPr="0087175B">
        <w:rPr>
          <w:rFonts w:ascii="Meiryo UI" w:hAnsi="Meiryo UI" w:hint="eastAsia"/>
        </w:rPr>
        <w:t>「2.2.2 経費立替精算」と同様。</w:t>
      </w:r>
    </w:p>
    <w:p w:rsidR="00D869A0" w:rsidRPr="0087175B" w:rsidRDefault="00D869A0" w:rsidP="00D869A0">
      <w:pPr>
        <w:rPr>
          <w:rFonts w:ascii="Meiryo UI" w:hAnsi="Meiryo UI"/>
        </w:rPr>
      </w:pPr>
    </w:p>
    <w:p w:rsidR="00D869A0" w:rsidRPr="0087175B" w:rsidRDefault="00D869A0" w:rsidP="00D869A0">
      <w:pPr>
        <w:rPr>
          <w:rFonts w:ascii="Meiryo UI" w:hAnsi="Meiryo UI"/>
        </w:rPr>
      </w:pPr>
      <w:r w:rsidRPr="0087175B">
        <w:rPr>
          <w:rFonts w:ascii="Meiryo UI" w:hAnsi="Meiryo UI" w:hint="eastAsia"/>
        </w:rPr>
        <w:t>備考(</w:t>
      </w:r>
      <w:r w:rsidR="0097728C">
        <w:rPr>
          <w:rFonts w:ascii="Meiryo UI" w:hAnsi="Meiryo UI"/>
        </w:rPr>
        <w:t>3</w:t>
      </w:r>
      <w:r w:rsidRPr="0087175B">
        <w:rPr>
          <w:rFonts w:ascii="Meiryo UI" w:hAnsi="Meiryo UI" w:hint="eastAsia"/>
        </w:rPr>
        <w:t>)ICカード利用履歴の取込</w:t>
      </w:r>
    </w:p>
    <w:p w:rsidR="00D869A0" w:rsidRPr="0087175B" w:rsidRDefault="00D869A0" w:rsidP="00D643D0">
      <w:pPr>
        <w:ind w:leftChars="100" w:left="220"/>
        <w:rPr>
          <w:rFonts w:ascii="Meiryo UI" w:hAnsi="Meiryo UI"/>
        </w:rPr>
      </w:pPr>
      <w:r w:rsidRPr="0087175B">
        <w:rPr>
          <w:rFonts w:ascii="Meiryo UI" w:hAnsi="Meiryo UI" w:hint="eastAsia"/>
        </w:rPr>
        <w:t>ICカード利用を有効にしている場合、ICカード(</w:t>
      </w:r>
      <w:proofErr w:type="spellStart"/>
      <w:r w:rsidRPr="0087175B">
        <w:rPr>
          <w:rFonts w:ascii="Meiryo UI" w:hAnsi="Meiryo UI" w:hint="eastAsia"/>
        </w:rPr>
        <w:t>Suica</w:t>
      </w:r>
      <w:proofErr w:type="spellEnd"/>
      <w:r w:rsidRPr="0087175B">
        <w:rPr>
          <w:rFonts w:ascii="Meiryo UI" w:hAnsi="Meiryo UI" w:hint="eastAsia"/>
        </w:rPr>
        <w:t>等)の履歴から交通費明細を入力することができます。</w:t>
      </w:r>
    </w:p>
    <w:p w:rsidR="00D869A0" w:rsidRPr="0087175B" w:rsidRDefault="00D869A0" w:rsidP="00D643D0">
      <w:pPr>
        <w:ind w:leftChars="100" w:left="220"/>
        <w:rPr>
          <w:rFonts w:ascii="Meiryo UI" w:hAnsi="Meiryo UI"/>
        </w:rPr>
      </w:pPr>
      <w:r w:rsidRPr="0087175B">
        <w:rPr>
          <w:rFonts w:ascii="Meiryo UI" w:hAnsi="Meiryo UI" w:hint="eastAsia"/>
        </w:rPr>
        <w:t>「2.2.4 国内出張旅費精算」と同様。</w:t>
      </w:r>
    </w:p>
    <w:p w:rsidR="00D869A0" w:rsidRPr="0087175B" w:rsidRDefault="00D869A0" w:rsidP="00D869A0">
      <w:pPr>
        <w:rPr>
          <w:rFonts w:ascii="Meiryo UI" w:hAnsi="Meiryo UI"/>
        </w:rPr>
      </w:pPr>
    </w:p>
    <w:p w:rsidR="00D869A0" w:rsidRPr="0087175B" w:rsidRDefault="00D869A0" w:rsidP="00D869A0">
      <w:pPr>
        <w:rPr>
          <w:rFonts w:ascii="Meiryo UI" w:hAnsi="Meiryo UI"/>
        </w:rPr>
      </w:pPr>
      <w:r w:rsidRPr="0087175B">
        <w:rPr>
          <w:rFonts w:ascii="Meiryo UI" w:hAnsi="Meiryo UI" w:hint="eastAsia"/>
        </w:rPr>
        <w:t>備考(</w:t>
      </w:r>
      <w:r w:rsidR="0097728C">
        <w:rPr>
          <w:rFonts w:ascii="Meiryo UI" w:hAnsi="Meiryo UI"/>
        </w:rPr>
        <w:t>4</w:t>
      </w:r>
      <w:r w:rsidRPr="0087175B">
        <w:rPr>
          <w:rFonts w:ascii="Meiryo UI" w:hAnsi="Meiryo UI" w:hint="eastAsia"/>
        </w:rPr>
        <w:t>)法人カード利用履歴の取込</w:t>
      </w:r>
    </w:p>
    <w:p w:rsidR="00D869A0" w:rsidRPr="0087175B" w:rsidRDefault="00D869A0" w:rsidP="00D643D0">
      <w:pPr>
        <w:ind w:leftChars="100" w:left="220"/>
        <w:rPr>
          <w:rFonts w:ascii="Meiryo UI" w:hAnsi="Meiryo UI"/>
        </w:rPr>
      </w:pPr>
      <w:r w:rsidRPr="0087175B">
        <w:rPr>
          <w:rFonts w:ascii="Meiryo UI" w:hAnsi="Meiryo UI" w:hint="eastAsia"/>
        </w:rPr>
        <w:t>法人カード利用を有効にしている場合で、該当ユーザーの法人カード利用を可能にしている場合、</w:t>
      </w:r>
    </w:p>
    <w:p w:rsidR="00D869A0" w:rsidRPr="0087175B" w:rsidRDefault="00D869A0" w:rsidP="00D643D0">
      <w:pPr>
        <w:ind w:leftChars="100" w:left="220"/>
        <w:rPr>
          <w:rFonts w:ascii="Meiryo UI" w:hAnsi="Meiryo UI"/>
        </w:rPr>
      </w:pPr>
      <w:r w:rsidRPr="0087175B">
        <w:rPr>
          <w:rFonts w:ascii="Meiryo UI" w:hAnsi="Meiryo UI" w:hint="eastAsia"/>
        </w:rPr>
        <w:t>法人カードの利用履歴から明細を入力することができます。</w:t>
      </w:r>
    </w:p>
    <w:p w:rsidR="00D869A0" w:rsidRPr="0087175B" w:rsidRDefault="00D869A0" w:rsidP="00D643D0">
      <w:pPr>
        <w:ind w:leftChars="100" w:left="220"/>
        <w:rPr>
          <w:rFonts w:ascii="Meiryo UI" w:hAnsi="Meiryo UI"/>
        </w:rPr>
      </w:pPr>
      <w:r w:rsidRPr="0087175B">
        <w:rPr>
          <w:rFonts w:ascii="Meiryo UI" w:hAnsi="Meiryo UI" w:hint="eastAsia"/>
        </w:rPr>
        <w:t>「2.2.2 経費立替精算」と同様。</w:t>
      </w:r>
    </w:p>
    <w:sectPr w:rsidR="00D869A0" w:rsidRPr="0087175B" w:rsidSect="004D67E6">
      <w:headerReference w:type="default" r:id="rId12"/>
      <w:footerReference w:type="default" r:id="rId13"/>
      <w:headerReference w:type="first" r:id="rId14"/>
      <w:footerReference w:type="first" r:id="rId15"/>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CA4" w:rsidRDefault="00D43CA4" w:rsidP="00777B39">
      <w:pPr>
        <w:ind w:left="220"/>
      </w:pPr>
      <w:r>
        <w:separator/>
      </w:r>
    </w:p>
    <w:p w:rsidR="00D43CA4" w:rsidRDefault="00D43CA4" w:rsidP="00777B39">
      <w:pPr>
        <w:ind w:left="220"/>
      </w:pPr>
    </w:p>
  </w:endnote>
  <w:endnote w:type="continuationSeparator" w:id="0">
    <w:p w:rsidR="00D43CA4" w:rsidRDefault="00D43CA4" w:rsidP="00777B39">
      <w:pPr>
        <w:ind w:left="220"/>
      </w:pPr>
      <w:r>
        <w:continuationSeparator/>
      </w:r>
    </w:p>
    <w:p w:rsidR="00D43CA4" w:rsidRDefault="00D43CA4" w:rsidP="00777B39">
      <w:pPr>
        <w:ind w:left="220"/>
      </w:pPr>
    </w:p>
  </w:endnote>
  <w:endnote w:type="continuationNotice" w:id="1">
    <w:p w:rsidR="00D43CA4" w:rsidRDefault="00D43CA4" w:rsidP="00777B39">
      <w:pPr>
        <w:ind w:left="220"/>
      </w:pPr>
    </w:p>
    <w:p w:rsidR="00D43CA4" w:rsidRDefault="00D43CA4"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1E" w:rsidRPr="00F32B1E" w:rsidRDefault="00F32B1E">
    <w:pPr>
      <w:pStyle w:val="afb"/>
      <w:rPr>
        <w:rFonts w:ascii="Meiryo UI" w:hAnsi="Meiryo UI" w:cs="Calibri" w:hint="eastAsia"/>
        <w:sz w:val="2"/>
        <w:szCs w:val="2"/>
      </w:rPr>
    </w:pPr>
    <w:r w:rsidRPr="00F32B1E">
      <w:rPr>
        <w:rFonts w:ascii="Meiryo UI" w:hAnsi="Meiryo UI" w:cs="Calibri"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1E" w:rsidRPr="00F32B1E" w:rsidRDefault="00F32B1E">
    <w:pPr>
      <w:pStyle w:val="afb"/>
      <w:rPr>
        <w:sz w:val="2"/>
        <w:szCs w:val="2"/>
      </w:rPr>
    </w:pPr>
    <w:r w:rsidRPr="00F32B1E">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CA4" w:rsidRDefault="00D43CA4" w:rsidP="00777B39">
      <w:pPr>
        <w:ind w:left="220"/>
      </w:pPr>
      <w:r>
        <w:separator/>
      </w:r>
    </w:p>
    <w:p w:rsidR="00D43CA4" w:rsidRDefault="00D43CA4" w:rsidP="00777B39">
      <w:pPr>
        <w:ind w:left="220"/>
      </w:pPr>
    </w:p>
  </w:footnote>
  <w:footnote w:type="continuationSeparator" w:id="0">
    <w:p w:rsidR="00D43CA4" w:rsidRDefault="00D43CA4" w:rsidP="00777B39">
      <w:pPr>
        <w:ind w:left="220"/>
      </w:pPr>
      <w:r>
        <w:continuationSeparator/>
      </w:r>
    </w:p>
    <w:p w:rsidR="00D43CA4" w:rsidRDefault="00D43CA4" w:rsidP="00777B39">
      <w:pPr>
        <w:ind w:left="220"/>
      </w:pPr>
    </w:p>
  </w:footnote>
  <w:footnote w:type="continuationNotice" w:id="1">
    <w:p w:rsidR="00D43CA4" w:rsidRDefault="00D43CA4" w:rsidP="00777B39">
      <w:pPr>
        <w:ind w:left="220"/>
      </w:pPr>
    </w:p>
    <w:p w:rsidR="00D43CA4" w:rsidRDefault="00D43CA4"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F32B1E" w:rsidP="00F32B1E">
    <w:pPr>
      <w:rPr>
        <w:rFonts w:hint="eastAsia"/>
      </w:rPr>
    </w:pPr>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F32B1E">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63BFF"/>
    <w:rsid w:val="00074C13"/>
    <w:rsid w:val="0007798B"/>
    <w:rsid w:val="00091F81"/>
    <w:rsid w:val="000945EC"/>
    <w:rsid w:val="000B6A30"/>
    <w:rsid w:val="000C475E"/>
    <w:rsid w:val="000C6E6C"/>
    <w:rsid w:val="000D4CF7"/>
    <w:rsid w:val="000D6BF9"/>
    <w:rsid w:val="000F23CA"/>
    <w:rsid w:val="000F3025"/>
    <w:rsid w:val="00104E01"/>
    <w:rsid w:val="001128EE"/>
    <w:rsid w:val="00115A54"/>
    <w:rsid w:val="00117DCF"/>
    <w:rsid w:val="00124C5A"/>
    <w:rsid w:val="00140B2D"/>
    <w:rsid w:val="00144928"/>
    <w:rsid w:val="00151C39"/>
    <w:rsid w:val="001572C9"/>
    <w:rsid w:val="00166230"/>
    <w:rsid w:val="001901FF"/>
    <w:rsid w:val="001932AF"/>
    <w:rsid w:val="00194CB4"/>
    <w:rsid w:val="00194F81"/>
    <w:rsid w:val="001B1ED5"/>
    <w:rsid w:val="001B2FBC"/>
    <w:rsid w:val="001C1536"/>
    <w:rsid w:val="001C1596"/>
    <w:rsid w:val="00232880"/>
    <w:rsid w:val="002346FD"/>
    <w:rsid w:val="00244F9A"/>
    <w:rsid w:val="002822FE"/>
    <w:rsid w:val="002972F6"/>
    <w:rsid w:val="002A3C73"/>
    <w:rsid w:val="002B7A93"/>
    <w:rsid w:val="002D226C"/>
    <w:rsid w:val="002E6FFF"/>
    <w:rsid w:val="002F325A"/>
    <w:rsid w:val="002F5CC3"/>
    <w:rsid w:val="003025FA"/>
    <w:rsid w:val="00333140"/>
    <w:rsid w:val="0033501D"/>
    <w:rsid w:val="00346BDF"/>
    <w:rsid w:val="003477CB"/>
    <w:rsid w:val="00362CA7"/>
    <w:rsid w:val="00394532"/>
    <w:rsid w:val="003C7ABB"/>
    <w:rsid w:val="003D343A"/>
    <w:rsid w:val="003D6899"/>
    <w:rsid w:val="0041445A"/>
    <w:rsid w:val="00417971"/>
    <w:rsid w:val="00444F96"/>
    <w:rsid w:val="00446E75"/>
    <w:rsid w:val="00451908"/>
    <w:rsid w:val="004671EC"/>
    <w:rsid w:val="00471777"/>
    <w:rsid w:val="004820D1"/>
    <w:rsid w:val="00497E60"/>
    <w:rsid w:val="004C6CDD"/>
    <w:rsid w:val="004C71B1"/>
    <w:rsid w:val="004D67E6"/>
    <w:rsid w:val="004D7053"/>
    <w:rsid w:val="004D741F"/>
    <w:rsid w:val="004E7CD5"/>
    <w:rsid w:val="004F136A"/>
    <w:rsid w:val="00524958"/>
    <w:rsid w:val="0053743C"/>
    <w:rsid w:val="00574619"/>
    <w:rsid w:val="005818A0"/>
    <w:rsid w:val="00591FF6"/>
    <w:rsid w:val="005A7E17"/>
    <w:rsid w:val="005B1516"/>
    <w:rsid w:val="005C178C"/>
    <w:rsid w:val="005D151F"/>
    <w:rsid w:val="005F0996"/>
    <w:rsid w:val="005F3BDB"/>
    <w:rsid w:val="00613B5D"/>
    <w:rsid w:val="00616CA6"/>
    <w:rsid w:val="00623043"/>
    <w:rsid w:val="00623F4A"/>
    <w:rsid w:val="00630BFF"/>
    <w:rsid w:val="00635A1A"/>
    <w:rsid w:val="00644C1D"/>
    <w:rsid w:val="00653932"/>
    <w:rsid w:val="00654468"/>
    <w:rsid w:val="006719F8"/>
    <w:rsid w:val="006729A5"/>
    <w:rsid w:val="00676B95"/>
    <w:rsid w:val="0068192D"/>
    <w:rsid w:val="0069018D"/>
    <w:rsid w:val="00691CDD"/>
    <w:rsid w:val="006948C6"/>
    <w:rsid w:val="006A3684"/>
    <w:rsid w:val="006A652E"/>
    <w:rsid w:val="006B5C56"/>
    <w:rsid w:val="006C7030"/>
    <w:rsid w:val="006D2C42"/>
    <w:rsid w:val="006D391B"/>
    <w:rsid w:val="006E1EB4"/>
    <w:rsid w:val="006F24A1"/>
    <w:rsid w:val="006F633F"/>
    <w:rsid w:val="00711C28"/>
    <w:rsid w:val="00724A1D"/>
    <w:rsid w:val="00724FA4"/>
    <w:rsid w:val="00735645"/>
    <w:rsid w:val="0074785B"/>
    <w:rsid w:val="007556FA"/>
    <w:rsid w:val="00757A22"/>
    <w:rsid w:val="0076765B"/>
    <w:rsid w:val="00777B39"/>
    <w:rsid w:val="007C1CAC"/>
    <w:rsid w:val="007C57E7"/>
    <w:rsid w:val="007D406C"/>
    <w:rsid w:val="007F535F"/>
    <w:rsid w:val="007F563F"/>
    <w:rsid w:val="008032F1"/>
    <w:rsid w:val="00812B66"/>
    <w:rsid w:val="00832FBE"/>
    <w:rsid w:val="00833A6C"/>
    <w:rsid w:val="0085100A"/>
    <w:rsid w:val="00863A80"/>
    <w:rsid w:val="00870D2F"/>
    <w:rsid w:val="0087175B"/>
    <w:rsid w:val="00883840"/>
    <w:rsid w:val="0088428E"/>
    <w:rsid w:val="00886860"/>
    <w:rsid w:val="008954AF"/>
    <w:rsid w:val="008A3796"/>
    <w:rsid w:val="008A4329"/>
    <w:rsid w:val="008B14A7"/>
    <w:rsid w:val="008C4CE1"/>
    <w:rsid w:val="008D0626"/>
    <w:rsid w:val="008F56A2"/>
    <w:rsid w:val="008F659C"/>
    <w:rsid w:val="00905AF6"/>
    <w:rsid w:val="00913F1D"/>
    <w:rsid w:val="00916C8B"/>
    <w:rsid w:val="009256A0"/>
    <w:rsid w:val="009343F2"/>
    <w:rsid w:val="009432A6"/>
    <w:rsid w:val="00947E79"/>
    <w:rsid w:val="0097728C"/>
    <w:rsid w:val="00982D13"/>
    <w:rsid w:val="00986DAA"/>
    <w:rsid w:val="009A64A7"/>
    <w:rsid w:val="009B647A"/>
    <w:rsid w:val="009B6B2F"/>
    <w:rsid w:val="009B6C07"/>
    <w:rsid w:val="009E5751"/>
    <w:rsid w:val="009E5AAE"/>
    <w:rsid w:val="009F607E"/>
    <w:rsid w:val="00A0761A"/>
    <w:rsid w:val="00A10948"/>
    <w:rsid w:val="00A5076B"/>
    <w:rsid w:val="00A66F59"/>
    <w:rsid w:val="00A73D77"/>
    <w:rsid w:val="00A8445A"/>
    <w:rsid w:val="00AA1721"/>
    <w:rsid w:val="00AD5241"/>
    <w:rsid w:val="00AD5B27"/>
    <w:rsid w:val="00AE1901"/>
    <w:rsid w:val="00B05988"/>
    <w:rsid w:val="00B07FF7"/>
    <w:rsid w:val="00B11D29"/>
    <w:rsid w:val="00B44F6D"/>
    <w:rsid w:val="00B50DEB"/>
    <w:rsid w:val="00B63E0E"/>
    <w:rsid w:val="00B77CC6"/>
    <w:rsid w:val="00B842D7"/>
    <w:rsid w:val="00B872B8"/>
    <w:rsid w:val="00B90F80"/>
    <w:rsid w:val="00B9602D"/>
    <w:rsid w:val="00B96BEA"/>
    <w:rsid w:val="00BB2B2B"/>
    <w:rsid w:val="00BB6C0C"/>
    <w:rsid w:val="00BC1F85"/>
    <w:rsid w:val="00BD1F35"/>
    <w:rsid w:val="00BF31F4"/>
    <w:rsid w:val="00C0015A"/>
    <w:rsid w:val="00C10AFF"/>
    <w:rsid w:val="00C22076"/>
    <w:rsid w:val="00C23764"/>
    <w:rsid w:val="00C24C55"/>
    <w:rsid w:val="00C51C7C"/>
    <w:rsid w:val="00C5240F"/>
    <w:rsid w:val="00C63F8E"/>
    <w:rsid w:val="00C722C5"/>
    <w:rsid w:val="00C72BEF"/>
    <w:rsid w:val="00C74CC0"/>
    <w:rsid w:val="00C872F1"/>
    <w:rsid w:val="00C94CAD"/>
    <w:rsid w:val="00CA0FEE"/>
    <w:rsid w:val="00CA494F"/>
    <w:rsid w:val="00CC7564"/>
    <w:rsid w:val="00CD451F"/>
    <w:rsid w:val="00CE6728"/>
    <w:rsid w:val="00D06DD3"/>
    <w:rsid w:val="00D07590"/>
    <w:rsid w:val="00D07821"/>
    <w:rsid w:val="00D26208"/>
    <w:rsid w:val="00D309C3"/>
    <w:rsid w:val="00D43CA4"/>
    <w:rsid w:val="00D4512B"/>
    <w:rsid w:val="00D50476"/>
    <w:rsid w:val="00D51EDA"/>
    <w:rsid w:val="00D6186B"/>
    <w:rsid w:val="00D643D0"/>
    <w:rsid w:val="00D64813"/>
    <w:rsid w:val="00D869A0"/>
    <w:rsid w:val="00D900AD"/>
    <w:rsid w:val="00DA0876"/>
    <w:rsid w:val="00DA3034"/>
    <w:rsid w:val="00DA3A34"/>
    <w:rsid w:val="00DB0325"/>
    <w:rsid w:val="00DB57DA"/>
    <w:rsid w:val="00DC471B"/>
    <w:rsid w:val="00DC7C26"/>
    <w:rsid w:val="00DF69F3"/>
    <w:rsid w:val="00DF6C55"/>
    <w:rsid w:val="00E0212D"/>
    <w:rsid w:val="00E1190C"/>
    <w:rsid w:val="00E53760"/>
    <w:rsid w:val="00E556DE"/>
    <w:rsid w:val="00E607AE"/>
    <w:rsid w:val="00E60BA0"/>
    <w:rsid w:val="00E661EF"/>
    <w:rsid w:val="00E70A6A"/>
    <w:rsid w:val="00EC3E47"/>
    <w:rsid w:val="00EE09F6"/>
    <w:rsid w:val="00EE5859"/>
    <w:rsid w:val="00EF34E1"/>
    <w:rsid w:val="00EF4BA0"/>
    <w:rsid w:val="00F07171"/>
    <w:rsid w:val="00F214E7"/>
    <w:rsid w:val="00F309CB"/>
    <w:rsid w:val="00F32B1E"/>
    <w:rsid w:val="00F40326"/>
    <w:rsid w:val="00F406A2"/>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55D9F8"/>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42415">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385951071">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641418846">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3381D79-C97F-47E2-AFBD-6AABE2E7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17</TotalTime>
  <Pages>3</Pages>
  <Words>169</Words>
  <Characters>969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19</cp:revision>
  <cp:lastPrinted>2018-02-13T04:56:00Z</cp:lastPrinted>
  <dcterms:created xsi:type="dcterms:W3CDTF">2019-03-06T04:47:00Z</dcterms:created>
  <dcterms:modified xsi:type="dcterms:W3CDTF">2019-03-19T04:36:00Z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