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5871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22291" w:rsidRDefault="00322291">
          <w:pPr>
            <w:pStyle w:val="TOCHeading"/>
          </w:pPr>
          <w:r>
            <w:t>Contents</w:t>
          </w:r>
        </w:p>
        <w:p w:rsidR="00211105" w:rsidRDefault="0032229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1137" w:history="1">
            <w:r w:rsidR="00211105" w:rsidRPr="00D16DE7">
              <w:rPr>
                <w:rStyle w:val="Hyperlink"/>
                <w:noProof/>
              </w:rPr>
              <w:t>ArcGIS.Desktop.Core.Geoprocessing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8" w:history="1">
            <w:r w:rsidR="00211105" w:rsidRPr="00D16DE7">
              <w:rPr>
                <w:rStyle w:val="Hyperlink"/>
                <w:noProof/>
              </w:rPr>
              <w:t>Overview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1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39" w:history="1">
            <w:r w:rsidR="00211105" w:rsidRPr="00D16DE7">
              <w:rPr>
                <w:rStyle w:val="Hyperlink"/>
                <w:noProof/>
              </w:rPr>
              <w:t>How to execute a tool – basic concept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_Toc417241139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0" w:history="1">
            <w:r w:rsidR="00211105" w:rsidRPr="00D16DE7">
              <w:rPr>
                <w:rStyle w:val="Hyperlink"/>
                <w:noProof/>
              </w:rPr>
              <w:t>Passing .Net non-string objects to ExecuteToolAsync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2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1" w:history="1">
            <w:r w:rsidR="00211105" w:rsidRPr="00D16DE7">
              <w:rPr>
                <w:rStyle w:val="Hyperlink"/>
                <w:noProof/>
              </w:rPr>
              <w:t>A trick to get (or visualize) correct parameter sequence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2" w:history="1">
            <w:r w:rsidR="00211105" w:rsidRPr="00D16DE7">
              <w:rPr>
                <w:rStyle w:val="Hyperlink"/>
                <w:noProof/>
              </w:rPr>
              <w:t>Supported native .NET types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3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3" w:history="1">
            <w:r w:rsidR="00211105" w:rsidRPr="00D16DE7">
              <w:rPr>
                <w:rStyle w:val="Hyperlink"/>
                <w:noProof/>
              </w:rPr>
              <w:t>How to execute a tool – details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_Toc417241143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4" w:history="1">
            <w:r w:rsidR="00211105" w:rsidRPr="00D16DE7">
              <w:rPr>
                <w:rStyle w:val="Hyperlink"/>
                <w:noProof/>
              </w:rPr>
              <w:t>Setting geoprocessing environment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_Toc417241144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4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5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_Toc417241145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6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_Toc417241146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5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7" w:history="1">
            <w:r w:rsidR="00211105" w:rsidRPr="00D16DE7">
              <w:rPr>
                <w:rStyle w:val="Hyperlink"/>
                <w:noProof/>
              </w:rPr>
              <w:t>Open a geoprocessing tool dialog.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_Toc417241147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8" w:history="1">
            <w:r w:rsidR="00211105" w:rsidRPr="00D16DE7">
              <w:rPr>
                <w:rStyle w:val="Hyperlink"/>
                <w:noProof/>
              </w:rPr>
              <w:t>Example 1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_Toc417241148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49" w:history="1">
            <w:r w:rsidR="00211105" w:rsidRPr="00D16DE7">
              <w:rPr>
                <w:rStyle w:val="Hyperlink"/>
                <w:noProof/>
              </w:rPr>
              <w:t>Example 2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_Toc417241149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6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0" w:history="1">
            <w:r w:rsidR="00211105" w:rsidRPr="00D16DE7">
              <w:rPr>
                <w:rStyle w:val="Hyperlink"/>
                <w:noProof/>
              </w:rPr>
              <w:t>Using the delegate GPToolExecuteEventHandler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_Toc417241150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7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1" w:history="1">
            <w:r w:rsidR="00211105" w:rsidRPr="00D16DE7">
              <w:rPr>
                <w:rStyle w:val="Hyperlink"/>
                <w:noProof/>
              </w:rPr>
              <w:t>Still to do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_Toc417241151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211105" w:rsidRDefault="001E12B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Cs w:val="28"/>
              <w:lang w:bidi="bn-BD"/>
            </w:rPr>
          </w:pPr>
          <w:hyperlink w:anchor="_Toc417241152" w:history="1">
            <w:r w:rsidR="00211105" w:rsidRPr="00D16DE7">
              <w:rPr>
                <w:rStyle w:val="Hyperlink"/>
                <w:noProof/>
              </w:rPr>
              <w:t>ShowMessageBox</w:t>
            </w:r>
            <w:r w:rsidR="00211105">
              <w:rPr>
                <w:noProof/>
                <w:webHidden/>
              </w:rPr>
              <w:tab/>
            </w:r>
            <w:r w:rsidR="00211105">
              <w:rPr>
                <w:noProof/>
                <w:webHidden/>
              </w:rPr>
              <w:fldChar w:fldCharType="begin"/>
            </w:r>
            <w:r w:rsidR="00211105">
              <w:rPr>
                <w:noProof/>
                <w:webHidden/>
              </w:rPr>
              <w:instrText xml:space="preserve"> PAGEREF _Toc417241152 \h </w:instrText>
            </w:r>
            <w:r w:rsidR="00211105">
              <w:rPr>
                <w:noProof/>
                <w:webHidden/>
              </w:rPr>
            </w:r>
            <w:r w:rsidR="00211105">
              <w:rPr>
                <w:noProof/>
                <w:webHidden/>
              </w:rPr>
              <w:fldChar w:fldCharType="separate"/>
            </w:r>
            <w:r w:rsidR="00211105">
              <w:rPr>
                <w:noProof/>
                <w:webHidden/>
              </w:rPr>
              <w:t>8</w:t>
            </w:r>
            <w:r w:rsidR="00211105">
              <w:rPr>
                <w:noProof/>
                <w:webHidden/>
              </w:rPr>
              <w:fldChar w:fldCharType="end"/>
            </w:r>
          </w:hyperlink>
        </w:p>
        <w:p w:rsidR="00322291" w:rsidRDefault="00322291">
          <w:r>
            <w:rPr>
              <w:b/>
              <w:bCs/>
              <w:noProof/>
            </w:rPr>
            <w:fldChar w:fldCharType="end"/>
          </w:r>
        </w:p>
      </w:sdtContent>
    </w:sdt>
    <w:p w:rsidR="00FA2D6C" w:rsidRDefault="00FA2D6C"/>
    <w:p w:rsidR="00FA2D6C" w:rsidRDefault="00FA2D6C">
      <w:r>
        <w:t xml:space="preserve">The </w:t>
      </w:r>
      <w:proofErr w:type="spellStart"/>
      <w:r>
        <w:t>geoprocessing</w:t>
      </w:r>
      <w:proofErr w:type="spellEnd"/>
      <w:r>
        <w:t xml:space="preserve"> public APIs are exposed through</w:t>
      </w:r>
      <w:r w:rsidR="005E757F">
        <w:t xml:space="preserve"> the </w:t>
      </w:r>
      <w:proofErr w:type="spellStart"/>
      <w:r w:rsidR="005E757F">
        <w:t>ArcGIS.Desktop.Core.Geoprocessing</w:t>
      </w:r>
      <w:proofErr w:type="spellEnd"/>
      <w:r>
        <w:t xml:space="preserve"> namespace in the ArcGIS Pro API Reference Guide.</w:t>
      </w:r>
    </w:p>
    <w:p w:rsidR="00FA2D6C" w:rsidRDefault="00FA2D6C">
      <w:r>
        <w:t>The core useful methods</w:t>
      </w:r>
      <w:r w:rsidR="00D25613">
        <w:t>, enumerators and interfaces</w:t>
      </w:r>
      <w:r>
        <w:t xml:space="preserve"> </w:t>
      </w:r>
      <w:r w:rsidR="005E757F">
        <w:t xml:space="preserve">for </w:t>
      </w:r>
      <w:proofErr w:type="spellStart"/>
      <w:r w:rsidR="005E757F">
        <w:t>g</w:t>
      </w:r>
      <w:r w:rsidR="00D25613">
        <w:t>eoprocessing</w:t>
      </w:r>
      <w:proofErr w:type="spellEnd"/>
      <w:r w:rsidR="00D25613">
        <w:t xml:space="preserve"> </w:t>
      </w:r>
      <w:r w:rsidR="005E757F">
        <w:t>tasks are available in this namespace</w:t>
      </w:r>
      <w:r w:rsidR="00D25613">
        <w:t xml:space="preserve">. </w:t>
      </w:r>
    </w:p>
    <w:p w:rsidR="00DA15C0" w:rsidRDefault="00DA15C0"/>
    <w:p w:rsidR="006C24C4" w:rsidRDefault="006C24C4" w:rsidP="006C24C4">
      <w:pPr>
        <w:pStyle w:val="Heading1"/>
      </w:pPr>
      <w:bookmarkStart w:id="0" w:name="_Toc417241137"/>
      <w:proofErr w:type="spellStart"/>
      <w:r>
        <w:t>ArcGIS.Desktop.Core.Geoprocessing</w:t>
      </w:r>
      <w:bookmarkEnd w:id="0"/>
      <w:proofErr w:type="spellEnd"/>
    </w:p>
    <w:p w:rsidR="006C24C4" w:rsidRDefault="006C24C4"/>
    <w:p w:rsidR="006C24C4" w:rsidRDefault="006C24C4" w:rsidP="006C24C4">
      <w:pPr>
        <w:pStyle w:val="Heading2"/>
      </w:pPr>
      <w:bookmarkStart w:id="1" w:name="_Toc417241138"/>
      <w:r>
        <w:t>Overview</w:t>
      </w:r>
      <w:bookmarkEnd w:id="1"/>
    </w:p>
    <w:p w:rsidR="00816EBB" w:rsidRPr="00816EBB" w:rsidRDefault="00816EBB" w:rsidP="00816EBB"/>
    <w:p w:rsidR="006C24C4" w:rsidRDefault="005E757F">
      <w:r>
        <w:t xml:space="preserve">You will use the </w:t>
      </w:r>
      <w:proofErr w:type="spellStart"/>
      <w:r w:rsidR="003F7876">
        <w:t>ExecuteTool</w:t>
      </w:r>
      <w:r>
        <w:t>Async</w:t>
      </w:r>
      <w:proofErr w:type="spellEnd"/>
      <w:r w:rsidR="003F7876">
        <w:t xml:space="preserve"> method to </w:t>
      </w:r>
      <w:r>
        <w:t xml:space="preserve">run any </w:t>
      </w:r>
      <w:proofErr w:type="spellStart"/>
      <w:r>
        <w:t>geoprocessing</w:t>
      </w:r>
      <w:proofErr w:type="spellEnd"/>
      <w:r>
        <w:t xml:space="preserve"> tool</w:t>
      </w:r>
      <w:r w:rsidR="003F7876">
        <w:t xml:space="preserve">. </w:t>
      </w:r>
    </w:p>
    <w:p w:rsidR="00F85BEF" w:rsidRDefault="00F85BEF"/>
    <w:p w:rsidR="003F7876" w:rsidRDefault="003F7876" w:rsidP="00F85BEF">
      <w:pPr>
        <w:pStyle w:val="Heading2"/>
      </w:pPr>
      <w:bookmarkStart w:id="2" w:name="_Toc417241139"/>
      <w:r>
        <w:lastRenderedPageBreak/>
        <w:t>How to execute a tool</w:t>
      </w:r>
      <w:r w:rsidR="00DA60F7">
        <w:t xml:space="preserve"> – basic concept</w:t>
      </w:r>
      <w:bookmarkEnd w:id="2"/>
    </w:p>
    <w:p w:rsidR="00816EBB" w:rsidRDefault="00816EBB"/>
    <w:p w:rsidR="003F7876" w:rsidRDefault="00227D7B">
      <w:r>
        <w:t>To run (or execute) a tool, in the most case, you just pass t</w:t>
      </w:r>
      <w:r w:rsidR="00256942">
        <w:t>wo</w:t>
      </w:r>
      <w:r>
        <w:t xml:space="preserve"> required </w:t>
      </w:r>
      <w:r w:rsidR="00256942">
        <w:t>(along with some optional)</w:t>
      </w:r>
      <w:r>
        <w:t xml:space="preserve"> </w:t>
      </w:r>
      <w:r w:rsidR="00256942">
        <w:t xml:space="preserve">arguments </w:t>
      </w:r>
      <w:r>
        <w:t xml:space="preserve">to </w:t>
      </w:r>
      <w:proofErr w:type="spellStart"/>
      <w:r>
        <w:t>ExecuteToolAsync</w:t>
      </w:r>
      <w:proofErr w:type="spellEnd"/>
      <w:r>
        <w:t xml:space="preserve"> method, which are:</w:t>
      </w:r>
    </w:p>
    <w:p w:rsidR="00227D7B" w:rsidRDefault="00256942" w:rsidP="00227D7B">
      <w:pPr>
        <w:pStyle w:val="ListParagraph"/>
        <w:numPr>
          <w:ilvl w:val="0"/>
          <w:numId w:val="1"/>
        </w:numPr>
      </w:pPr>
      <w:r>
        <w:t>Name of the tool: tool name passed as a string and is specified as follows:</w:t>
      </w:r>
    </w:p>
    <w:p w:rsidR="00256942" w:rsidRDefault="00256942" w:rsidP="00256942">
      <w:pPr>
        <w:pStyle w:val="ListParagraph"/>
      </w:pPr>
      <w:proofErr w:type="spellStart"/>
      <w:r>
        <w:t>toolbox_alias.ToolName</w:t>
      </w:r>
      <w:proofErr w:type="spellEnd"/>
      <w:r>
        <w:t xml:space="preserve"> (alias and tool name are separated by a dot)</w:t>
      </w:r>
    </w:p>
    <w:p w:rsidR="00256942" w:rsidRDefault="00256942" w:rsidP="00256942">
      <w:pPr>
        <w:pStyle w:val="ListParagraph"/>
      </w:pPr>
      <w:r>
        <w:t>You can get the correct alias and tool name from drag-dropping a tool in Python window or from tool’s help page.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</w:pPr>
      <w:r>
        <w:t>Example</w:t>
      </w:r>
      <w:r w:rsidR="00575CFC">
        <w:t xml:space="preserve"> (python window and .Net)</w:t>
      </w:r>
      <w:r w:rsidR="00E21C75">
        <w:t>:</w:t>
      </w:r>
    </w:p>
    <w:p w:rsidR="000F7FC6" w:rsidRDefault="00E21C75" w:rsidP="00256942">
      <w:pPr>
        <w:pStyle w:val="ListParagraph"/>
        <w:rPr>
          <w:highlight w:val="lightGray"/>
        </w:rPr>
      </w:pPr>
      <w:r>
        <w:tab/>
        <w:t xml:space="preserve">Python window: </w:t>
      </w:r>
      <w:proofErr w:type="spellStart"/>
      <w:proofErr w:type="gramStart"/>
      <w:r w:rsidR="00E70FC3" w:rsidRPr="000F7FC6">
        <w:t>arcpy.analysis.Buffer</w:t>
      </w:r>
      <w:proofErr w:type="spellEnd"/>
      <w:r w:rsidR="000F7FC6">
        <w:rPr>
          <w:highlight w:val="lightGray"/>
        </w:rPr>
        <w:t>(</w:t>
      </w:r>
      <w:proofErr w:type="gramEnd"/>
      <w:r w:rsidR="000F7FC6">
        <w:rPr>
          <w:highlight w:val="lightGray"/>
        </w:rPr>
        <w:t>…)</w:t>
      </w:r>
      <w:r w:rsidR="00C02147">
        <w:rPr>
          <w:highlight w:val="lightGray"/>
        </w:rPr>
        <w:t xml:space="preserve"> or </w:t>
      </w:r>
      <w:proofErr w:type="spellStart"/>
      <w:r w:rsidR="00C02147">
        <w:rPr>
          <w:highlight w:val="lightGray"/>
        </w:rPr>
        <w:t>arcpy.Buffer_analysis</w:t>
      </w:r>
      <w:proofErr w:type="spellEnd"/>
      <w:r w:rsidR="00C02147">
        <w:rPr>
          <w:highlight w:val="lightGray"/>
        </w:rPr>
        <w:t>(..)</w:t>
      </w:r>
    </w:p>
    <w:p w:rsidR="00E21C75" w:rsidRDefault="00E21C75" w:rsidP="00256942">
      <w:pPr>
        <w:pStyle w:val="ListParagraph"/>
      </w:pPr>
      <w:r>
        <w:tab/>
        <w:t>.Net: “</w:t>
      </w:r>
      <w:proofErr w:type="spellStart"/>
      <w:r w:rsidR="00754464">
        <w:t>analysis</w:t>
      </w:r>
      <w:r>
        <w:t>.</w:t>
      </w:r>
      <w:r w:rsidR="00754464">
        <w:t>Buffer</w:t>
      </w:r>
      <w:proofErr w:type="spellEnd"/>
      <w:proofErr w:type="gramStart"/>
      <w:r>
        <w:t>”  /</w:t>
      </w:r>
      <w:proofErr w:type="gramEnd"/>
      <w:r>
        <w:t>/ a string</w:t>
      </w:r>
    </w:p>
    <w:p w:rsidR="00256942" w:rsidRDefault="00256942" w:rsidP="00256942">
      <w:pPr>
        <w:pStyle w:val="ListParagraph"/>
      </w:pPr>
    </w:p>
    <w:p w:rsidR="00256942" w:rsidRDefault="00256942" w:rsidP="00256942">
      <w:pPr>
        <w:pStyle w:val="ListParagraph"/>
        <w:numPr>
          <w:ilvl w:val="0"/>
          <w:numId w:val="1"/>
        </w:numPr>
      </w:pPr>
      <w:r>
        <w:t xml:space="preserve">Arguments to </w:t>
      </w:r>
      <w:proofErr w:type="spellStart"/>
      <w:r>
        <w:t>ExecuteToolAsync</w:t>
      </w:r>
      <w:proofErr w:type="spellEnd"/>
      <w:r>
        <w:t xml:space="preserve">: Pass all the parameter values of the </w:t>
      </w:r>
      <w:proofErr w:type="spellStart"/>
      <w:r>
        <w:t>geoprocessing</w:t>
      </w:r>
      <w:proofErr w:type="spellEnd"/>
      <w:r>
        <w:t xml:space="preserve"> tool in a</w:t>
      </w:r>
      <w:r w:rsidR="003523A4">
        <w:t>n</w:t>
      </w:r>
      <w:r>
        <w:t xml:space="preserve"> </w:t>
      </w:r>
      <w:proofErr w:type="spellStart"/>
      <w:r>
        <w:t>IEnumerable</w:t>
      </w:r>
      <w:proofErr w:type="spellEnd"/>
      <w:r>
        <w:t xml:space="preserve"> of type string.</w:t>
      </w:r>
      <w:r w:rsidR="00C02147">
        <w:t xml:space="preserve"> For convenience use </w:t>
      </w:r>
      <w:proofErr w:type="spellStart"/>
      <w:r w:rsidR="00C02147">
        <w:t>MakeValueArray</w:t>
      </w:r>
      <w:proofErr w:type="spellEnd"/>
      <w:r w:rsidR="00C02147">
        <w:t xml:space="preserve">() and </w:t>
      </w:r>
      <w:proofErr w:type="spellStart"/>
      <w:r w:rsidR="00C02147">
        <w:t>MakeEnviromentArray</w:t>
      </w:r>
      <w:proofErr w:type="spellEnd"/>
      <w:r w:rsidR="00C02147">
        <w:t>()</w:t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>
        <w:t>Make sure the sequence of parameter values of the tool matches exactly with the sequence specified in tool’s reference (help) page. You can also get the sequence by drag-dropping the tool in Python window.</w:t>
      </w:r>
      <w:r w:rsidR="009F6C01">
        <w:t xml:space="preserve"> Or from the context menu of the tool itself:</w:t>
      </w:r>
    </w:p>
    <w:p w:rsidR="00C02147" w:rsidRDefault="00C02147" w:rsidP="003523A4">
      <w:pPr>
        <w:pStyle w:val="ListParagraph"/>
      </w:pPr>
      <w:r>
        <w:rPr>
          <w:noProof/>
          <w:lang w:bidi="bn-BD"/>
        </w:rPr>
        <w:drawing>
          <wp:inline distT="0" distB="0" distL="0" distR="0" wp14:anchorId="5A0F178F" wp14:editId="6BD8B3D5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A4" w:rsidRDefault="003523A4" w:rsidP="003523A4">
      <w:pPr>
        <w:pStyle w:val="ListParagraph"/>
      </w:pPr>
    </w:p>
    <w:p w:rsidR="003523A4" w:rsidRDefault="003523A4" w:rsidP="003523A4">
      <w:pPr>
        <w:pStyle w:val="ListParagraph"/>
      </w:pPr>
      <w:r w:rsidRPr="009F6C01">
        <w:rPr>
          <w:i/>
          <w:iCs/>
        </w:rPr>
        <w:t>Note</w:t>
      </w:r>
      <w:r>
        <w:t xml:space="preserve">: Tool parameters are arranged on tool’s dialog as per GUI design and do not always follow the sequence specified in tool help page.  </w:t>
      </w:r>
    </w:p>
    <w:p w:rsidR="00575CFC" w:rsidRDefault="00575CFC" w:rsidP="00575CFC">
      <w:pPr>
        <w:pStyle w:val="ListParagraph"/>
      </w:pPr>
      <w:r>
        <w:tab/>
      </w:r>
    </w:p>
    <w:p w:rsidR="005460AD" w:rsidRDefault="00575CFC" w:rsidP="00E21C75">
      <w:pPr>
        <w:pStyle w:val="ListParagraph"/>
      </w:pPr>
      <w:r>
        <w:t>Example (python window and .Net)</w:t>
      </w:r>
    </w:p>
    <w:p w:rsidR="00E21C75" w:rsidRDefault="00E21C75" w:rsidP="00E21C75">
      <w:pPr>
        <w:pStyle w:val="ListParagraph"/>
      </w:pPr>
      <w:r>
        <w:tab/>
        <w:t xml:space="preserve">Python window: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out_feature_class</w:t>
      </w:r>
      <w:proofErr w:type="spellEnd"/>
      <w:r>
        <w:t xml:space="preserve">, </w:t>
      </w:r>
      <w:proofErr w:type="spellStart"/>
      <w:r>
        <w:t>buffer_</w:t>
      </w:r>
      <w:proofErr w:type="gramStart"/>
      <w:r>
        <w:t>distance</w:t>
      </w:r>
      <w:proofErr w:type="spellEnd"/>
      <w:r>
        <w:t>, ….</w:t>
      </w:r>
      <w:proofErr w:type="gramEnd"/>
    </w:p>
    <w:p w:rsidR="00775ABB" w:rsidRPr="00775ABB" w:rsidRDefault="005D542B" w:rsidP="00775ABB">
      <w:pPr>
        <w:pStyle w:val="ListParagraph"/>
        <w:rPr>
          <w:color w:val="008000"/>
        </w:rPr>
      </w:pPr>
      <w:r>
        <w:tab/>
      </w:r>
      <w:r w:rsidRPr="0024766A">
        <w:rPr>
          <w:color w:val="008000"/>
        </w:rPr>
        <w:t xml:space="preserve">// </w:t>
      </w:r>
      <w:r w:rsidR="00002D4F" w:rsidRPr="0024766A">
        <w:rPr>
          <w:color w:val="008000"/>
        </w:rPr>
        <w:t xml:space="preserve">pass values </w:t>
      </w:r>
      <w:r w:rsidR="00775ABB">
        <w:rPr>
          <w:color w:val="008000"/>
        </w:rPr>
        <w:t xml:space="preserve">with </w:t>
      </w:r>
      <w:r w:rsidR="00002D4F" w:rsidRPr="0024766A">
        <w:rPr>
          <w:color w:val="008000"/>
        </w:rPr>
        <w:t xml:space="preserve">same sequence as in Python </w:t>
      </w:r>
      <w:r w:rsidR="00775ABB">
        <w:rPr>
          <w:color w:val="008000"/>
        </w:rPr>
        <w:t>API</w:t>
      </w:r>
      <w:r w:rsidR="00002D4F" w:rsidRPr="0024766A">
        <w:rPr>
          <w:color w:val="008000"/>
        </w:rPr>
        <w:t>.</w:t>
      </w:r>
    </w:p>
    <w:p w:rsidR="00E21C75" w:rsidRDefault="00E21C75" w:rsidP="00E21C75">
      <w:pPr>
        <w:pStyle w:val="ListParagraph"/>
      </w:pPr>
      <w:r>
        <w:tab/>
        <w:t>.Net:</w:t>
      </w:r>
      <w:r w:rsidR="00BD72EF">
        <w:t xml:space="preserve"> </w:t>
      </w:r>
      <w:proofErr w:type="spellStart"/>
      <w:r w:rsidR="00E70FC3">
        <w:t>var</w:t>
      </w:r>
      <w:proofErr w:type="spellEnd"/>
      <w:r w:rsidR="00E70FC3">
        <w:t xml:space="preserve"> </w:t>
      </w:r>
      <w:proofErr w:type="spellStart"/>
      <w:r w:rsidR="00BD72EF" w:rsidRPr="00D50B50">
        <w:t>args</w:t>
      </w:r>
      <w:proofErr w:type="spellEnd"/>
      <w:r w:rsidR="00BD72EF" w:rsidRPr="00D50B50">
        <w:t xml:space="preserve"> = </w:t>
      </w:r>
      <w:proofErr w:type="spellStart"/>
      <w:proofErr w:type="gramStart"/>
      <w:r w:rsidR="00C02147">
        <w:t>MakeValueArray</w:t>
      </w:r>
      <w:proofErr w:type="spellEnd"/>
      <w:r w:rsidR="00C02147">
        <w:t>(</w:t>
      </w:r>
      <w:proofErr w:type="gramEnd"/>
      <w:r w:rsidR="000F7FC6">
        <w:t>“</w:t>
      </w:r>
      <w:proofErr w:type="spellStart"/>
      <w:r w:rsidR="00BD72EF" w:rsidRPr="00D50B50">
        <w:t>path_to_out</w:t>
      </w:r>
      <w:r w:rsidR="00C02147">
        <w:t>put</w:t>
      </w:r>
      <w:proofErr w:type="spellEnd"/>
      <w:r w:rsidR="00C02147">
        <w:t>”, “</w:t>
      </w:r>
      <w:proofErr w:type="spellStart"/>
      <w:r w:rsidR="00C02147">
        <w:t>out_fc_name</w:t>
      </w:r>
      <w:proofErr w:type="spellEnd"/>
      <w:r w:rsidR="00C02147">
        <w:t>”, “Polyline”)</w:t>
      </w:r>
    </w:p>
    <w:p w:rsidR="001B4AE9" w:rsidRDefault="00BC6F22">
      <w:r>
        <w:lastRenderedPageBreak/>
        <w:t xml:space="preserve">So, a call to </w:t>
      </w:r>
      <w:proofErr w:type="spellStart"/>
      <w:r>
        <w:t>ExecuteToolAsync</w:t>
      </w:r>
      <w:proofErr w:type="spellEnd"/>
      <w:r>
        <w:t xml:space="preserve"> will be:</w:t>
      </w:r>
    </w:p>
    <w:p w:rsidR="00BC6F22" w:rsidRDefault="00BC6F22">
      <w:r>
        <w:tab/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>“</w:t>
      </w:r>
      <w:proofErr w:type="spellStart"/>
      <w:r>
        <w:t>management.CreateFeatureClass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>)</w:t>
      </w:r>
    </w:p>
    <w:p w:rsidR="00514439" w:rsidRDefault="00514439"/>
    <w:p w:rsidR="008548CC" w:rsidRPr="008548CC" w:rsidRDefault="008548CC" w:rsidP="004B2CF2">
      <w:pPr>
        <w:pStyle w:val="Heading2"/>
      </w:pPr>
      <w:bookmarkStart w:id="3" w:name="_Toc417241140"/>
      <w:r w:rsidRPr="008548CC">
        <w:t>Passing .Net</w:t>
      </w:r>
      <w:r w:rsidR="00A96BA5">
        <w:t xml:space="preserve"> non-string</w:t>
      </w:r>
      <w:r w:rsidRPr="008548CC">
        <w:t xml:space="preserve"> objects to </w:t>
      </w:r>
      <w:proofErr w:type="spellStart"/>
      <w:r w:rsidRPr="008548CC">
        <w:t>ExecuteToolAsync</w:t>
      </w:r>
      <w:bookmarkEnd w:id="3"/>
      <w:proofErr w:type="spellEnd"/>
    </w:p>
    <w:p w:rsidR="00C40AE5" w:rsidRDefault="00C40AE5"/>
    <w:p w:rsidR="00DC3B76" w:rsidRDefault="00A96BA5" w:rsidP="00A96BA5">
      <w:r>
        <w:t xml:space="preserve">In many scenarios, passing a Layer, geometry created while interacting with the map, Envelope or Extent, </w:t>
      </w:r>
      <w:proofErr w:type="spellStart"/>
      <w:r>
        <w:t>SpatialReference</w:t>
      </w:r>
      <w:proofErr w:type="spellEnd"/>
      <w:r>
        <w:t xml:space="preserve"> or a Table as an argument to a </w:t>
      </w:r>
      <w:proofErr w:type="spellStart"/>
      <w:r>
        <w:t>geoprocessing</w:t>
      </w:r>
      <w:proofErr w:type="spellEnd"/>
      <w:r>
        <w:t xml:space="preserve"> tool may be necessary. In such cases, </w:t>
      </w:r>
      <w:proofErr w:type="spellStart"/>
      <w:r>
        <w:t>MakeValueArray</w:t>
      </w:r>
      <w:proofErr w:type="spellEnd"/>
      <w:r>
        <w:t xml:space="preserve"> method</w:t>
      </w:r>
      <w:r w:rsidRPr="00775ABB">
        <w:rPr>
          <w:strike/>
        </w:rPr>
        <w:t>, which converts such objects to string, can be used.</w:t>
      </w:r>
      <w:r>
        <w:t xml:space="preserve"> </w:t>
      </w:r>
    </w:p>
    <w:p w:rsidR="00385D28" w:rsidRDefault="007E4A04" w:rsidP="00A96BA5">
      <w:r>
        <w:t xml:space="preserve">Say, we have to pass the first argument as a Layer object and the </w:t>
      </w:r>
      <w:r w:rsidR="00385D28">
        <w:t>2</w:t>
      </w:r>
      <w:r w:rsidR="00385D28" w:rsidRPr="00385D28">
        <w:rPr>
          <w:vertAlign w:val="superscript"/>
        </w:rPr>
        <w:t>nd</w:t>
      </w:r>
      <w:r w:rsidR="00385D28">
        <w:t xml:space="preserve"> and 3</w:t>
      </w:r>
      <w:r w:rsidR="00385D28" w:rsidRPr="00385D28">
        <w:rPr>
          <w:vertAlign w:val="superscript"/>
        </w:rPr>
        <w:t>rd</w:t>
      </w:r>
      <w:r w:rsidR="00385D28">
        <w:t xml:space="preserve"> </w:t>
      </w:r>
      <w:r w:rsidR="00A46D9F">
        <w:t>as</w:t>
      </w:r>
      <w:r w:rsidR="00385D28">
        <w:t xml:space="preserve"> string</w:t>
      </w:r>
      <w:r w:rsidR="00A46D9F">
        <w:t>s</w:t>
      </w:r>
      <w:r w:rsidR="00385D28">
        <w:t>,</w:t>
      </w:r>
      <w:r w:rsidR="00A46D9F">
        <w:t xml:space="preserve"> then</w:t>
      </w:r>
      <w:r w:rsidR="00385D28">
        <w:t xml:space="preserve"> </w:t>
      </w:r>
      <w:r>
        <w:t xml:space="preserve">we can </w:t>
      </w:r>
      <w:r w:rsidR="00385D28">
        <w:t xml:space="preserve">pack the </w:t>
      </w:r>
      <w:r>
        <w:t>arguments</w:t>
      </w:r>
      <w:r w:rsidR="00385D28">
        <w:t xml:space="preserve"> in a List&lt;</w:t>
      </w:r>
      <w:r w:rsidR="00D50B50">
        <w:t>string</w:t>
      </w:r>
      <w:r w:rsidR="00385D28">
        <w:t>&gt;</w:t>
      </w:r>
      <w:r>
        <w:t xml:space="preserve"> </w:t>
      </w:r>
      <w:r w:rsidR="00385D28">
        <w:t>either of two ways:</w:t>
      </w:r>
    </w:p>
    <w:p w:rsidR="00385D28" w:rsidRDefault="00385D28" w:rsidP="00385D28">
      <w:pPr>
        <w:pStyle w:val="ListParagraph"/>
      </w:pPr>
    </w:p>
    <w:p w:rsidR="00385D28" w:rsidRDefault="00385D28" w:rsidP="00385D28">
      <w:pPr>
        <w:pStyle w:val="ListParagraph"/>
        <w:numPr>
          <w:ilvl w:val="0"/>
          <w:numId w:val="4"/>
        </w:numPr>
      </w:pPr>
      <w:r>
        <w:t xml:space="preserve">Convert all three (one object and </w:t>
      </w:r>
      <w:r w:rsidR="00D50B50">
        <w:t xml:space="preserve">two strings) to </w:t>
      </w:r>
      <w:proofErr w:type="spellStart"/>
      <w:r w:rsidR="00775ABB">
        <w:t>parametrs</w:t>
      </w:r>
      <w:proofErr w:type="spellEnd"/>
      <w:r w:rsidR="00D50B50">
        <w:t xml:space="preserve"> at once –:</w:t>
      </w:r>
    </w:p>
    <w:p w:rsidR="00385D28" w:rsidRDefault="00385D28" w:rsidP="00385D28">
      <w:pPr>
        <w:pStyle w:val="ListParagraph"/>
      </w:pPr>
      <w:proofErr w:type="spellStart"/>
      <w:proofErr w:type="gramStart"/>
      <w:r>
        <w:t>MakeValueArray</w:t>
      </w:r>
      <w:proofErr w:type="spellEnd"/>
      <w:r>
        <w:t>(</w:t>
      </w:r>
      <w:proofErr w:type="spellStart"/>
      <w:proofErr w:type="gramEnd"/>
      <w:r w:rsidRPr="009F6C01">
        <w:t>layerObject</w:t>
      </w:r>
      <w:proofErr w:type="spellEnd"/>
      <w:r w:rsidRPr="009F6C01">
        <w:t>, “</w:t>
      </w:r>
      <w:proofErr w:type="spellStart"/>
      <w:r w:rsidRPr="009F6C01">
        <w:t>second_param_value</w:t>
      </w:r>
      <w:proofErr w:type="spellEnd"/>
      <w:r w:rsidRPr="009F6C01">
        <w:t xml:space="preserve">”, </w:t>
      </w:r>
      <w:r w:rsidR="00775ABB">
        <w:t>33</w:t>
      </w:r>
      <w:r>
        <w:t>)</w:t>
      </w:r>
    </w:p>
    <w:p w:rsidR="00385D28" w:rsidRDefault="00385D28" w:rsidP="00A96BA5">
      <w:r>
        <w:t>Note:</w:t>
      </w:r>
    </w:p>
    <w:p w:rsidR="00385D28" w:rsidRDefault="00385D28" w:rsidP="00385D28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 var1,  val2)   </w:t>
      </w:r>
      <w:r>
        <w:sym w:font="Wingdings" w:char="F0E0"/>
      </w:r>
      <w:r>
        <w:t xml:space="preserve"> returns 2 </w:t>
      </w:r>
      <w:r w:rsidR="00775ABB">
        <w:t>parameters</w:t>
      </w:r>
    </w:p>
    <w:p w:rsidR="002F45B7" w:rsidRDefault="00385D28" w:rsidP="00A96BA5">
      <w:pPr>
        <w:pStyle w:val="ListParagraph"/>
        <w:numPr>
          <w:ilvl w:val="0"/>
          <w:numId w:val="5"/>
        </w:numPr>
      </w:pPr>
      <w:proofErr w:type="spellStart"/>
      <w:r>
        <w:t>MakeValueArray</w:t>
      </w:r>
      <w:proofErr w:type="spellEnd"/>
      <w:r>
        <w:t xml:space="preserve">(var1, list(a, b, c) </w:t>
      </w:r>
      <w:r>
        <w:sym w:font="Wingdings" w:char="F0E0"/>
      </w:r>
      <w:r w:rsidR="008756FF">
        <w:t xml:space="preserve"> also returns 2</w:t>
      </w:r>
      <w:r>
        <w:t xml:space="preserve"> </w:t>
      </w:r>
      <w:r w:rsidR="00775ABB">
        <w:t xml:space="preserve">parameters where second is </w:t>
      </w:r>
      <w:proofErr w:type="spellStart"/>
      <w:r w:rsidR="00775ABB">
        <w:t>MultiValue</w:t>
      </w:r>
      <w:proofErr w:type="spellEnd"/>
      <w:r w:rsidR="00775ABB">
        <w:t xml:space="preserve"> of </w:t>
      </w:r>
      <w:proofErr w:type="spellStart"/>
      <w:r w:rsidR="00775ABB">
        <w:t>a,b,c</w:t>
      </w:r>
      <w:proofErr w:type="spellEnd"/>
    </w:p>
    <w:p w:rsidR="009F6C01" w:rsidRDefault="009F6C01" w:rsidP="009F6C01"/>
    <w:p w:rsidR="001A1CC8" w:rsidRDefault="001A1CC8" w:rsidP="001A1CC8">
      <w:pPr>
        <w:pStyle w:val="Heading3"/>
      </w:pPr>
      <w:bookmarkStart w:id="4" w:name="_Toc417241142"/>
      <w:r>
        <w:t>Supported native .NET types</w:t>
      </w:r>
      <w:bookmarkEnd w:id="4"/>
    </w:p>
    <w:p w:rsidR="001A1CC8" w:rsidRPr="001A1CC8" w:rsidRDefault="001A1CC8" w:rsidP="001A1CC8"/>
    <w:p w:rsidR="001A1CC8" w:rsidRDefault="001A1CC8" w:rsidP="00A96BA5">
      <w:r>
        <w:t>The following .Net types will be supported in ArcGIS Pro 1.1:</w:t>
      </w:r>
    </w:p>
    <w:p w:rsidR="001A1CC8" w:rsidRDefault="001A1CC8" w:rsidP="002D4728">
      <w:pPr>
        <w:spacing w:after="0"/>
      </w:pPr>
      <w:r>
        <w:tab/>
        <w:t>Scalars – long, short, float, double, date, string</w:t>
      </w:r>
    </w:p>
    <w:p w:rsidR="001A1CC8" w:rsidRDefault="001A1CC8" w:rsidP="002D4728">
      <w:pPr>
        <w:spacing w:after="0"/>
      </w:pPr>
      <w:r>
        <w:tab/>
      </w:r>
      <w:proofErr w:type="spellStart"/>
      <w:r>
        <w:t>ArcGIS.Core.Geometry.SpatialReference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ArcGIS.Core.Geometry</w:t>
      </w:r>
      <w:proofErr w:type="spellEnd"/>
      <w:r>
        <w:t xml:space="preserve"> – point, line, polygon</w:t>
      </w:r>
    </w:p>
    <w:p w:rsidR="001A1CC8" w:rsidRDefault="001A1CC8" w:rsidP="002D4728">
      <w:pPr>
        <w:spacing w:after="0"/>
      </w:pPr>
      <w:r>
        <w:tab/>
      </w:r>
      <w:proofErr w:type="spellStart"/>
      <w:r>
        <w:t>ArcGIS.Core.Geometry.Envelope</w:t>
      </w:r>
      <w:proofErr w:type="spellEnd"/>
      <w:r>
        <w:t xml:space="preserve"> – supporting GP types of </w:t>
      </w:r>
      <w:proofErr w:type="spellStart"/>
      <w:r>
        <w:t>GPExtentEnv</w:t>
      </w:r>
      <w:proofErr w:type="spellEnd"/>
      <w:r>
        <w:t xml:space="preserve">, </w:t>
      </w:r>
      <w:proofErr w:type="spellStart"/>
      <w:r>
        <w:t>GPExtent</w:t>
      </w:r>
      <w:proofErr w:type="spellEnd"/>
      <w:r>
        <w:t xml:space="preserve">, </w:t>
      </w:r>
      <w:proofErr w:type="spellStart"/>
      <w:r>
        <w:t>GPEneveope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ArcGIS.Core.Data.Field</w:t>
      </w:r>
      <w:proofErr w:type="spellEnd"/>
      <w:r>
        <w:t xml:space="preserve"> – supporting </w:t>
      </w:r>
      <w:proofErr w:type="spellStart"/>
      <w:r>
        <w:t>GPField</w:t>
      </w:r>
      <w:proofErr w:type="spellEnd"/>
      <w:r>
        <w:t xml:space="preserve"> and list of fields for </w:t>
      </w:r>
      <w:proofErr w:type="spellStart"/>
      <w:r>
        <w:t>GPFieldList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ArcGIS.Desktop.Mapping</w:t>
      </w:r>
      <w:proofErr w:type="spellEnd"/>
      <w:r>
        <w:t xml:space="preserve"> – Layer, </w:t>
      </w:r>
      <w:proofErr w:type="spellStart"/>
      <w:r>
        <w:t>StandaloneTable</w:t>
      </w:r>
      <w:proofErr w:type="spellEnd"/>
    </w:p>
    <w:p w:rsidR="001A1CC8" w:rsidRDefault="001A1CC8" w:rsidP="002D4728">
      <w:pPr>
        <w:spacing w:after="0"/>
      </w:pPr>
      <w:r>
        <w:tab/>
      </w:r>
      <w:proofErr w:type="spellStart"/>
      <w:r>
        <w:t>ArcGIS.Core.Data.Dataset</w:t>
      </w:r>
      <w:proofErr w:type="spellEnd"/>
      <w:r>
        <w:t xml:space="preserve"> – Table, </w:t>
      </w:r>
      <w:proofErr w:type="spellStart"/>
      <w:r>
        <w:t>FeatureClass</w:t>
      </w:r>
      <w:proofErr w:type="spellEnd"/>
    </w:p>
    <w:p w:rsidR="001A1CC8" w:rsidRDefault="001A1CC8" w:rsidP="00A96BA5"/>
    <w:p w:rsidR="009F6C01" w:rsidRDefault="009F6C01" w:rsidP="00A96BA5"/>
    <w:p w:rsidR="009F6C01" w:rsidRDefault="009F6C01" w:rsidP="00A96BA5"/>
    <w:p w:rsidR="009F6C01" w:rsidRDefault="009F6C01" w:rsidP="00A96BA5"/>
    <w:p w:rsidR="009F6C01" w:rsidRDefault="009F6C01" w:rsidP="00A96BA5"/>
    <w:p w:rsidR="00514439" w:rsidRPr="00514439" w:rsidRDefault="00514439" w:rsidP="00E5221C">
      <w:pPr>
        <w:pStyle w:val="Heading2"/>
      </w:pPr>
      <w:bookmarkStart w:id="5" w:name="_Toc417241143"/>
      <w:r w:rsidRPr="00514439">
        <w:lastRenderedPageBreak/>
        <w:t>How to execute a tool – details</w:t>
      </w:r>
      <w:bookmarkEnd w:id="5"/>
    </w:p>
    <w:p w:rsidR="00C40AE5" w:rsidRDefault="00C40AE5"/>
    <w:p w:rsidR="00C40AE5" w:rsidRDefault="00C40AE5">
      <w:r>
        <w:t xml:space="preserve">Until now only the required parameters of </w:t>
      </w:r>
      <w:proofErr w:type="spellStart"/>
      <w:r>
        <w:t>ExecuteToolAsync</w:t>
      </w:r>
      <w:proofErr w:type="spellEnd"/>
      <w:r>
        <w:t xml:space="preserve"> is discussed. However, there are 4 optional parameters. The full syntax is:</w:t>
      </w:r>
    </w:p>
    <w:p w:rsidR="005573CB" w:rsidRDefault="005573CB">
      <w:r>
        <w:t>(</w:t>
      </w:r>
      <w:proofErr w:type="spellStart"/>
      <w:proofErr w:type="gramStart"/>
      <w:r>
        <w:t>awaitable</w:t>
      </w:r>
      <w:proofErr w:type="spellEnd"/>
      <w:proofErr w:type="gramEnd"/>
      <w:r>
        <w:t>) Task&lt;</w:t>
      </w:r>
      <w:proofErr w:type="spellStart"/>
      <w:r>
        <w:t>IGPResult</w:t>
      </w:r>
      <w:proofErr w:type="spellEnd"/>
      <w:r>
        <w:t xml:space="preserve">&gt; </w:t>
      </w:r>
      <w:proofErr w:type="spellStart"/>
      <w:proofErr w:type="gramStart"/>
      <w:r>
        <w:t>Geoprocessing.ExecuteToolAsync</w:t>
      </w:r>
      <w:proofErr w:type="spellEnd"/>
      <w:r>
        <w:t>(</w:t>
      </w:r>
      <w:proofErr w:type="gramEnd"/>
      <w:r>
        <w:t xml:space="preserve"> string  toolpath,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IEnumerable</w:t>
      </w:r>
      <w:proofErr w:type="spellEnd"/>
      <w:r>
        <w:t>&lt;string</w:t>
      </w:r>
      <w:proofErr w:type="gramStart"/>
      <w:r>
        <w:t>&gt;  parameters</w:t>
      </w:r>
      <w:proofErr w:type="gramEnd"/>
      <w:r>
        <w:t>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>[</w:t>
      </w:r>
      <w:r w:rsidR="009F6C01">
        <w:t xml:space="preserve"> </w:t>
      </w:r>
      <w:proofErr w:type="spellStart"/>
      <w:r>
        <w:t>IEnumerable</w:t>
      </w:r>
      <w:proofErr w:type="spellEnd"/>
      <w:proofErr w:type="gramEnd"/>
      <w:r w:rsidRPr="009F6C01">
        <w:t>&lt;</w:t>
      </w:r>
      <w:proofErr w:type="spellStart"/>
      <w:r w:rsidR="00775ABB" w:rsidRPr="009F6C01">
        <w:t>KeyVluePair</w:t>
      </w:r>
      <w:proofErr w:type="spellEnd"/>
      <w:r w:rsidR="00775ABB" w:rsidRPr="009F6C01">
        <w:t>&lt;string, string&gt;</w:t>
      </w:r>
      <w:r w:rsidRPr="009F6C01">
        <w:t xml:space="preserve">&gt; </w:t>
      </w:r>
      <w:proofErr w:type="spellStart"/>
      <w:r w:rsidR="009F6C01">
        <w:t>envs</w:t>
      </w:r>
      <w:proofErr w:type="spellEnd"/>
      <w:r>
        <w:t xml:space="preserve"> = null ],</w:t>
      </w:r>
      <w:r w:rsidR="009F6C01">
        <w:t xml:space="preserve"> 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CancellationToken</w:t>
      </w:r>
      <w:proofErr w:type="spellEnd"/>
      <w:proofErr w:type="gramEnd"/>
      <w:r>
        <w:t xml:space="preserve">? </w:t>
      </w:r>
      <w:proofErr w:type="spellStart"/>
      <w:r>
        <w:t>cancelToken</w:t>
      </w:r>
      <w:proofErr w:type="spellEnd"/>
      <w:r>
        <w:t xml:space="preserve">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[ </w:t>
      </w:r>
      <w:proofErr w:type="spellStart"/>
      <w:r>
        <w:t>GPToolExecuteEventHandler</w:t>
      </w:r>
      <w:proofErr w:type="spellEnd"/>
      <w:proofErr w:type="gramEnd"/>
      <w:r>
        <w:t xml:space="preserve"> callback = null ],</w:t>
      </w:r>
    </w:p>
    <w:p w:rsidR="005573CB" w:rsidRDefault="005573CB">
      <w:r>
        <w:tab/>
      </w:r>
      <w:r>
        <w:tab/>
      </w:r>
      <w:r>
        <w:tab/>
      </w:r>
      <w:r>
        <w:tab/>
      </w:r>
      <w:r>
        <w:tab/>
        <w:t xml:space="preserve">[ </w:t>
      </w:r>
      <w:proofErr w:type="spellStart"/>
      <w:r>
        <w:t>GPExecuteToolFlags</w:t>
      </w:r>
      <w:proofErr w:type="spellEnd"/>
      <w:r>
        <w:t xml:space="preserve"> flags = </w:t>
      </w:r>
      <w:proofErr w:type="spellStart"/>
      <w:r>
        <w:t>GPExecuteToolFlags.Default</w:t>
      </w:r>
      <w:proofErr w:type="spellEnd"/>
      <w:r>
        <w:t xml:space="preserve"> ])</w:t>
      </w:r>
      <w:bookmarkStart w:id="6" w:name="_GoBack"/>
      <w:bookmarkEnd w:id="6"/>
    </w:p>
    <w:p w:rsidR="005573CB" w:rsidRDefault="005573CB">
      <w:r>
        <w:t>Usage:</w:t>
      </w:r>
    </w:p>
    <w:p w:rsidR="005573CB" w:rsidRDefault="005573CB">
      <w:r>
        <w:tab/>
      </w:r>
      <w:proofErr w:type="spellStart"/>
      <w:proofErr w:type="gramStart"/>
      <w:r w:rsidR="00775ABB">
        <w:t>var</w:t>
      </w:r>
      <w:proofErr w:type="spellEnd"/>
      <w:r w:rsidR="00775ABB">
        <w:t xml:space="preserve"> </w:t>
      </w:r>
      <w:r>
        <w:t xml:space="preserve"> x</w:t>
      </w:r>
      <w:proofErr w:type="gramEnd"/>
      <w:r>
        <w:t xml:space="preserve"> =  await  </w:t>
      </w:r>
      <w:proofErr w:type="spellStart"/>
      <w:r>
        <w:t>ExecuteToolAsync</w:t>
      </w:r>
      <w:proofErr w:type="spellEnd"/>
      <w:r>
        <w:t>( …………. );</w:t>
      </w:r>
    </w:p>
    <w:p w:rsidR="00C40AE5" w:rsidRDefault="00C40AE5"/>
    <w:p w:rsidR="00995952" w:rsidRPr="003E6CA2" w:rsidRDefault="00995952" w:rsidP="003E6CA2">
      <w:pPr>
        <w:pStyle w:val="Heading2"/>
      </w:pPr>
      <w:bookmarkStart w:id="7" w:name="_Toc417241144"/>
      <w:r w:rsidRPr="003E6CA2">
        <w:t xml:space="preserve">Setting </w:t>
      </w:r>
      <w:proofErr w:type="spellStart"/>
      <w:r w:rsidRPr="003E6CA2">
        <w:t>geoprocessing</w:t>
      </w:r>
      <w:proofErr w:type="spellEnd"/>
      <w:r w:rsidRPr="003E6CA2">
        <w:t xml:space="preserve"> environment</w:t>
      </w:r>
      <w:bookmarkEnd w:id="7"/>
    </w:p>
    <w:p w:rsidR="00995952" w:rsidRDefault="00995952" w:rsidP="00995952"/>
    <w:p w:rsidR="00995952" w:rsidRDefault="00995952" w:rsidP="00995952">
      <w:r>
        <w:t xml:space="preserve">The third parameter of </w:t>
      </w:r>
      <w:proofErr w:type="spellStart"/>
      <w:r>
        <w:t>ExecuteToolAsync</w:t>
      </w:r>
      <w:proofErr w:type="spellEnd"/>
      <w:r w:rsidR="0022795B">
        <w:t xml:space="preserve"> method is an </w:t>
      </w:r>
      <w:proofErr w:type="spellStart"/>
      <w:r w:rsidR="0022795B">
        <w:t>IEnumerable</w:t>
      </w:r>
      <w:proofErr w:type="spellEnd"/>
      <w:r w:rsidR="0022795B">
        <w:t>.</w:t>
      </w:r>
      <w:r>
        <w:t xml:space="preserve"> You pass pair(s) of values as argument to set the environment:</w:t>
      </w:r>
      <w:r w:rsidR="00775ABB">
        <w:t xml:space="preserve"> Use helper function </w:t>
      </w:r>
      <w:proofErr w:type="spellStart"/>
      <w:proofErr w:type="gramStart"/>
      <w:r w:rsidR="00775ABB">
        <w:t>MakeEnviromentArray</w:t>
      </w:r>
      <w:proofErr w:type="spellEnd"/>
      <w:r w:rsidR="00775ABB">
        <w:t>()</w:t>
      </w:r>
      <w:proofErr w:type="gramEnd"/>
    </w:p>
    <w:p w:rsidR="00995952" w:rsidRDefault="00995952" w:rsidP="00995952">
      <w:r>
        <w:t>This parameter is optional – if you don’t want to set any specific environment, just pass null.</w:t>
      </w:r>
    </w:p>
    <w:p w:rsidR="00995952" w:rsidRDefault="00AD153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envs</w:t>
      </w:r>
      <w:proofErr w:type="spellEnd"/>
      <w:r>
        <w:t xml:space="preserve"> = </w:t>
      </w:r>
      <w:proofErr w:type="spellStart"/>
      <w:r>
        <w:t>MakeEnviromentArray</w:t>
      </w:r>
      <w:proofErr w:type="spellEnd"/>
      <w:r>
        <w:t>(</w:t>
      </w:r>
      <w:r>
        <w:rPr>
          <w:rFonts w:ascii="Envy Code R VS" w:hAnsi="Envy Code R VS" w:cs="Envy Code R VS"/>
          <w:color w:val="000000"/>
          <w:sz w:val="19"/>
          <w:szCs w:val="19"/>
          <w:highlight w:val="white"/>
        </w:rPr>
        <w:t>workspace</w:t>
      </w:r>
      <w:r>
        <w:rPr>
          <w:rFonts w:ascii="Envy Code R VS" w:hAnsi="Envy Code R VS" w:cs="Envy Code R V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@"c:\temp"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Envy Code R VS" w:hAnsi="Envy Code R VS" w:cs="Envy Code R VS"/>
          <w:color w:val="000000"/>
          <w:sz w:val="19"/>
          <w:szCs w:val="19"/>
          <w:highlight w:val="white"/>
        </w:rPr>
        <w:t>extent</w:t>
      </w:r>
      <w:r>
        <w:rPr>
          <w:rFonts w:ascii="Envy Code R VS" w:hAnsi="Envy Code R VS" w:cs="Envy Code R V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0 12 14"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0820C5" w:rsidRDefault="00AD1533">
      <w:proofErr w:type="gramStart"/>
      <w:r>
        <w:t xml:space="preserve">await  </w:t>
      </w:r>
      <w:proofErr w:type="spellStart"/>
      <w:r>
        <w:t>ExecuteToolAsync</w:t>
      </w:r>
      <w:proofErr w:type="spellEnd"/>
      <w:proofErr w:type="gramEnd"/>
      <w:r>
        <w:t>(“</w:t>
      </w:r>
      <w:proofErr w:type="spellStart"/>
      <w:r>
        <w:t>toolbox.tool</w:t>
      </w:r>
      <w:proofErr w:type="spellEnd"/>
      <w:r>
        <w:t xml:space="preserve">”,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envs</w:t>
      </w:r>
      <w:proofErr w:type="spellEnd"/>
      <w:r>
        <w:t>);</w:t>
      </w:r>
    </w:p>
    <w:p w:rsidR="000820C5" w:rsidRDefault="000820C5"/>
    <w:p w:rsidR="00B231B8" w:rsidRDefault="00B231B8">
      <w:bookmarkStart w:id="8" w:name="_Toc417241145"/>
      <w:r w:rsidRPr="00B231B8">
        <w:rPr>
          <w:rStyle w:val="Heading3Char"/>
        </w:rPr>
        <w:t>Example 1</w:t>
      </w:r>
      <w:bookmarkEnd w:id="8"/>
      <w:r>
        <w:t>: Simplest tool execution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ExecuteGetCount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533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Geoprocessing.ExecuteTool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0F7FC6">
        <w:rPr>
          <w:rFonts w:ascii="Consolas" w:hAnsi="Consolas" w:cs="Consolas"/>
          <w:color w:val="A31515"/>
          <w:sz w:val="19"/>
          <w:szCs w:val="19"/>
          <w:highlight w:val="white"/>
        </w:rPr>
        <w:t>management.GetCount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D153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D153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   </w:t>
      </w:r>
      <w:r w:rsidR="00AD153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@"C:\data\Hydrants.shp"}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AD1533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gp_result.Values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"Result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AD1533">
        <w:rPr>
          <w:rFonts w:ascii="Envy Code R VS" w:hAnsi="Envy Code R VS" w:cs="Envy Code R VS"/>
          <w:color w:val="000000"/>
          <w:sz w:val="19"/>
          <w:szCs w:val="19"/>
          <w:highlight w:val="white"/>
        </w:rPr>
        <w:t>ShowMessageBox</w:t>
      </w:r>
      <w:proofErr w:type="spellEnd"/>
      <w:r w:rsidR="00AD1533">
        <w:rPr>
          <w:rFonts w:ascii="Envy Code R VS" w:hAnsi="Envy Code R VS" w:cs="Envy Code R V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>gp_result.Messages</w:t>
      </w:r>
      <w:proofErr w:type="spellEnd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“GP Messages”, </w:t>
      </w:r>
      <w:proofErr w:type="spellStart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>gp_result.IsFailed</w:t>
      </w:r>
      <w:proofErr w:type="spellEnd"/>
      <w:r w:rsidR="00AD1533">
        <w:rPr>
          <w:rFonts w:ascii="Envy Code R VS" w:hAnsi="Envy Code R VS" w:cs="Envy Code R VS"/>
          <w:color w:val="2B91AF"/>
          <w:sz w:val="19"/>
          <w:szCs w:val="19"/>
          <w:highlight w:val="white"/>
        </w:rPr>
        <w:t xml:space="preserve">  ? </w:t>
      </w:r>
      <w:proofErr w:type="spellStart"/>
      <w:proofErr w:type="gramStart"/>
      <w:r w:rsidR="00AD1533">
        <w:rPr>
          <w:rFonts w:ascii="Envy Code R VS" w:hAnsi="Envy Code R VS" w:cs="Envy Code R VS"/>
          <w:color w:val="2B91AF"/>
          <w:sz w:val="19"/>
          <w:szCs w:val="19"/>
          <w:highlight w:val="white"/>
        </w:rPr>
        <w:t>GPMessageBoxStyle.</w:t>
      </w:r>
      <w:r w:rsidR="00AD1533">
        <w:rPr>
          <w:rFonts w:ascii="Envy Code R VS" w:hAnsi="Envy Code R VS" w:cs="Envy Code R VS"/>
          <w:color w:val="000000"/>
          <w:sz w:val="19"/>
          <w:szCs w:val="19"/>
          <w:highlight w:val="white"/>
        </w:rPr>
        <w:t>Error</w:t>
      </w:r>
      <w:proofErr w:type="spellEnd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D1533">
        <w:rPr>
          <w:rFonts w:ascii="Envy Code R VS" w:hAnsi="Envy Code R VS" w:cs="Envy Code R VS"/>
          <w:color w:val="2B91AF"/>
          <w:sz w:val="19"/>
          <w:szCs w:val="19"/>
          <w:highlight w:val="white"/>
        </w:rPr>
        <w:t>GPMessageBoxStyle.Default</w:t>
      </w:r>
      <w:proofErr w:type="spellEnd"/>
      <w:r w:rsidR="00AD1533">
        <w:rPr>
          <w:rFonts w:ascii="Envy Code R VS" w:hAnsi="Envy Code R VS" w:cs="Envy Code R VS"/>
          <w:color w:val="2B91AF"/>
          <w:sz w:val="19"/>
          <w:szCs w:val="19"/>
          <w:highlight w:val="white"/>
        </w:rPr>
        <w:t>)</w:t>
      </w:r>
    </w:p>
    <w:p w:rsidR="00B231B8" w:rsidRDefault="00B231B8" w:rsidP="00B2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D1533"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31B8" w:rsidRDefault="00B231B8" w:rsidP="00B231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2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nvy Code R VS">
    <w:altName w:val="Courier New"/>
    <w:charset w:val="00"/>
    <w:family w:val="modern"/>
    <w:pitch w:val="fixed"/>
    <w:sig w:usb0="00000001" w:usb1="400078F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8FD"/>
    <w:multiLevelType w:val="hybridMultilevel"/>
    <w:tmpl w:val="6DD0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356FF"/>
    <w:multiLevelType w:val="hybridMultilevel"/>
    <w:tmpl w:val="7F3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F55CA"/>
    <w:multiLevelType w:val="hybridMultilevel"/>
    <w:tmpl w:val="4748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56D66"/>
    <w:multiLevelType w:val="hybridMultilevel"/>
    <w:tmpl w:val="9E90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E006D1"/>
    <w:multiLevelType w:val="hybridMultilevel"/>
    <w:tmpl w:val="1F80E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C792A"/>
    <w:multiLevelType w:val="hybridMultilevel"/>
    <w:tmpl w:val="D23CCBC6"/>
    <w:lvl w:ilvl="0" w:tplc="BF7ED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C"/>
    <w:rsid w:val="00002D4F"/>
    <w:rsid w:val="000820C5"/>
    <w:rsid w:val="000C211A"/>
    <w:rsid w:val="000F7FC6"/>
    <w:rsid w:val="00155A65"/>
    <w:rsid w:val="00175D1D"/>
    <w:rsid w:val="001A1CC8"/>
    <w:rsid w:val="001B4AE9"/>
    <w:rsid w:val="001E12B4"/>
    <w:rsid w:val="001F6CA0"/>
    <w:rsid w:val="00211105"/>
    <w:rsid w:val="0022795B"/>
    <w:rsid w:val="00227D7B"/>
    <w:rsid w:val="0024766A"/>
    <w:rsid w:val="00256942"/>
    <w:rsid w:val="002D0AEB"/>
    <w:rsid w:val="002D4728"/>
    <w:rsid w:val="002F45B7"/>
    <w:rsid w:val="00322291"/>
    <w:rsid w:val="003519FA"/>
    <w:rsid w:val="003523A4"/>
    <w:rsid w:val="00367FE4"/>
    <w:rsid w:val="00385D28"/>
    <w:rsid w:val="003E6CA2"/>
    <w:rsid w:val="003F7876"/>
    <w:rsid w:val="00432743"/>
    <w:rsid w:val="004441FF"/>
    <w:rsid w:val="004776D9"/>
    <w:rsid w:val="004A71C8"/>
    <w:rsid w:val="004B2CF2"/>
    <w:rsid w:val="004F1AC3"/>
    <w:rsid w:val="004F3D0F"/>
    <w:rsid w:val="00514439"/>
    <w:rsid w:val="00514999"/>
    <w:rsid w:val="005460AD"/>
    <w:rsid w:val="005573CB"/>
    <w:rsid w:val="00575CFC"/>
    <w:rsid w:val="005D00A0"/>
    <w:rsid w:val="005D542B"/>
    <w:rsid w:val="005E757F"/>
    <w:rsid w:val="006C24C4"/>
    <w:rsid w:val="006F49F1"/>
    <w:rsid w:val="00754464"/>
    <w:rsid w:val="00775ABB"/>
    <w:rsid w:val="00783C14"/>
    <w:rsid w:val="007E4A04"/>
    <w:rsid w:val="00816EBB"/>
    <w:rsid w:val="008548CC"/>
    <w:rsid w:val="008756FF"/>
    <w:rsid w:val="00875A06"/>
    <w:rsid w:val="00895B9B"/>
    <w:rsid w:val="008C1205"/>
    <w:rsid w:val="008D2A0C"/>
    <w:rsid w:val="008D2C9D"/>
    <w:rsid w:val="00944FC2"/>
    <w:rsid w:val="009952D7"/>
    <w:rsid w:val="00995952"/>
    <w:rsid w:val="009F6C01"/>
    <w:rsid w:val="00A46D9F"/>
    <w:rsid w:val="00A551A9"/>
    <w:rsid w:val="00A96BA5"/>
    <w:rsid w:val="00AD1533"/>
    <w:rsid w:val="00B231B8"/>
    <w:rsid w:val="00BC6F22"/>
    <w:rsid w:val="00BD72EF"/>
    <w:rsid w:val="00BF440F"/>
    <w:rsid w:val="00C02147"/>
    <w:rsid w:val="00C40AE5"/>
    <w:rsid w:val="00D25613"/>
    <w:rsid w:val="00D50B50"/>
    <w:rsid w:val="00DA15C0"/>
    <w:rsid w:val="00DA60F7"/>
    <w:rsid w:val="00DA6C9E"/>
    <w:rsid w:val="00DC3B76"/>
    <w:rsid w:val="00E21141"/>
    <w:rsid w:val="00E21C75"/>
    <w:rsid w:val="00E30467"/>
    <w:rsid w:val="00E46057"/>
    <w:rsid w:val="00E5221C"/>
    <w:rsid w:val="00E70FC3"/>
    <w:rsid w:val="00F3261C"/>
    <w:rsid w:val="00F62870"/>
    <w:rsid w:val="00F85BEF"/>
    <w:rsid w:val="00F94F5B"/>
    <w:rsid w:val="00FA2D6C"/>
    <w:rsid w:val="00F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32E67-6CCB-4262-94DB-CEA2E06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561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2561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25613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24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2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D7B"/>
    <w:pPr>
      <w:ind w:left="720"/>
      <w:contextualSpacing/>
    </w:pPr>
  </w:style>
  <w:style w:type="character" w:customStyle="1" w:styleId="input">
    <w:name w:val="input"/>
    <w:basedOn w:val="DefaultParagraphFont"/>
    <w:rsid w:val="00DC3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8467-761C-42D2-9A0F-D2D8CA01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2</cp:revision>
  <dcterms:created xsi:type="dcterms:W3CDTF">2015-04-22T16:43:00Z</dcterms:created>
  <dcterms:modified xsi:type="dcterms:W3CDTF">2015-04-22T16:43:00Z</dcterms:modified>
</cp:coreProperties>
</file>