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Veterans Backbone – Safeguarding Principles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is not a department, a form, or a box-ticking exercise.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responsibility shared by everyone connected to Veterans Backbone.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sets out the safeguarding principles that guide decision-making, behaviour, culture, and organisational accountability across all Veterans Backbone activities, services, sites, and partnerships.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safeguarding concerns exist, safety takes precedence over convenience, preference, funding, reputation, or operational efficiency.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1 – Safety First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safety and wellbeing of individuals always takes priority.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there is a conflict between safeguarding and any other consideration, safeguarding prevails.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outcome, programme, activity, relationship, or organisational objective is more important than protecting people from harm.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2 – Dignity &amp; Respect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treated as human beings, not problems to be managed.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is carried out in a way that preserves dignity, autonomy, privacy, and respect wherever possible.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should never remove a person's humanity.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3 – Adults Remain Adults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Veterans Backbone recognises that adults have the right to make informed decisions, including decisions others may disagree with.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Vulnerability does not remove autonomy.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seeks to protect people from harm, not control their lives.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4 – Human Judgement Matters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decisions are always human-led.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Systems, technology, AI tools, databases, assessments, and frameworks may support decision-making but never replace human judgement.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cannot be delegated to software.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5 – Speak Up Early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Concerns should be raised as early as possible.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are encouraged to report concerns, ask questions, challenge unsafe practices, and seek guidance without fear of blame or retaliation.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not considered a safeguarding strategy.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6 – Shared Responsibility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belongs to everyone.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member of staff, volunteer, trustee, contractor, resident, participant, and partner has a responsibility to contribute to a safe environment.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individual is expected to carry safeguarding responsibility alone.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7 – Proportionate Response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are based on risk, evidence, context, and professional judgement.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Veterans Backbone avoids both overreaction and inaction.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should be proportionate, reasonable, and focused on reducing harm.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8 – Learning Before Blame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safeguarding incidents occur, the priority is learning, improvement, and prevention.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Accountability remains important, but organisational learning is essential.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should be examined honestly to strengthen future safeguarding practice.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Core Principle 9 – Safeguarding Overrides Organisational Convenience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concerns are never ignored because they are difficult, uncomfortable, inconvenient, expensive, or politically sensitive.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Protecting people takes precedence over organisational comfort.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Relationship to Other Documents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operates alongside: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Safeguarding Policy (Adults)</w:t>
        <w:br w:type="textWrapping"/>
        <w:t xml:space="preserve">• Incident &amp; Concern Reporting Procedures</w:t>
        <w:br w:type="textWrapping"/>
        <w:t xml:space="preserve">• Boundaries &amp; Professional Conduct Policy</w:t>
        <w:br w:type="textWrapping"/>
        <w:t xml:space="preserve">• Complaints &amp; Concerns Policy</w:t>
        <w:br w:type="textWrapping"/>
        <w:t xml:space="preserve">• Whistleblowing Policy</w:t>
        <w:br w:type="textWrapping"/>
        <w:t xml:space="preserve">• Governance &amp; Decision-Making Framework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principles.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policies and procedures explain how those principles are applied in practice.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Final Statement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Safeguarding is not something Veterans Backbone does.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 of who Veterans Backbone is.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decision, relationship, activity, and service operates on the understanding that safety, dignity, and wellbeing matter.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