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FE326" w14:textId="4C4D9BB7" w:rsidR="000A74D6" w:rsidRDefault="000A74D6" w:rsidP="000A74D6">
      <w:pPr>
        <w:rPr>
          <w:b/>
          <w:bCs/>
        </w:rPr>
      </w:pPr>
      <w:r>
        <w:rPr>
          <w:b/>
          <w:bCs/>
        </w:rPr>
        <w:t xml:space="preserve">Student </w:t>
      </w:r>
      <w:r>
        <w:rPr>
          <w:b/>
          <w:bCs/>
        </w:rPr>
        <w:t>2</w:t>
      </w:r>
      <w:r>
        <w:rPr>
          <w:b/>
          <w:bCs/>
        </w:rPr>
        <w:t xml:space="preserve"> Question.</w:t>
      </w:r>
    </w:p>
    <w:p w14:paraId="7D08C694" w14:textId="77777777" w:rsidR="000A74D6" w:rsidRPr="000A74D6" w:rsidRDefault="000A74D6" w:rsidP="000A74D6">
      <w:pPr>
        <w:rPr>
          <w:b/>
          <w:bCs/>
        </w:rPr>
      </w:pPr>
      <w:r w:rsidRPr="000A74D6">
        <w:rPr>
          <w:b/>
          <w:bCs/>
        </w:rPr>
        <w:t>Should IT professionals prioritize user safety over company interests when fixing serious security flaws?</w:t>
      </w:r>
    </w:p>
    <w:p w14:paraId="54B70A6F" w14:textId="77777777" w:rsidR="000A74D6" w:rsidRPr="000A74D6" w:rsidRDefault="000A74D6" w:rsidP="000A74D6">
      <w:r w:rsidRPr="000A74D6">
        <w:t xml:space="preserve">An IT engineer discovers a </w:t>
      </w:r>
      <w:r w:rsidRPr="000A74D6">
        <w:rPr>
          <w:b/>
          <w:bCs/>
        </w:rPr>
        <w:t>serious security vulnerability</w:t>
      </w:r>
      <w:r w:rsidRPr="000A74D6">
        <w:t xml:space="preserve"> in a company’s production system, but fixing it immediately could cause major downtime, financial loss, or service disruption for users. Management suggests delaying the fix and keeping the issue confidential until a “</w:t>
      </w:r>
      <w:r w:rsidRPr="000A74D6">
        <w:rPr>
          <w:b/>
          <w:bCs/>
        </w:rPr>
        <w:t>better time</w:t>
      </w:r>
      <w:r w:rsidRPr="000A74D6">
        <w:t>”. Should IT professionals prioritize transparency and user safety even if it harms the business, or is it acceptable to delay disclosure to protect system stability and company interests? At what point does professional responsibility outweigh corporate loyalty?</w:t>
      </w:r>
    </w:p>
    <w:p w14:paraId="0D18291B" w14:textId="77777777" w:rsidR="000A74D6" w:rsidRPr="000A74D6" w:rsidRDefault="000A74D6" w:rsidP="000A74D6">
      <w:r w:rsidRPr="000A74D6">
        <w:t xml:space="preserve">This scenario raises broader questions about ethics in IT: when does protecting users take precedence over business goals? How much risk to the company is acceptable </w:t>
      </w:r>
      <w:proofErr w:type="gramStart"/>
      <w:r w:rsidRPr="000A74D6">
        <w:t>in order to</w:t>
      </w:r>
      <w:proofErr w:type="gramEnd"/>
      <w:r w:rsidRPr="000A74D6">
        <w:t xml:space="preserve"> prevent potential harm to customers or clients? And who should have the final say when ethical obligations conflict with management decisions - the engineer, the company, or external regulators?</w:t>
      </w:r>
    </w:p>
    <w:p w14:paraId="72EDB00C" w14:textId="77777777" w:rsidR="000A74D6" w:rsidRPr="000A74D6" w:rsidRDefault="000A74D6" w:rsidP="000A74D6">
      <w:pPr>
        <w:rPr>
          <w:b/>
          <w:bCs/>
        </w:rPr>
      </w:pPr>
      <w:r w:rsidRPr="000A74D6">
        <w:rPr>
          <w:b/>
          <w:bCs/>
        </w:rPr>
        <w:t>Sources</w:t>
      </w:r>
    </w:p>
    <w:p w14:paraId="2387A1E4" w14:textId="77777777" w:rsidR="000A74D6" w:rsidRPr="000A74D6" w:rsidRDefault="000A74D6" w:rsidP="000A74D6">
      <w:r w:rsidRPr="000A74D6">
        <w:t xml:space="preserve">View </w:t>
      </w:r>
      <w:proofErr w:type="spellStart"/>
      <w:r w:rsidRPr="000A74D6">
        <w:t>AllSources</w:t>
      </w:r>
      <w:proofErr w:type="spellEnd"/>
      <w:r w:rsidRPr="000A74D6">
        <w:t xml:space="preserve"> for "Should IT professionals p..."</w:t>
      </w:r>
    </w:p>
    <w:p w14:paraId="255A601A" w14:textId="77777777" w:rsidR="000A74D6" w:rsidRPr="000A74D6" w:rsidRDefault="000A74D6" w:rsidP="000A74D6">
      <w:pPr>
        <w:numPr>
          <w:ilvl w:val="0"/>
          <w:numId w:val="1"/>
        </w:numPr>
      </w:pPr>
      <w:r w:rsidRPr="000A74D6">
        <w:t> </w:t>
      </w:r>
    </w:p>
    <w:p w14:paraId="172588BC" w14:textId="77777777" w:rsidR="000A74D6" w:rsidRPr="000A74D6" w:rsidRDefault="000A74D6" w:rsidP="000A74D6">
      <w:pPr>
        <w:rPr>
          <w:b/>
          <w:bCs/>
        </w:rPr>
      </w:pPr>
      <w:r w:rsidRPr="000A74D6">
        <w:rPr>
          <w:b/>
          <w:bCs/>
        </w:rPr>
        <w:t>https://www.acm.org/code-of-ethics</w:t>
      </w:r>
    </w:p>
    <w:p w14:paraId="15FB4C1F" w14:textId="77777777" w:rsidR="000A74D6" w:rsidRPr="000A74D6" w:rsidRDefault="000A74D6" w:rsidP="000A74D6">
      <w:pPr>
        <w:rPr>
          <w:b/>
          <w:bCs/>
        </w:rPr>
      </w:pPr>
      <w:r w:rsidRPr="000A74D6">
        <w:rPr>
          <w:b/>
          <w:bCs/>
        </w:rPr>
        <w:t>Website | </w:t>
      </w:r>
      <w:hyperlink r:id="rId5" w:tgtFrame="_blank" w:history="1">
        <w:r w:rsidRPr="000A74D6">
          <w:rPr>
            <w:rStyle w:val="Hyperlink"/>
            <w:b/>
            <w:bCs/>
          </w:rPr>
          <w:t>https://www.acm.org/code-of-ethics </w:t>
        </w:r>
      </w:hyperlink>
    </w:p>
    <w:p w14:paraId="76F15305" w14:textId="77777777" w:rsidR="00E72E11" w:rsidRDefault="00E72E11"/>
    <w:p w14:paraId="3CF218AC" w14:textId="77777777" w:rsidR="000A74D6" w:rsidRDefault="000A74D6">
      <w:pPr>
        <w:pBdr>
          <w:bottom w:val="single" w:sz="6" w:space="1" w:color="auto"/>
        </w:pBdr>
      </w:pPr>
    </w:p>
    <w:p w14:paraId="22C59DC6" w14:textId="7B1F7176" w:rsidR="000A74D6" w:rsidRDefault="000A74D6">
      <w:r>
        <w:t>My Response</w:t>
      </w:r>
    </w:p>
    <w:p w14:paraId="34E4295C" w14:textId="2F84E0C5" w:rsidR="000A74D6" w:rsidRDefault="000A74D6">
      <w:pPr>
        <w:rPr>
          <w:b/>
          <w:bCs/>
        </w:rPr>
      </w:pPr>
      <w:r w:rsidRPr="000A74D6">
        <w:rPr>
          <w:b/>
          <w:bCs/>
        </w:rPr>
        <w:t>IT professionals must prioritize user safety over corporate interests when vulnerabilities pose imminent harm, but responsible disclosure frameworks provide structured timelines balancing immediate protection with patch development</w:t>
      </w:r>
    </w:p>
    <w:p w14:paraId="08DFC19A" w14:textId="77777777" w:rsidR="000A74D6" w:rsidRDefault="000A74D6">
      <w:pPr>
        <w:rPr>
          <w:b/>
          <w:bCs/>
        </w:rPr>
      </w:pPr>
    </w:p>
    <w:p w14:paraId="78F52128" w14:textId="62D7FC75" w:rsidR="000A74D6" w:rsidRPr="000A74D6" w:rsidRDefault="000A74D6" w:rsidP="000A74D6">
      <w:pPr>
        <w:spacing w:line="360" w:lineRule="auto"/>
        <w:jc w:val="both"/>
        <w:rPr>
          <w:rFonts w:ascii="Times New Roman" w:hAnsi="Times New Roman" w:cs="Times New Roman"/>
        </w:rPr>
      </w:pPr>
      <w:r w:rsidRPr="000A74D6">
        <w:rPr>
          <w:rFonts w:ascii="Times New Roman" w:hAnsi="Times New Roman" w:cs="Times New Roman"/>
        </w:rPr>
        <w:t xml:space="preserve">Your scenario exemplifies the tension between professional ethics and organizational loyalty that </w:t>
      </w:r>
      <w:proofErr w:type="spellStart"/>
      <w:r w:rsidRPr="000A74D6">
        <w:rPr>
          <w:rFonts w:ascii="Times New Roman" w:hAnsi="Times New Roman" w:cs="Times New Roman"/>
        </w:rPr>
        <w:t>Gotterbarn</w:t>
      </w:r>
      <w:proofErr w:type="spellEnd"/>
      <w:r w:rsidRPr="000A74D6">
        <w:rPr>
          <w:rFonts w:ascii="Times New Roman" w:hAnsi="Times New Roman" w:cs="Times New Roman"/>
        </w:rPr>
        <w:t xml:space="preserve"> (1995) identified as central to IT ethics. The ACM Code of Ethics you cited resolves this tension definitively: Principle 1.2 states professionals must "avoid harm" and Principle 2.5 mandates providing "comprehensive and thorough evaluations of computer systems and their </w:t>
      </w:r>
      <w:r w:rsidRPr="000A74D6">
        <w:rPr>
          <w:rFonts w:ascii="Times New Roman" w:hAnsi="Times New Roman" w:cs="Times New Roman"/>
        </w:rPr>
        <w:lastRenderedPageBreak/>
        <w:t>impacts, including analysis of possible risks" to the public</w:t>
      </w:r>
      <w:r>
        <w:rPr>
          <w:rFonts w:ascii="Times New Roman" w:hAnsi="Times New Roman" w:cs="Times New Roman"/>
        </w:rPr>
        <w:t xml:space="preserve">, </w:t>
      </w:r>
      <w:r w:rsidRPr="000A74D6">
        <w:rPr>
          <w:rFonts w:ascii="Times New Roman" w:hAnsi="Times New Roman" w:cs="Times New Roman"/>
        </w:rPr>
        <w:t>obligations that supersede employer interests when serious vulnerabilities exist.</w:t>
      </w:r>
    </w:p>
    <w:p w14:paraId="6F05FC8E" w14:textId="77777777" w:rsidR="000A74D6" w:rsidRPr="000A74D6" w:rsidRDefault="000A74D6" w:rsidP="000A74D6">
      <w:pPr>
        <w:spacing w:line="360" w:lineRule="auto"/>
        <w:jc w:val="both"/>
        <w:rPr>
          <w:rFonts w:ascii="Times New Roman" w:hAnsi="Times New Roman" w:cs="Times New Roman"/>
        </w:rPr>
      </w:pPr>
      <w:r w:rsidRPr="000A74D6">
        <w:rPr>
          <w:rFonts w:ascii="Times New Roman" w:hAnsi="Times New Roman" w:cs="Times New Roman"/>
        </w:rPr>
        <w:t>However, applying Moor's Just Consequentialism framework requires distinguishing vulnerability severity and exploitability. The CERT Coordination Center's Responsible Disclosure Guidelines (2017) provide a structured approach: vulnerabilities actively being exploited require immediate disclosure (24-48 hours), while theoretical vulnerabilities permit coordinated disclosure timelines (typically 90 days) allowing vendors to develop patches before public notification. This framework balances the deontological duty to warn potential victims against the consequentialist concern of creating exploitation opportunities through premature disclosure.</w:t>
      </w:r>
    </w:p>
    <w:p w14:paraId="53B6CBB2" w14:textId="032ADB0D" w:rsidR="000A74D6" w:rsidRPr="000A74D6" w:rsidRDefault="000A74D6" w:rsidP="000A74D6">
      <w:pPr>
        <w:spacing w:line="360" w:lineRule="auto"/>
        <w:jc w:val="both"/>
        <w:rPr>
          <w:rFonts w:ascii="Times New Roman" w:hAnsi="Times New Roman" w:cs="Times New Roman"/>
        </w:rPr>
      </w:pPr>
      <w:r w:rsidRPr="000A74D6">
        <w:rPr>
          <w:rFonts w:ascii="Times New Roman" w:hAnsi="Times New Roman" w:cs="Times New Roman"/>
        </w:rPr>
        <w:t>Legally, IT professionals cannot simply defer to management. State breach notification laws (all 50 U.S. states) and federal regulations like HIPAA mandate disclosure timelines when personal data is at risk</w:t>
      </w:r>
      <w:r>
        <w:rPr>
          <w:rFonts w:ascii="Times New Roman" w:hAnsi="Times New Roman" w:cs="Times New Roman"/>
        </w:rPr>
        <w:t xml:space="preserve">, </w:t>
      </w:r>
      <w:r w:rsidRPr="000A74D6">
        <w:rPr>
          <w:rFonts w:ascii="Times New Roman" w:hAnsi="Times New Roman" w:cs="Times New Roman"/>
        </w:rPr>
        <w:t>making delayed disclosure potentially criminal (National Conference of State Legislatures, 2023). The ISC² Code of Ethics Canon IV explicitly requires practitioners to "advance and protect the profession" by refusing to engage in activities that could harm public safety, even under management pressure.</w:t>
      </w:r>
    </w:p>
    <w:p w14:paraId="26B14C19" w14:textId="5EAB7754" w:rsidR="000A74D6" w:rsidRPr="000A74D6" w:rsidRDefault="000A74D6" w:rsidP="000A74D6">
      <w:pPr>
        <w:spacing w:line="360" w:lineRule="auto"/>
        <w:jc w:val="both"/>
        <w:rPr>
          <w:rFonts w:ascii="Times New Roman" w:hAnsi="Times New Roman" w:cs="Times New Roman"/>
        </w:rPr>
      </w:pPr>
      <w:r w:rsidRPr="000A74D6">
        <w:rPr>
          <w:rFonts w:ascii="Times New Roman" w:hAnsi="Times New Roman" w:cs="Times New Roman"/>
        </w:rPr>
        <w:t>Your question about "who has final say" reveals a policy vacuum: most organizations lack clear vulnerability disclosure governance frameworks specifying escalation procedures when engineers and management disagree. The ethical answer from professional codes is unambiguous</w:t>
      </w:r>
      <w:r w:rsidR="00875131">
        <w:rPr>
          <w:rFonts w:ascii="Times New Roman" w:hAnsi="Times New Roman" w:cs="Times New Roman"/>
        </w:rPr>
        <w:t xml:space="preserve">, </w:t>
      </w:r>
      <w:r w:rsidRPr="000A74D6">
        <w:rPr>
          <w:rFonts w:ascii="Times New Roman" w:hAnsi="Times New Roman" w:cs="Times New Roman"/>
        </w:rPr>
        <w:t>public safety obligations override corporate loyalty</w:t>
      </w:r>
      <w:r>
        <w:rPr>
          <w:rFonts w:ascii="Times New Roman" w:hAnsi="Times New Roman" w:cs="Times New Roman"/>
        </w:rPr>
        <w:t xml:space="preserve">, </w:t>
      </w:r>
      <w:r w:rsidRPr="000A74D6">
        <w:rPr>
          <w:rFonts w:ascii="Times New Roman" w:hAnsi="Times New Roman" w:cs="Times New Roman"/>
        </w:rPr>
        <w:t>but the practical challenge is that engineers often lack institutional power to enforce this principle without legal protection.</w:t>
      </w:r>
    </w:p>
    <w:p w14:paraId="6C848F6A" w14:textId="7AC12C27" w:rsidR="000A74D6" w:rsidRDefault="000A74D6" w:rsidP="000A74D6">
      <w:pPr>
        <w:spacing w:line="360" w:lineRule="auto"/>
        <w:jc w:val="both"/>
        <w:rPr>
          <w:rFonts w:ascii="Times New Roman" w:hAnsi="Times New Roman" w:cs="Times New Roman"/>
        </w:rPr>
      </w:pPr>
      <w:r w:rsidRPr="000A74D6">
        <w:rPr>
          <w:rFonts w:ascii="Times New Roman" w:hAnsi="Times New Roman" w:cs="Times New Roman"/>
        </w:rPr>
        <w:t xml:space="preserve">Follow-up question: Should legislation mandate whistleblower protections specifically for IT professionals who disclose serious security vulnerabilities over management objections, </w:t>
      </w:r>
      <w:proofErr w:type="gramStart"/>
      <w:r w:rsidRPr="000A74D6">
        <w:rPr>
          <w:rFonts w:ascii="Times New Roman" w:hAnsi="Times New Roman" w:cs="Times New Roman"/>
        </w:rPr>
        <w:t>similar to</w:t>
      </w:r>
      <w:proofErr w:type="gramEnd"/>
      <w:r w:rsidRPr="000A74D6">
        <w:rPr>
          <w:rFonts w:ascii="Times New Roman" w:hAnsi="Times New Roman" w:cs="Times New Roman"/>
        </w:rPr>
        <w:t xml:space="preserve"> protections for financial fraud whistleblowers under Sarbanes-Oxley? Would such legal backing make your ethical obligation </w:t>
      </w:r>
      <w:r w:rsidRPr="00875131">
        <w:rPr>
          <w:rFonts w:ascii="Times New Roman" w:hAnsi="Times New Roman" w:cs="Times New Roman"/>
        </w:rPr>
        <w:t>more actionable, or would it create perverse incentives for premature disclosure?</w:t>
      </w:r>
    </w:p>
    <w:p w14:paraId="6E3F8D0D" w14:textId="77777777" w:rsidR="00875131" w:rsidRDefault="00875131" w:rsidP="000A74D6">
      <w:pPr>
        <w:spacing w:line="360" w:lineRule="auto"/>
        <w:jc w:val="both"/>
        <w:rPr>
          <w:rFonts w:ascii="Times New Roman" w:hAnsi="Times New Roman" w:cs="Times New Roman"/>
        </w:rPr>
      </w:pPr>
    </w:p>
    <w:p w14:paraId="546F4184" w14:textId="21EFAB85" w:rsidR="00875131" w:rsidRDefault="00875131" w:rsidP="000A74D6">
      <w:pPr>
        <w:spacing w:line="360" w:lineRule="auto"/>
        <w:jc w:val="both"/>
        <w:rPr>
          <w:rFonts w:ascii="Times New Roman" w:hAnsi="Times New Roman" w:cs="Times New Roman"/>
        </w:rPr>
      </w:pPr>
      <w:r>
        <w:rPr>
          <w:rFonts w:ascii="Times New Roman" w:hAnsi="Times New Roman" w:cs="Times New Roman"/>
        </w:rPr>
        <w:t>References</w:t>
      </w:r>
    </w:p>
    <w:p w14:paraId="7D76EDF4" w14:textId="6B34BAEF" w:rsidR="00875131" w:rsidRDefault="00875131" w:rsidP="00875131">
      <w:pPr>
        <w:spacing w:line="360" w:lineRule="auto"/>
        <w:jc w:val="both"/>
        <w:rPr>
          <w:rFonts w:ascii="Times New Roman" w:hAnsi="Times New Roman" w:cs="Times New Roman"/>
          <w:b/>
          <w:bCs/>
        </w:rPr>
      </w:pPr>
      <w:r w:rsidRPr="00875131">
        <w:rPr>
          <w:rFonts w:ascii="Times New Roman" w:hAnsi="Times New Roman" w:cs="Times New Roman"/>
          <w:b/>
          <w:bCs/>
        </w:rPr>
        <w:lastRenderedPageBreak/>
        <w:t xml:space="preserve">Software Engineering Institute. (2017). </w:t>
      </w:r>
      <w:r w:rsidRPr="00875131">
        <w:rPr>
          <w:rFonts w:ascii="Times New Roman" w:hAnsi="Times New Roman" w:cs="Times New Roman"/>
          <w:b/>
          <w:bCs/>
          <w:i/>
          <w:iCs/>
        </w:rPr>
        <w:t>Cybersecurity incident response guide for the energy sector</w:t>
      </w:r>
      <w:r w:rsidRPr="00875131">
        <w:rPr>
          <w:rFonts w:ascii="Times New Roman" w:hAnsi="Times New Roman" w:cs="Times New Roman"/>
          <w:b/>
          <w:bCs/>
        </w:rPr>
        <w:t xml:space="preserve"> (CMU/SEI-2017-TR-003). Carnegie Mellon University. </w:t>
      </w:r>
      <w:hyperlink r:id="rId6" w:tgtFrame="_new" w:history="1">
        <w:r w:rsidRPr="00875131">
          <w:rPr>
            <w:rStyle w:val="Hyperlink"/>
            <w:rFonts w:ascii="Times New Roman" w:hAnsi="Times New Roman" w:cs="Times New Roman"/>
            <w:b/>
            <w:bCs/>
          </w:rPr>
          <w:t>https://www.sei.cmu.edu/documents/1945/2017_003_001_503340.pdf</w:t>
        </w:r>
      </w:hyperlink>
    </w:p>
    <w:p w14:paraId="76D00A65" w14:textId="77777777" w:rsidR="00875131" w:rsidRDefault="00875131" w:rsidP="00875131">
      <w:pPr>
        <w:spacing w:line="360" w:lineRule="auto"/>
        <w:jc w:val="both"/>
        <w:rPr>
          <w:rFonts w:ascii="Times New Roman" w:hAnsi="Times New Roman" w:cs="Times New Roman"/>
          <w:b/>
          <w:bCs/>
        </w:rPr>
      </w:pPr>
    </w:p>
    <w:p w14:paraId="789A9205" w14:textId="7D6881CC" w:rsidR="00875131" w:rsidRDefault="00875131" w:rsidP="00875131">
      <w:pPr>
        <w:spacing w:line="360" w:lineRule="auto"/>
        <w:jc w:val="both"/>
        <w:rPr>
          <w:rFonts w:ascii="Times New Roman" w:hAnsi="Times New Roman" w:cs="Times New Roman"/>
        </w:rPr>
      </w:pPr>
      <w:r w:rsidRPr="00875131">
        <w:rPr>
          <w:rFonts w:ascii="Times New Roman" w:hAnsi="Times New Roman" w:cs="Times New Roman"/>
          <w:b/>
          <w:bCs/>
        </w:rPr>
        <w:t>National Conference of State Legislatures. (2023).</w:t>
      </w:r>
      <w:r w:rsidRPr="00875131">
        <w:rPr>
          <w:rFonts w:ascii="Times New Roman" w:hAnsi="Times New Roman" w:cs="Times New Roman"/>
        </w:rPr>
        <w:t xml:space="preserve"> </w:t>
      </w:r>
      <w:r w:rsidRPr="00875131">
        <w:rPr>
          <w:rFonts w:ascii="Times New Roman" w:hAnsi="Times New Roman" w:cs="Times New Roman"/>
          <w:i/>
          <w:iCs/>
        </w:rPr>
        <w:t>Security Breach Notification Laws.</w:t>
      </w:r>
      <w:r w:rsidRPr="00875131">
        <w:rPr>
          <w:rFonts w:ascii="Times New Roman" w:hAnsi="Times New Roman" w:cs="Times New Roman"/>
        </w:rPr>
        <w:t xml:space="preserve"> NCSL.</w:t>
      </w:r>
      <w:r w:rsidRPr="00875131">
        <w:rPr>
          <w:rFonts w:ascii="Times New Roman" w:hAnsi="Times New Roman" w:cs="Times New Roman"/>
        </w:rPr>
        <w:br/>
      </w:r>
      <w:hyperlink r:id="rId7" w:history="1">
        <w:r w:rsidRPr="00875131">
          <w:rPr>
            <w:rStyle w:val="Hyperlink"/>
            <w:rFonts w:ascii="Times New Roman" w:hAnsi="Times New Roman" w:cs="Times New Roman"/>
          </w:rPr>
          <w:t>https://www.ncsl.org/technology-and-communication/security-breach-notification-laws</w:t>
        </w:r>
      </w:hyperlink>
    </w:p>
    <w:p w14:paraId="2AA01479" w14:textId="77777777" w:rsidR="00875131" w:rsidRDefault="00875131" w:rsidP="00875131">
      <w:pPr>
        <w:spacing w:line="360" w:lineRule="auto"/>
        <w:jc w:val="both"/>
        <w:rPr>
          <w:rFonts w:ascii="Times New Roman" w:hAnsi="Times New Roman" w:cs="Times New Roman"/>
        </w:rPr>
      </w:pPr>
    </w:p>
    <w:p w14:paraId="20397142" w14:textId="0C2E785B" w:rsidR="00875131" w:rsidRDefault="00875131" w:rsidP="00875131">
      <w:pPr>
        <w:spacing w:line="360" w:lineRule="auto"/>
        <w:jc w:val="both"/>
        <w:rPr>
          <w:rFonts w:ascii="Times New Roman" w:hAnsi="Times New Roman" w:cs="Times New Roman"/>
        </w:rPr>
      </w:pPr>
      <w:r w:rsidRPr="00875131">
        <w:rPr>
          <w:rFonts w:ascii="Times New Roman" w:hAnsi="Times New Roman" w:cs="Times New Roman"/>
          <w:b/>
          <w:bCs/>
        </w:rPr>
        <w:t>ISC². (2023).</w:t>
      </w:r>
      <w:r w:rsidRPr="00875131">
        <w:rPr>
          <w:rFonts w:ascii="Times New Roman" w:hAnsi="Times New Roman" w:cs="Times New Roman"/>
        </w:rPr>
        <w:t xml:space="preserve"> </w:t>
      </w:r>
      <w:r w:rsidRPr="00875131">
        <w:rPr>
          <w:rFonts w:ascii="Times New Roman" w:hAnsi="Times New Roman" w:cs="Times New Roman"/>
          <w:i/>
          <w:iCs/>
        </w:rPr>
        <w:t>Code of Ethics.</w:t>
      </w:r>
      <w:r w:rsidRPr="00875131">
        <w:rPr>
          <w:rFonts w:ascii="Times New Roman" w:hAnsi="Times New Roman" w:cs="Times New Roman"/>
        </w:rPr>
        <w:t xml:space="preserve"> International Information System Security Certification Consortium.</w:t>
      </w:r>
      <w:r w:rsidRPr="00875131">
        <w:rPr>
          <w:rFonts w:ascii="Times New Roman" w:hAnsi="Times New Roman" w:cs="Times New Roman"/>
        </w:rPr>
        <w:br/>
      </w:r>
      <w:hyperlink r:id="rId8" w:history="1">
        <w:r w:rsidRPr="00875131">
          <w:rPr>
            <w:rStyle w:val="Hyperlink"/>
            <w:rFonts w:ascii="Times New Roman" w:hAnsi="Times New Roman" w:cs="Times New Roman"/>
          </w:rPr>
          <w:t>https://www.isc2.org/Ethics</w:t>
        </w:r>
      </w:hyperlink>
    </w:p>
    <w:p w14:paraId="3B2F76BE" w14:textId="79438523" w:rsidR="00875131" w:rsidRPr="00875131" w:rsidRDefault="00875131" w:rsidP="00875131">
      <w:pPr>
        <w:spacing w:line="360" w:lineRule="auto"/>
        <w:jc w:val="both"/>
        <w:rPr>
          <w:rFonts w:ascii="Times New Roman" w:hAnsi="Times New Roman" w:cs="Times New Roman"/>
        </w:rPr>
      </w:pPr>
      <w:r w:rsidRPr="00875131">
        <w:rPr>
          <w:rFonts w:ascii="Times New Roman" w:hAnsi="Times New Roman" w:cs="Times New Roman"/>
        </w:rPr>
        <w:t xml:space="preserve">Association for Computing Machinery. (2018). </w:t>
      </w:r>
      <w:r w:rsidRPr="00875131">
        <w:rPr>
          <w:rFonts w:ascii="Times New Roman" w:hAnsi="Times New Roman" w:cs="Times New Roman"/>
          <w:i/>
          <w:iCs/>
        </w:rPr>
        <w:t>Software engineering code of ethics and professional practice</w:t>
      </w:r>
      <w:r w:rsidRPr="00875131">
        <w:rPr>
          <w:rFonts w:ascii="Times New Roman" w:hAnsi="Times New Roman" w:cs="Times New Roman"/>
        </w:rPr>
        <w:t xml:space="preserve">. </w:t>
      </w:r>
      <w:hyperlink r:id="rId9" w:tgtFrame="_new" w:history="1">
        <w:r w:rsidRPr="00875131">
          <w:rPr>
            <w:rStyle w:val="Hyperlink"/>
            <w:rFonts w:ascii="Times New Roman" w:hAnsi="Times New Roman" w:cs="Times New Roman"/>
          </w:rPr>
          <w:t>https://www.acm.org/code-of-ethics/software-engineering-code</w:t>
        </w:r>
      </w:hyperlink>
    </w:p>
    <w:sectPr w:rsidR="00875131" w:rsidRPr="00875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C"/>
    <w:multiLevelType w:val="multilevel"/>
    <w:tmpl w:val="2B38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9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E11"/>
    <w:rsid w:val="000A74D6"/>
    <w:rsid w:val="004F74F8"/>
    <w:rsid w:val="005A1325"/>
    <w:rsid w:val="00875131"/>
    <w:rsid w:val="00E72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F41BE"/>
  <w15:chartTrackingRefBased/>
  <w15:docId w15:val="{A06E7604-36D6-4C16-BFB8-E4E6BF06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4D6"/>
  </w:style>
  <w:style w:type="paragraph" w:styleId="Heading1">
    <w:name w:val="heading 1"/>
    <w:basedOn w:val="Normal"/>
    <w:next w:val="Normal"/>
    <w:link w:val="Heading1Char"/>
    <w:uiPriority w:val="9"/>
    <w:qFormat/>
    <w:rsid w:val="00E72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E11"/>
    <w:rPr>
      <w:rFonts w:eastAsiaTheme="majorEastAsia" w:cstheme="majorBidi"/>
      <w:color w:val="272727" w:themeColor="text1" w:themeTint="D8"/>
    </w:rPr>
  </w:style>
  <w:style w:type="paragraph" w:styleId="Title">
    <w:name w:val="Title"/>
    <w:basedOn w:val="Normal"/>
    <w:next w:val="Normal"/>
    <w:link w:val="TitleChar"/>
    <w:uiPriority w:val="10"/>
    <w:qFormat/>
    <w:rsid w:val="00E72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E11"/>
    <w:pPr>
      <w:spacing w:before="160"/>
      <w:jc w:val="center"/>
    </w:pPr>
    <w:rPr>
      <w:i/>
      <w:iCs/>
      <w:color w:val="404040" w:themeColor="text1" w:themeTint="BF"/>
    </w:rPr>
  </w:style>
  <w:style w:type="character" w:customStyle="1" w:styleId="QuoteChar">
    <w:name w:val="Quote Char"/>
    <w:basedOn w:val="DefaultParagraphFont"/>
    <w:link w:val="Quote"/>
    <w:uiPriority w:val="29"/>
    <w:rsid w:val="00E72E11"/>
    <w:rPr>
      <w:i/>
      <w:iCs/>
      <w:color w:val="404040" w:themeColor="text1" w:themeTint="BF"/>
    </w:rPr>
  </w:style>
  <w:style w:type="paragraph" w:styleId="ListParagraph">
    <w:name w:val="List Paragraph"/>
    <w:basedOn w:val="Normal"/>
    <w:uiPriority w:val="34"/>
    <w:qFormat/>
    <w:rsid w:val="00E72E11"/>
    <w:pPr>
      <w:ind w:left="720"/>
      <w:contextualSpacing/>
    </w:pPr>
  </w:style>
  <w:style w:type="character" w:styleId="IntenseEmphasis">
    <w:name w:val="Intense Emphasis"/>
    <w:basedOn w:val="DefaultParagraphFont"/>
    <w:uiPriority w:val="21"/>
    <w:qFormat/>
    <w:rsid w:val="00E72E11"/>
    <w:rPr>
      <w:i/>
      <w:iCs/>
      <w:color w:val="0F4761" w:themeColor="accent1" w:themeShade="BF"/>
    </w:rPr>
  </w:style>
  <w:style w:type="paragraph" w:styleId="IntenseQuote">
    <w:name w:val="Intense Quote"/>
    <w:basedOn w:val="Normal"/>
    <w:next w:val="Normal"/>
    <w:link w:val="IntenseQuoteChar"/>
    <w:uiPriority w:val="30"/>
    <w:qFormat/>
    <w:rsid w:val="00E72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E11"/>
    <w:rPr>
      <w:i/>
      <w:iCs/>
      <w:color w:val="0F4761" w:themeColor="accent1" w:themeShade="BF"/>
    </w:rPr>
  </w:style>
  <w:style w:type="character" w:styleId="IntenseReference">
    <w:name w:val="Intense Reference"/>
    <w:basedOn w:val="DefaultParagraphFont"/>
    <w:uiPriority w:val="32"/>
    <w:qFormat/>
    <w:rsid w:val="00E72E11"/>
    <w:rPr>
      <w:b/>
      <w:bCs/>
      <w:smallCaps/>
      <w:color w:val="0F4761" w:themeColor="accent1" w:themeShade="BF"/>
      <w:spacing w:val="5"/>
    </w:rPr>
  </w:style>
  <w:style w:type="character" w:styleId="Hyperlink">
    <w:name w:val="Hyperlink"/>
    <w:basedOn w:val="DefaultParagraphFont"/>
    <w:uiPriority w:val="99"/>
    <w:unhideWhenUsed/>
    <w:rsid w:val="000A74D6"/>
    <w:rPr>
      <w:color w:val="467886" w:themeColor="hyperlink"/>
      <w:u w:val="single"/>
    </w:rPr>
  </w:style>
  <w:style w:type="character" w:styleId="UnresolvedMention">
    <w:name w:val="Unresolved Mention"/>
    <w:basedOn w:val="DefaultParagraphFont"/>
    <w:uiPriority w:val="99"/>
    <w:semiHidden/>
    <w:unhideWhenUsed/>
    <w:rsid w:val="000A74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c2.org/Ethics" TargetMode="External"/><Relationship Id="rId3" Type="http://schemas.openxmlformats.org/officeDocument/2006/relationships/settings" Target="settings.xml"/><Relationship Id="rId7" Type="http://schemas.openxmlformats.org/officeDocument/2006/relationships/hyperlink" Target="https://www.ncsl.org/technology-and-communication/security-breach-notification-la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i.cmu.edu/documents/1945/2017_003_001_503340.pdf" TargetMode="External"/><Relationship Id="rId11" Type="http://schemas.openxmlformats.org/officeDocument/2006/relationships/theme" Target="theme/theme1.xml"/><Relationship Id="rId5" Type="http://schemas.openxmlformats.org/officeDocument/2006/relationships/hyperlink" Target="https://www.acm.org/code-of-ethic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cm.org/code-of-ethics/software-engineering-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728</Words>
  <Characters>4328</Characters>
  <Application>Microsoft Office Word</Application>
  <DocSecurity>0</DocSecurity>
  <Lines>66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2</cp:revision>
  <dcterms:created xsi:type="dcterms:W3CDTF">2026-01-25T17:24:00Z</dcterms:created>
  <dcterms:modified xsi:type="dcterms:W3CDTF">2026-01-25T18:24:00Z</dcterms:modified>
</cp:coreProperties>
</file>