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2404" w14:textId="77777777" w:rsidR="001038AA" w:rsidRPr="00EC0CF8" w:rsidRDefault="001038AA" w:rsidP="001038AA">
      <w:pPr>
        <w:spacing w:line="480" w:lineRule="auto"/>
      </w:pPr>
      <w:r w:rsidRPr="00EC0CF8">
        <w:rPr>
          <w:sz w:val="24"/>
          <w:szCs w:val="24"/>
        </w:rPr>
        <w:t>Noble Antwi</w:t>
      </w:r>
    </w:p>
    <w:p w14:paraId="2E159275" w14:textId="77777777" w:rsidR="001038AA" w:rsidRPr="00EC0CF8" w:rsidRDefault="001038AA" w:rsidP="001038AA">
      <w:pPr>
        <w:spacing w:line="480" w:lineRule="auto"/>
      </w:pPr>
      <w:r w:rsidRPr="00EC0CF8">
        <w:rPr>
          <w:sz w:val="24"/>
          <w:szCs w:val="24"/>
        </w:rPr>
        <w:t>February 25, 2026</w:t>
      </w:r>
    </w:p>
    <w:p w14:paraId="0CA066A7" w14:textId="77777777" w:rsidR="001038AA" w:rsidRPr="00EC0CF8" w:rsidRDefault="001038AA" w:rsidP="001038AA">
      <w:pPr>
        <w:spacing w:line="480" w:lineRule="auto"/>
      </w:pPr>
      <w:r w:rsidRPr="00EC0CF8">
        <w:rPr>
          <w:sz w:val="24"/>
          <w:szCs w:val="24"/>
        </w:rPr>
        <w:t>ITMS-583: Digital Evidence</w:t>
      </w:r>
    </w:p>
    <w:p w14:paraId="008EC779" w14:textId="77777777" w:rsidR="001038AA" w:rsidRPr="00EC0CF8" w:rsidRDefault="001038AA" w:rsidP="001038AA">
      <w:pPr>
        <w:spacing w:line="480" w:lineRule="auto"/>
      </w:pPr>
      <w:r w:rsidRPr="00EC0CF8">
        <w:rPr>
          <w:sz w:val="24"/>
          <w:szCs w:val="24"/>
        </w:rPr>
        <w:t>The Video Privacy Protection Act: When a 1988 VHS-Era Statute Meets Modern Digital Tracking</w:t>
      </w:r>
    </w:p>
    <w:p w14:paraId="00872648" w14:textId="77777777" w:rsidR="001038AA" w:rsidRPr="00EC0CF8" w:rsidRDefault="001038AA" w:rsidP="001038AA">
      <w:pPr>
        <w:spacing w:line="480" w:lineRule="auto"/>
      </w:pPr>
    </w:p>
    <w:p w14:paraId="5BD449E9" w14:textId="77777777" w:rsidR="001038AA" w:rsidRPr="00EC0CF8" w:rsidRDefault="001038AA" w:rsidP="001038AA">
      <w:pPr>
        <w:jc w:val="center"/>
      </w:pPr>
      <w:r w:rsidRPr="00EC0CF8">
        <w:rPr>
          <w:b/>
          <w:bCs/>
          <w:sz w:val="24"/>
          <w:szCs w:val="24"/>
        </w:rPr>
        <w:t>Bibliography</w:t>
      </w:r>
    </w:p>
    <w:p w14:paraId="7A2445FE" w14:textId="77777777" w:rsidR="001038AA" w:rsidRPr="00EC0CF8" w:rsidRDefault="001038AA" w:rsidP="001038AA"/>
    <w:p w14:paraId="5C9E2AC4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Acar, G., Eubank, C., Englehardt, S., Juarez, M., Narayanan, A., &amp; Diaz, C. (2014). The web never forgets: Persistent tracking mechanisms in the wild. In Proceedings of the 2014 ACM SIGSAC Conference on Computer and Communications Security (pp. 674-689). ACM. https://doi.org/10.1145/2660267.2660347</w:t>
      </w:r>
    </w:p>
    <w:p w14:paraId="3ADB8708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Ayers, R., Brothers, S., &amp; Jansen, W. (2014). Guidelines on mobile device forensics (NIST Special Publication 800-101 Rev. 1). National Institute of Standards and Technology. https://doi.org/10.6028/NIST.SP.800-101r1</w:t>
      </w:r>
    </w:p>
    <w:p w14:paraId="12D811FB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Bashir, M. A., Arshad, S., &amp; Robertson, W. (2023). The hitchhiker's guide to Facebook web tracking. In Proceedings of the ACM Web Conference 2023 (pp. 1344-1354). ACM. https://doi.org/10.1145/3543507.3583311</w:t>
      </w:r>
    </w:p>
    <w:p w14:paraId="06367605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California Consumer Privacy Act, Cal. Civ. Code §§ 1798.100-1798.199 (2018).</w:t>
      </w:r>
    </w:p>
    <w:p w14:paraId="725A5B41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9E1EAC">
        <w:rPr>
          <w:sz w:val="24"/>
          <w:szCs w:val="24"/>
        </w:rPr>
        <w:t xml:space="preserve">Ioannou, K. (2024, November 17). </w:t>
      </w:r>
      <w:r w:rsidRPr="009E1EAC">
        <w:rPr>
          <w:rFonts w:eastAsiaTheme="majorEastAsia"/>
          <w:i/>
          <w:iCs/>
          <w:sz w:val="24"/>
          <w:szCs w:val="24"/>
        </w:rPr>
        <w:t>The VPPA lawsuit wave: Old laws meet new tech</w:t>
      </w:r>
      <w:r w:rsidRPr="009E1EAC">
        <w:rPr>
          <w:sz w:val="24"/>
          <w:szCs w:val="24"/>
        </w:rPr>
        <w:t>. Darrow</w:t>
      </w:r>
      <w:r w:rsidRPr="00EC0CF8">
        <w:rPr>
          <w:sz w:val="24"/>
          <w:szCs w:val="24"/>
        </w:rPr>
        <w:t xml:space="preserve"> https://www.darrow.ai/resources/vppa-settlement</w:t>
      </w:r>
    </w:p>
    <w:p w14:paraId="0F6BCAB9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Daubert v. Merrell Dow Pharmaceuticals, Inc., 509 U.S. 579 (1993).</w:t>
      </w:r>
    </w:p>
    <w:p w14:paraId="354CC34B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lastRenderedPageBreak/>
        <w:t>Eichenberger v. ESPN, Inc., 876 F.3d 979 (9th Cir. 2017).</w:t>
      </w:r>
    </w:p>
    <w:p w14:paraId="5CECF4E7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Electronic Frontier Foundation &amp; Center for Democracy &amp; Technology. (2023). Amicus brief in support of plaintiff-appellant. Stark v. Patreon, Inc., No. 22-16637 (9th Cir. filed Dec. 15, 2023).</w:t>
      </w:r>
    </w:p>
    <w:p w14:paraId="097C27E6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Englehardt, S., &amp; Narayanan, A. (2016). Online tracking: A 1-million-site measurement and analysis. In Proceedings of the 2016 ACM SIGSAC Conference on Computer and Communications Security (pp. 1388-1401). ACM. https://doi.org/10.1145/2976749.2978313</w:t>
      </w:r>
    </w:p>
    <w:p w14:paraId="7B135E32" w14:textId="77777777" w:rsidR="001038AA" w:rsidRDefault="001038AA" w:rsidP="001038AA">
      <w:pPr>
        <w:spacing w:after="240" w:line="480" w:lineRule="auto"/>
        <w:ind w:left="720" w:hanging="720"/>
        <w:jc w:val="both"/>
        <w:rPr>
          <w:sz w:val="24"/>
          <w:szCs w:val="24"/>
        </w:rPr>
      </w:pPr>
      <w:r w:rsidRPr="00A96980">
        <w:rPr>
          <w:sz w:val="24"/>
          <w:szCs w:val="24"/>
        </w:rPr>
        <w:t xml:space="preserve">Federal Trade Commission. (2023, February 1). </w:t>
      </w:r>
      <w:r w:rsidRPr="00A96980">
        <w:rPr>
          <w:rFonts w:eastAsiaTheme="majorEastAsia"/>
          <w:i/>
          <w:iCs/>
          <w:sz w:val="24"/>
          <w:szCs w:val="24"/>
        </w:rPr>
        <w:t xml:space="preserve">FTC enforcement action to bar </w:t>
      </w:r>
      <w:proofErr w:type="spellStart"/>
      <w:r w:rsidRPr="00A96980">
        <w:rPr>
          <w:rFonts w:eastAsiaTheme="majorEastAsia"/>
          <w:i/>
          <w:iCs/>
          <w:sz w:val="24"/>
          <w:szCs w:val="24"/>
        </w:rPr>
        <w:t>GoodRx</w:t>
      </w:r>
      <w:proofErr w:type="spellEnd"/>
      <w:r w:rsidRPr="00A96980">
        <w:rPr>
          <w:rFonts w:eastAsiaTheme="majorEastAsia"/>
          <w:i/>
          <w:iCs/>
          <w:sz w:val="24"/>
          <w:szCs w:val="24"/>
        </w:rPr>
        <w:t xml:space="preserve"> from sharing consumers’ sensitive health info for advertising</w:t>
      </w:r>
      <w:r w:rsidRPr="00A96980">
        <w:rPr>
          <w:sz w:val="24"/>
          <w:szCs w:val="24"/>
        </w:rPr>
        <w:t xml:space="preserve">. </w:t>
      </w:r>
      <w:hyperlink r:id="rId7" w:tgtFrame="_new" w:history="1">
        <w:r w:rsidRPr="00A96980">
          <w:rPr>
            <w:rStyle w:val="Hyperlink"/>
            <w:rFonts w:eastAsiaTheme="majorEastAsia"/>
            <w:sz w:val="24"/>
            <w:szCs w:val="24"/>
          </w:rPr>
          <w:t>https://www.ftc.gov/news-events/news/press-releases/2023/02/ftc-enforcement-action-bar-goodrx-sharing-consumers-sensitive-health-info-advertising</w:t>
        </w:r>
      </w:hyperlink>
    </w:p>
    <w:p w14:paraId="3111947C" w14:textId="4C4D4EF6" w:rsidR="001038AA" w:rsidRPr="005C1373" w:rsidRDefault="001038AA" w:rsidP="00B17A3E">
      <w:pPr>
        <w:spacing w:after="240" w:line="480" w:lineRule="auto"/>
        <w:ind w:left="720" w:hanging="720"/>
        <w:rPr>
          <w:sz w:val="24"/>
          <w:szCs w:val="24"/>
        </w:rPr>
      </w:pPr>
      <w:r w:rsidRPr="005C1373">
        <w:rPr>
          <w:sz w:val="24"/>
          <w:szCs w:val="24"/>
        </w:rPr>
        <w:t xml:space="preserve">Federal Trade Commission. (2023, March 2). </w:t>
      </w:r>
      <w:r w:rsidRPr="005C1373">
        <w:rPr>
          <w:rFonts w:eastAsiaTheme="majorEastAsia"/>
          <w:i/>
          <w:iCs/>
          <w:sz w:val="24"/>
          <w:szCs w:val="24"/>
        </w:rPr>
        <w:t xml:space="preserve">FTC to ban </w:t>
      </w:r>
      <w:proofErr w:type="spellStart"/>
      <w:r w:rsidRPr="005C1373">
        <w:rPr>
          <w:rFonts w:eastAsiaTheme="majorEastAsia"/>
          <w:i/>
          <w:iCs/>
          <w:sz w:val="24"/>
          <w:szCs w:val="24"/>
        </w:rPr>
        <w:t>BetterHelp</w:t>
      </w:r>
      <w:proofErr w:type="spellEnd"/>
      <w:r w:rsidRPr="005C1373">
        <w:rPr>
          <w:rFonts w:eastAsiaTheme="majorEastAsia"/>
          <w:i/>
          <w:iCs/>
          <w:sz w:val="24"/>
          <w:szCs w:val="24"/>
        </w:rPr>
        <w:t xml:space="preserve"> from revealing consumers’ data, including sensitive mental health information, to Facebook and others for targeted </w:t>
      </w:r>
      <w:proofErr w:type="gramStart"/>
      <w:r w:rsidRPr="005C1373">
        <w:rPr>
          <w:rFonts w:eastAsiaTheme="majorEastAsia"/>
          <w:i/>
          <w:iCs/>
          <w:sz w:val="24"/>
          <w:szCs w:val="24"/>
        </w:rPr>
        <w:t>advertising</w:t>
      </w:r>
      <w:r w:rsidRPr="005C1373">
        <w:rPr>
          <w:sz w:val="24"/>
          <w:szCs w:val="24"/>
        </w:rPr>
        <w:t>.</w:t>
      </w:r>
      <w:r w:rsidR="00B17A3E" w:rsidRPr="00B17A3E">
        <w:rPr>
          <w:sz w:val="24"/>
          <w:szCs w:val="24"/>
        </w:rPr>
        <w:t>https://www.ftc.gov/news-events/news/press-releases/2023/03/ftc-ban-betterhelp-revealing-consumers-data-including-sensitive-mental-health-information-facebook</w:t>
      </w:r>
      <w:proofErr w:type="gramEnd"/>
    </w:p>
    <w:p w14:paraId="0A7A1751" w14:textId="77777777" w:rsidR="001038AA" w:rsidRDefault="001038AA" w:rsidP="001038AA">
      <w:pPr>
        <w:spacing w:after="240" w:line="480" w:lineRule="auto"/>
        <w:ind w:left="720" w:hanging="720"/>
        <w:jc w:val="both"/>
        <w:rPr>
          <w:sz w:val="24"/>
          <w:szCs w:val="24"/>
        </w:rPr>
      </w:pPr>
      <w:r w:rsidRPr="005C1373">
        <w:rPr>
          <w:sz w:val="24"/>
          <w:szCs w:val="24"/>
        </w:rPr>
        <w:t xml:space="preserve">Federal Trade Commission. (2023, July 20). </w:t>
      </w:r>
      <w:r w:rsidRPr="005C1373">
        <w:rPr>
          <w:rFonts w:eastAsiaTheme="majorEastAsia"/>
          <w:i/>
          <w:iCs/>
          <w:sz w:val="24"/>
          <w:szCs w:val="24"/>
        </w:rPr>
        <w:t>FTC and HHS warn hospital systems and telehealth providers about privacy and security risks from online tracking technologies</w:t>
      </w:r>
      <w:r w:rsidRPr="005C1373">
        <w:rPr>
          <w:sz w:val="24"/>
          <w:szCs w:val="24"/>
        </w:rPr>
        <w:t xml:space="preserve"> [Press release]. </w:t>
      </w:r>
      <w:hyperlink r:id="rId8" w:history="1">
        <w:r w:rsidRPr="00A25840">
          <w:rPr>
            <w:rStyle w:val="Hyperlink"/>
            <w:rFonts w:eastAsiaTheme="majorEastAsia"/>
            <w:sz w:val="24"/>
            <w:szCs w:val="24"/>
          </w:rPr>
          <w:t>https://www.ftc.gov/news-events/news/press-releases/2023/07/ftc-hhs-warn-</w:t>
        </w:r>
        <w:r w:rsidRPr="00A25840">
          <w:rPr>
            <w:rStyle w:val="Hyperlink"/>
            <w:rFonts w:eastAsiaTheme="majorEastAsia"/>
            <w:sz w:val="24"/>
            <w:szCs w:val="24"/>
          </w:rPr>
          <w:lastRenderedPageBreak/>
          <w:t>hospital-systems-telehealth-providers-about-privacy-security-risks-online-tracking-technologies</w:t>
        </w:r>
      </w:hyperlink>
    </w:p>
    <w:p w14:paraId="08DD2FBB" w14:textId="77777777" w:rsidR="001038AA" w:rsidRDefault="001038AA" w:rsidP="001038AA">
      <w:pPr>
        <w:spacing w:after="240" w:line="480" w:lineRule="auto"/>
        <w:ind w:left="720" w:hanging="720"/>
        <w:jc w:val="both"/>
        <w:rPr>
          <w:sz w:val="24"/>
          <w:szCs w:val="24"/>
        </w:rPr>
      </w:pPr>
      <w:r w:rsidRPr="00DF0C66">
        <w:rPr>
          <w:sz w:val="24"/>
          <w:szCs w:val="24"/>
        </w:rPr>
        <w:t xml:space="preserve">Federal Trade Commission. (2024, April 15). </w:t>
      </w:r>
      <w:r w:rsidRPr="00DF0C66">
        <w:rPr>
          <w:rFonts w:eastAsiaTheme="majorEastAsia"/>
          <w:i/>
          <w:iCs/>
          <w:sz w:val="24"/>
          <w:szCs w:val="24"/>
        </w:rPr>
        <w:t xml:space="preserve">Proposed FTC order will prohibit telehealth firm Cerebral from using or disclosing sensitive data for advertising </w:t>
      </w:r>
      <w:proofErr w:type="gramStart"/>
      <w:r w:rsidRPr="00DF0C66">
        <w:rPr>
          <w:rFonts w:eastAsiaTheme="majorEastAsia"/>
          <w:i/>
          <w:iCs/>
          <w:sz w:val="24"/>
          <w:szCs w:val="24"/>
        </w:rPr>
        <w:t>purposes, and</w:t>
      </w:r>
      <w:proofErr w:type="gramEnd"/>
      <w:r w:rsidRPr="00DF0C66">
        <w:rPr>
          <w:rFonts w:eastAsiaTheme="majorEastAsia"/>
          <w:i/>
          <w:iCs/>
          <w:sz w:val="24"/>
          <w:szCs w:val="24"/>
        </w:rPr>
        <w:t xml:space="preserve"> require it to pay $7 million</w:t>
      </w:r>
      <w:r w:rsidRPr="00DF0C66">
        <w:rPr>
          <w:sz w:val="24"/>
          <w:szCs w:val="24"/>
        </w:rPr>
        <w:t xml:space="preserve">. </w:t>
      </w:r>
      <w:hyperlink r:id="rId9" w:tgtFrame="_new" w:history="1">
        <w:r w:rsidRPr="00DF0C66">
          <w:rPr>
            <w:rStyle w:val="Hyperlink"/>
            <w:rFonts w:eastAsiaTheme="majorEastAsia"/>
            <w:sz w:val="24"/>
            <w:szCs w:val="24"/>
          </w:rPr>
          <w:t>https://www.ftc.gov/news-events/news/press-releases/2024/04/proposed-ftc-order-will-prohibit-telehealth-firm-cerebral-using-or-disclosing-sensitive-data</w:t>
        </w:r>
      </w:hyperlink>
    </w:p>
    <w:p w14:paraId="287CE058" w14:textId="77777777" w:rsidR="001038AA" w:rsidRDefault="001038AA" w:rsidP="001038AA">
      <w:pPr>
        <w:spacing w:after="240" w:line="480" w:lineRule="auto"/>
        <w:ind w:left="720" w:hanging="720"/>
        <w:jc w:val="both"/>
        <w:rPr>
          <w:sz w:val="24"/>
          <w:szCs w:val="24"/>
        </w:rPr>
      </w:pPr>
      <w:r w:rsidRPr="00D46E37">
        <w:rPr>
          <w:sz w:val="24"/>
          <w:szCs w:val="24"/>
        </w:rPr>
        <w:t xml:space="preserve">Francis, J. (2024, November). </w:t>
      </w:r>
      <w:r w:rsidRPr="00D46E37">
        <w:rPr>
          <w:rFonts w:eastAsiaTheme="majorEastAsia"/>
          <w:i/>
          <w:iCs/>
          <w:sz w:val="24"/>
          <w:szCs w:val="24"/>
        </w:rPr>
        <w:t>Anatomy of state comprehensive privacy law: Surveying the state privacy law landscape and recent legislative trends</w:t>
      </w:r>
      <w:r w:rsidRPr="00D46E37">
        <w:rPr>
          <w:sz w:val="24"/>
          <w:szCs w:val="24"/>
        </w:rPr>
        <w:t xml:space="preserve"> (FPF U.S. Legislation Report). Future of Privacy Forum. </w:t>
      </w:r>
      <w:hyperlink r:id="rId10" w:tgtFrame="_new" w:history="1">
        <w:r w:rsidRPr="00D46E37">
          <w:rPr>
            <w:rStyle w:val="Hyperlink"/>
            <w:rFonts w:eastAsiaTheme="majorEastAsia"/>
            <w:sz w:val="24"/>
            <w:szCs w:val="24"/>
          </w:rPr>
          <w:t>https://fpf.org/wp-content/uploads/2024/11/REPORT-Anatomy-of-State-Comprehensive-Privacy-Law.pdf</w:t>
        </w:r>
      </w:hyperlink>
      <w:r w:rsidRPr="00D46E37">
        <w:rPr>
          <w:sz w:val="24"/>
          <w:szCs w:val="24"/>
        </w:rPr>
        <w:t xml:space="preserve"> </w:t>
      </w:r>
    </w:p>
    <w:p w14:paraId="59B7476A" w14:textId="77777777" w:rsidR="001038AA" w:rsidRDefault="001038AA" w:rsidP="001038AA">
      <w:pPr>
        <w:spacing w:after="240" w:line="480" w:lineRule="auto"/>
        <w:ind w:left="720" w:hanging="720"/>
        <w:jc w:val="both"/>
        <w:rPr>
          <w:sz w:val="24"/>
          <w:szCs w:val="24"/>
        </w:rPr>
      </w:pPr>
      <w:proofErr w:type="spellStart"/>
      <w:r w:rsidRPr="00C85B5C">
        <w:rPr>
          <w:sz w:val="24"/>
          <w:szCs w:val="24"/>
        </w:rPr>
        <w:t>Gemdjian</w:t>
      </w:r>
      <w:proofErr w:type="spellEnd"/>
      <w:r w:rsidRPr="00C85B5C">
        <w:rPr>
          <w:sz w:val="24"/>
          <w:szCs w:val="24"/>
        </w:rPr>
        <w:t xml:space="preserve">, E. (2025). </w:t>
      </w:r>
      <w:r w:rsidRPr="00C85B5C">
        <w:rPr>
          <w:rFonts w:eastAsiaTheme="majorEastAsia"/>
          <w:i/>
          <w:iCs/>
          <w:sz w:val="24"/>
          <w:szCs w:val="24"/>
        </w:rPr>
        <w:t>The extraordinary extension of the Video Privacy Protection Act: Why the “ordinary course of business” of an analog era is anything but ordinary in the digital world</w:t>
      </w:r>
      <w:r w:rsidRPr="00C85B5C">
        <w:rPr>
          <w:sz w:val="24"/>
          <w:szCs w:val="24"/>
        </w:rPr>
        <w:t xml:space="preserve">. </w:t>
      </w:r>
      <w:r w:rsidRPr="00C85B5C">
        <w:rPr>
          <w:rFonts w:eastAsiaTheme="majorEastAsia"/>
          <w:i/>
          <w:iCs/>
          <w:sz w:val="24"/>
          <w:szCs w:val="24"/>
        </w:rPr>
        <w:t>Brooklyn Law Review, 90</w:t>
      </w:r>
      <w:r w:rsidRPr="00C85B5C">
        <w:rPr>
          <w:sz w:val="24"/>
          <w:szCs w:val="24"/>
        </w:rPr>
        <w:t xml:space="preserve">(2), 553. </w:t>
      </w:r>
      <w:hyperlink r:id="rId11" w:tgtFrame="_new" w:history="1">
        <w:r w:rsidRPr="00C85B5C">
          <w:rPr>
            <w:rStyle w:val="Hyperlink"/>
            <w:rFonts w:eastAsiaTheme="majorEastAsia"/>
            <w:sz w:val="24"/>
            <w:szCs w:val="24"/>
          </w:rPr>
          <w:t>https://brooklynworks.brooklaw.edu/blr/vol90/iss2/5/</w:t>
        </w:r>
      </w:hyperlink>
    </w:p>
    <w:p w14:paraId="673B973B" w14:textId="77777777" w:rsidR="001038AA" w:rsidRDefault="001038AA" w:rsidP="001038AA">
      <w:pPr>
        <w:spacing w:after="240" w:line="480" w:lineRule="auto"/>
        <w:ind w:left="720" w:hanging="720"/>
        <w:jc w:val="both"/>
        <w:rPr>
          <w:sz w:val="24"/>
          <w:szCs w:val="24"/>
        </w:rPr>
      </w:pPr>
      <w:r w:rsidRPr="00C12922">
        <w:rPr>
          <w:sz w:val="24"/>
          <w:szCs w:val="24"/>
          <w:highlight w:val="yellow"/>
        </w:rPr>
        <w:t xml:space="preserve">Grimm, P. W., Capra, D. J., &amp; Joseph, G. P. (2017). </w:t>
      </w:r>
      <w:r w:rsidRPr="00C12922">
        <w:rPr>
          <w:rFonts w:eastAsiaTheme="majorEastAsia"/>
          <w:i/>
          <w:iCs/>
          <w:sz w:val="24"/>
          <w:szCs w:val="24"/>
          <w:highlight w:val="yellow"/>
        </w:rPr>
        <w:t>Authenticating digital evidence</w:t>
      </w:r>
      <w:r w:rsidRPr="00C12922">
        <w:rPr>
          <w:sz w:val="24"/>
          <w:szCs w:val="24"/>
          <w:highlight w:val="yellow"/>
        </w:rPr>
        <w:t xml:space="preserve">. </w:t>
      </w:r>
      <w:r w:rsidRPr="00C12922">
        <w:rPr>
          <w:rFonts w:eastAsiaTheme="majorEastAsia"/>
          <w:i/>
          <w:iCs/>
          <w:sz w:val="24"/>
          <w:szCs w:val="24"/>
          <w:highlight w:val="yellow"/>
        </w:rPr>
        <w:t>Baylor Law Review, 69</w:t>
      </w:r>
      <w:r w:rsidRPr="00C12922">
        <w:rPr>
          <w:sz w:val="24"/>
          <w:szCs w:val="24"/>
          <w:highlight w:val="yellow"/>
        </w:rPr>
        <w:t xml:space="preserve">(1), 1–55. </w:t>
      </w:r>
      <w:hyperlink r:id="rId12" w:tgtFrame="_new" w:history="1">
        <w:r w:rsidRPr="00C12922">
          <w:rPr>
            <w:rStyle w:val="Hyperlink"/>
            <w:rFonts w:eastAsiaTheme="majorEastAsia"/>
            <w:sz w:val="24"/>
            <w:szCs w:val="24"/>
            <w:highlight w:val="yellow"/>
          </w:rPr>
          <w:t>https://law.baylor.edu/sites/g/files/ecbvkj1546/files/2023-11/7_grimm_capra_joseph.pdf</w:t>
        </w:r>
      </w:hyperlink>
    </w:p>
    <w:p w14:paraId="74259795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Hughes v. National Football League, 138 F.4th 225 (2d Cir. 2025).</w:t>
      </w:r>
    </w:p>
    <w:p w14:paraId="61353792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lastRenderedPageBreak/>
        <w:t>Hunton Andrews Kurth LLP. (2025, December). 2025 Video Privacy Protection Act litigation year in review. Privacy World. https://www.privacyworld.blog/2025/12/2025-video-privacy-protection-act-litigation-year-in-review/</w:t>
      </w:r>
    </w:p>
    <w:p w14:paraId="51A1D366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In re Nickelodeon Consumer Privacy Litigation, 827 F.3d 262 (3d Cir. 2016).</w:t>
      </w:r>
    </w:p>
    <w:p w14:paraId="4837D775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International Association of Privacy Professionals. (2026, February 13). US state privacy legislation tracker. https://iapp.org/resources/article/us-state-privacy-legislation-tracker</w:t>
      </w:r>
    </w:p>
    <w:p w14:paraId="21517075" w14:textId="77777777" w:rsidR="001038AA" w:rsidRDefault="001038AA" w:rsidP="001038AA">
      <w:pPr>
        <w:spacing w:after="240" w:line="480" w:lineRule="auto"/>
        <w:ind w:left="720" w:hanging="720"/>
        <w:jc w:val="both"/>
        <w:rPr>
          <w:sz w:val="24"/>
          <w:szCs w:val="24"/>
        </w:rPr>
      </w:pPr>
      <w:r w:rsidRPr="00730187">
        <w:rPr>
          <w:sz w:val="24"/>
          <w:szCs w:val="24"/>
        </w:rPr>
        <w:t xml:space="preserve">Kent, K., Chevalier, S., Grance, T., &amp; Dang, H. (2006, August). </w:t>
      </w:r>
      <w:r w:rsidRPr="00730187">
        <w:rPr>
          <w:rFonts w:eastAsiaTheme="majorEastAsia"/>
          <w:i/>
          <w:iCs/>
          <w:sz w:val="24"/>
          <w:szCs w:val="24"/>
        </w:rPr>
        <w:t>Guide to integrating forensic techniques into incident response</w:t>
      </w:r>
      <w:r w:rsidRPr="00730187">
        <w:rPr>
          <w:sz w:val="24"/>
          <w:szCs w:val="24"/>
        </w:rPr>
        <w:t xml:space="preserve"> (NIST Special Publication 800-86). National Institute of Standards and Technology. </w:t>
      </w:r>
      <w:hyperlink r:id="rId13" w:history="1">
        <w:r w:rsidRPr="00A25840">
          <w:rPr>
            <w:rStyle w:val="Hyperlink"/>
            <w:rFonts w:eastAsiaTheme="majorEastAsia"/>
            <w:sz w:val="24"/>
            <w:szCs w:val="24"/>
          </w:rPr>
          <w:t>https://nvlpubs.nist.gov/nistpubs/Legacy/SP/nistspecialpublication800-86.pdf</w:t>
        </w:r>
      </w:hyperlink>
      <w:r w:rsidRPr="00730187">
        <w:rPr>
          <w:sz w:val="24"/>
          <w:szCs w:val="24"/>
        </w:rPr>
        <w:t xml:space="preserve"> </w:t>
      </w:r>
    </w:p>
    <w:p w14:paraId="4C5400E2" w14:textId="77777777" w:rsidR="001038AA" w:rsidRDefault="001038AA" w:rsidP="001038AA">
      <w:pPr>
        <w:spacing w:after="240" w:line="480" w:lineRule="auto"/>
        <w:ind w:left="720" w:hanging="720"/>
        <w:jc w:val="both"/>
        <w:rPr>
          <w:sz w:val="24"/>
          <w:szCs w:val="24"/>
        </w:rPr>
      </w:pPr>
      <w:r w:rsidRPr="004E7DC7">
        <w:rPr>
          <w:sz w:val="24"/>
          <w:szCs w:val="24"/>
        </w:rPr>
        <w:t xml:space="preserve">Seal, R. (2022, May 27). </w:t>
      </w:r>
      <w:r w:rsidRPr="004E7DC7">
        <w:rPr>
          <w:rFonts w:eastAsiaTheme="majorEastAsia"/>
          <w:i/>
          <w:iCs/>
          <w:sz w:val="24"/>
          <w:szCs w:val="24"/>
        </w:rPr>
        <w:t>A comprehensive guide on HAR files</w:t>
      </w:r>
      <w:r w:rsidRPr="004E7DC7">
        <w:rPr>
          <w:sz w:val="24"/>
          <w:szCs w:val="24"/>
        </w:rPr>
        <w:t xml:space="preserve">. Keysight Blogs. </w:t>
      </w:r>
      <w:hyperlink r:id="rId14" w:tgtFrame="_new" w:history="1">
        <w:r w:rsidRPr="004E7DC7">
          <w:rPr>
            <w:rStyle w:val="Hyperlink"/>
            <w:rFonts w:eastAsiaTheme="majorEastAsia"/>
            <w:sz w:val="24"/>
            <w:szCs w:val="24"/>
          </w:rPr>
          <w:t>https://www.keysight.com/blogs/en/tech/nwvs/2022/05/27/a-comprehensive-guide-on-har-files</w:t>
        </w:r>
      </w:hyperlink>
    </w:p>
    <w:p w14:paraId="4DB2C9C6" w14:textId="77777777" w:rsidR="001038AA" w:rsidRDefault="001038AA" w:rsidP="001038AA">
      <w:pPr>
        <w:spacing w:after="240" w:line="480" w:lineRule="auto"/>
        <w:ind w:left="720" w:hanging="720"/>
        <w:jc w:val="both"/>
        <w:rPr>
          <w:sz w:val="24"/>
          <w:szCs w:val="24"/>
        </w:rPr>
      </w:pPr>
      <w:r w:rsidRPr="00BC3417">
        <w:rPr>
          <w:sz w:val="24"/>
          <w:szCs w:val="24"/>
        </w:rPr>
        <w:t xml:space="preserve">Koya, M. (2025, October 5). </w:t>
      </w:r>
      <w:r w:rsidRPr="00BC3417">
        <w:rPr>
          <w:rFonts w:eastAsiaTheme="majorEastAsia"/>
          <w:i/>
          <w:iCs/>
          <w:sz w:val="24"/>
          <w:szCs w:val="24"/>
        </w:rPr>
        <w:t>Back to Bork: The Video Privacy Protection Act’s struggle to define “consumer” in the digital age</w:t>
      </w:r>
      <w:r w:rsidRPr="00BC3417">
        <w:rPr>
          <w:sz w:val="24"/>
          <w:szCs w:val="24"/>
        </w:rPr>
        <w:t xml:space="preserve">. University of Cincinnati Law Review Blog. </w:t>
      </w:r>
      <w:hyperlink r:id="rId15" w:tgtFrame="_new" w:history="1">
        <w:r w:rsidRPr="00BC3417">
          <w:rPr>
            <w:rStyle w:val="Hyperlink"/>
            <w:rFonts w:eastAsiaTheme="majorEastAsia"/>
            <w:sz w:val="24"/>
            <w:szCs w:val="24"/>
          </w:rPr>
          <w:t>https://uclawreview.org/2025/10/05/back-to-bork-the-video-privacy-protection-acts-struggle-to-define-consumer-in-the-digital-age</w:t>
        </w:r>
      </w:hyperlink>
    </w:p>
    <w:p w14:paraId="5EF38B71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Kumho Tire Co. v. Carmichael, 526 U.S. 137 (1999).</w:t>
      </w:r>
    </w:p>
    <w:p w14:paraId="40395813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proofErr w:type="spellStart"/>
      <w:r w:rsidRPr="002369D1">
        <w:rPr>
          <w:sz w:val="24"/>
          <w:szCs w:val="24"/>
        </w:rPr>
        <w:t>Laperdrix</w:t>
      </w:r>
      <w:proofErr w:type="spellEnd"/>
      <w:r w:rsidRPr="002369D1">
        <w:rPr>
          <w:sz w:val="24"/>
          <w:szCs w:val="24"/>
        </w:rPr>
        <w:t xml:space="preserve">, P., Bielova, N., Baudry, B., &amp; </w:t>
      </w:r>
      <w:proofErr w:type="spellStart"/>
      <w:r w:rsidRPr="002369D1">
        <w:rPr>
          <w:sz w:val="24"/>
          <w:szCs w:val="24"/>
        </w:rPr>
        <w:t>Avoine</w:t>
      </w:r>
      <w:proofErr w:type="spellEnd"/>
      <w:r w:rsidRPr="002369D1">
        <w:rPr>
          <w:sz w:val="24"/>
          <w:szCs w:val="24"/>
        </w:rPr>
        <w:t xml:space="preserve">, G. (2020). </w:t>
      </w:r>
      <w:r w:rsidRPr="002369D1">
        <w:rPr>
          <w:rFonts w:eastAsiaTheme="majorEastAsia"/>
          <w:i/>
          <w:iCs/>
          <w:sz w:val="24"/>
          <w:szCs w:val="24"/>
        </w:rPr>
        <w:t>Browser fingerprinting: A survey</w:t>
      </w:r>
      <w:r w:rsidRPr="002369D1">
        <w:rPr>
          <w:sz w:val="24"/>
          <w:szCs w:val="24"/>
        </w:rPr>
        <w:t xml:space="preserve">. </w:t>
      </w:r>
      <w:r w:rsidRPr="002369D1">
        <w:rPr>
          <w:rFonts w:eastAsiaTheme="majorEastAsia"/>
          <w:i/>
          <w:iCs/>
          <w:sz w:val="24"/>
          <w:szCs w:val="24"/>
        </w:rPr>
        <w:t>ACM Transactions on the Web, 14</w:t>
      </w:r>
      <w:r w:rsidRPr="002369D1">
        <w:rPr>
          <w:sz w:val="24"/>
          <w:szCs w:val="24"/>
        </w:rPr>
        <w:t>(2), Article 8, 1–33</w:t>
      </w:r>
      <w:r w:rsidRPr="00EC0CF8">
        <w:rPr>
          <w:sz w:val="24"/>
          <w:szCs w:val="24"/>
        </w:rPr>
        <w:t>. https://doi.org/10.1145/3386040</w:t>
      </w:r>
    </w:p>
    <w:p w14:paraId="72F4AB90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lastRenderedPageBreak/>
        <w:t>Lorraine v. Markel American Insurance Co., 241 F.R.D. 534 (D. Md. 2007).</w:t>
      </w:r>
    </w:p>
    <w:p w14:paraId="2F66AB46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9B2AA2">
        <w:rPr>
          <w:sz w:val="24"/>
          <w:szCs w:val="24"/>
        </w:rPr>
        <w:t xml:space="preserve">Lyle, J. R., Guttman, B., Butler, J. M., Sauerwein, K., Reed, C., &amp; Lloyd, C. E. (2022, November). </w:t>
      </w:r>
      <w:r w:rsidRPr="009B2AA2">
        <w:rPr>
          <w:rFonts w:eastAsiaTheme="majorEastAsia"/>
          <w:i/>
          <w:iCs/>
          <w:sz w:val="24"/>
          <w:szCs w:val="24"/>
        </w:rPr>
        <w:t>Digital investigation techniques: A NIST scientific foundation review</w:t>
      </w:r>
      <w:r w:rsidRPr="009B2AA2">
        <w:rPr>
          <w:sz w:val="24"/>
          <w:szCs w:val="24"/>
        </w:rPr>
        <w:t xml:space="preserve"> (NIST Internal Report 8354). National Institute of Standards and Technology</w:t>
      </w:r>
      <w:r w:rsidRPr="00EC0CF8">
        <w:rPr>
          <w:sz w:val="24"/>
          <w:szCs w:val="24"/>
        </w:rPr>
        <w:t>. https://doi.org/10.6028/NIST.IR.8354</w:t>
      </w:r>
    </w:p>
    <w:p w14:paraId="10C56EEE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Michigan Preservation of Personal Privacy Act, Mich. Comp. Laws §§ 445.1711-445.1715 (1988).</w:t>
      </w:r>
    </w:p>
    <w:p w14:paraId="013D536B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712DEC">
        <w:rPr>
          <w:sz w:val="24"/>
          <w:szCs w:val="24"/>
        </w:rPr>
        <w:t xml:space="preserve">Hunt, A. J., Buckley, J. C., &amp; Ward, W. (2025, September 10). </w:t>
      </w:r>
      <w:r w:rsidRPr="00712DEC">
        <w:rPr>
          <w:rFonts w:eastAsiaTheme="majorEastAsia"/>
          <w:i/>
          <w:iCs/>
          <w:sz w:val="24"/>
          <w:szCs w:val="24"/>
        </w:rPr>
        <w:t>Recent developments in VPPA litigation: Where we were, where we are, and where we’re going</w:t>
      </w:r>
      <w:r w:rsidRPr="00712DEC">
        <w:rPr>
          <w:sz w:val="24"/>
          <w:szCs w:val="24"/>
        </w:rPr>
        <w:t xml:space="preserve">. Morrison &amp; Foerster. </w:t>
      </w:r>
      <w:r w:rsidRPr="00EC0CF8">
        <w:rPr>
          <w:sz w:val="24"/>
          <w:szCs w:val="24"/>
        </w:rPr>
        <w:t>https://www.mofo.com/resources/insights/250910-recent-developments-in-vppa-litigation</w:t>
      </w:r>
    </w:p>
    <w:p w14:paraId="28B5D0C4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Salazar v. Paramount Global, 133 F.4th 642 (6th Cir. 2025).</w:t>
      </w:r>
    </w:p>
    <w:p w14:paraId="6216BF13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Salazar v. Paramount Global, No. 25-459 (U.S. cert. granted Jan. 26, 2026).</w:t>
      </w:r>
    </w:p>
    <w:p w14:paraId="1DAD395F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Schwartz, P. M., &amp; Solove, D. J. (2011). The PII problem: Privacy and a new concept of personally identifiable information. New York University Law Review, 86(6), 1814-1894.</w:t>
      </w:r>
    </w:p>
    <w:p w14:paraId="197EBE3E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Scientific Working Group on Digital Evidence. (2025, November). Best practices for digital evidence collection (Document 18-F-002-2.0). https://www.swgde.org/documents/published-by-committee/forensics/</w:t>
      </w:r>
    </w:p>
    <w:p w14:paraId="2E550400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B96885">
        <w:rPr>
          <w:sz w:val="24"/>
          <w:szCs w:val="24"/>
          <w:highlight w:val="yellow"/>
        </w:rPr>
        <w:t xml:space="preserve">Sikos, L. F. (2020, March). </w:t>
      </w:r>
      <w:r w:rsidRPr="00B96885">
        <w:rPr>
          <w:rFonts w:eastAsiaTheme="majorEastAsia"/>
          <w:i/>
          <w:iCs/>
          <w:sz w:val="24"/>
          <w:szCs w:val="24"/>
          <w:highlight w:val="yellow"/>
        </w:rPr>
        <w:t>Packet analysis for network forensics: A comprehensive survey</w:t>
      </w:r>
      <w:r w:rsidRPr="00B96885">
        <w:rPr>
          <w:sz w:val="24"/>
          <w:szCs w:val="24"/>
          <w:highlight w:val="yellow"/>
        </w:rPr>
        <w:t xml:space="preserve">. </w:t>
      </w:r>
      <w:r w:rsidRPr="00B96885">
        <w:rPr>
          <w:rFonts w:eastAsiaTheme="majorEastAsia"/>
          <w:i/>
          <w:iCs/>
          <w:sz w:val="24"/>
          <w:szCs w:val="24"/>
          <w:highlight w:val="yellow"/>
        </w:rPr>
        <w:t>Forensic Science International: Digital Investigation, 32</w:t>
      </w:r>
      <w:r w:rsidRPr="00B96885">
        <w:rPr>
          <w:sz w:val="24"/>
          <w:szCs w:val="24"/>
          <w:highlight w:val="yellow"/>
        </w:rPr>
        <w:t>, 200892. https://doi.org/10.1016/j.fsidi.2019.200892</w:t>
      </w:r>
    </w:p>
    <w:p w14:paraId="0E8745AD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 xml:space="preserve">Solomon v. </w:t>
      </w:r>
      <w:proofErr w:type="spellStart"/>
      <w:r w:rsidRPr="00EC0CF8">
        <w:rPr>
          <w:sz w:val="24"/>
          <w:szCs w:val="24"/>
        </w:rPr>
        <w:t>Flipps</w:t>
      </w:r>
      <w:proofErr w:type="spellEnd"/>
      <w:r w:rsidRPr="00EC0CF8">
        <w:rPr>
          <w:sz w:val="24"/>
          <w:szCs w:val="24"/>
        </w:rPr>
        <w:t xml:space="preserve"> Media, Inc., 136 F.4th 41 (2d Cir. 2025).</w:t>
      </w:r>
    </w:p>
    <w:p w14:paraId="7688B0DF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proofErr w:type="spellStart"/>
      <w:r w:rsidRPr="00B655D0">
        <w:rPr>
          <w:sz w:val="24"/>
          <w:szCs w:val="24"/>
        </w:rPr>
        <w:lastRenderedPageBreak/>
        <w:t>Studiawan</w:t>
      </w:r>
      <w:proofErr w:type="spellEnd"/>
      <w:r w:rsidRPr="00B655D0">
        <w:rPr>
          <w:sz w:val="24"/>
          <w:szCs w:val="24"/>
        </w:rPr>
        <w:t xml:space="preserve">, H. (2024). Forensic analysis of iOS binary cookie files. </w:t>
      </w:r>
      <w:r w:rsidRPr="00B655D0">
        <w:rPr>
          <w:rFonts w:eastAsiaTheme="majorEastAsia"/>
          <w:i/>
          <w:iCs/>
          <w:sz w:val="24"/>
          <w:szCs w:val="24"/>
        </w:rPr>
        <w:t>Journal of Forensic Sciences, 69</w:t>
      </w:r>
      <w:r w:rsidRPr="00B655D0">
        <w:rPr>
          <w:sz w:val="24"/>
          <w:szCs w:val="24"/>
        </w:rPr>
        <w:t>(3), 1075–1087</w:t>
      </w:r>
      <w:r w:rsidRPr="00EC0CF8">
        <w:rPr>
          <w:sz w:val="24"/>
          <w:szCs w:val="24"/>
        </w:rPr>
        <w:t>. https://doi.org/10.1111/1556-4029.15499</w:t>
      </w:r>
    </w:p>
    <w:p w14:paraId="74F64F99" w14:textId="77777777" w:rsidR="001038AA" w:rsidRDefault="001038AA" w:rsidP="001038AA">
      <w:pPr>
        <w:spacing w:after="240" w:line="480" w:lineRule="auto"/>
        <w:ind w:left="720" w:hanging="720"/>
        <w:jc w:val="both"/>
        <w:rPr>
          <w:sz w:val="24"/>
          <w:szCs w:val="24"/>
        </w:rPr>
      </w:pPr>
      <w:r w:rsidRPr="00F37F6F">
        <w:rPr>
          <w:sz w:val="24"/>
          <w:szCs w:val="24"/>
        </w:rPr>
        <w:t xml:space="preserve">The Sedona Conference. (2020, October). </w:t>
      </w:r>
      <w:r w:rsidRPr="00F37F6F">
        <w:rPr>
          <w:rFonts w:eastAsiaTheme="majorEastAsia"/>
          <w:i/>
          <w:iCs/>
          <w:sz w:val="24"/>
          <w:szCs w:val="24"/>
        </w:rPr>
        <w:t>The Sedona Conference commentary on ESI evidence &amp; admissibility</w:t>
      </w:r>
      <w:r w:rsidRPr="00F37F6F">
        <w:rPr>
          <w:sz w:val="24"/>
          <w:szCs w:val="24"/>
        </w:rPr>
        <w:t xml:space="preserve"> (2nd ed.). </w:t>
      </w:r>
      <w:hyperlink r:id="rId16" w:tgtFrame="_new" w:history="1">
        <w:r w:rsidRPr="00F37F6F">
          <w:rPr>
            <w:rStyle w:val="Hyperlink"/>
            <w:rFonts w:eastAsiaTheme="majorEastAsia"/>
            <w:sz w:val="24"/>
            <w:szCs w:val="24"/>
          </w:rPr>
          <w:t>https://www.thesedonaconference.org/publication/Commentary_on_ESI_Evidence_and_Admissibility</w:t>
        </w:r>
      </w:hyperlink>
    </w:p>
    <w:p w14:paraId="285892B3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5875AD">
        <w:rPr>
          <w:sz w:val="24"/>
          <w:szCs w:val="24"/>
        </w:rPr>
        <w:t xml:space="preserve">U.S. Senate, Committee on the Judiciary. (1988, October 21). </w:t>
      </w:r>
      <w:r w:rsidRPr="005875AD">
        <w:rPr>
          <w:rFonts w:eastAsiaTheme="majorEastAsia"/>
          <w:i/>
          <w:iCs/>
          <w:sz w:val="24"/>
          <w:szCs w:val="24"/>
        </w:rPr>
        <w:t>The Video Privacy Protection Act of 1988</w:t>
      </w:r>
      <w:r w:rsidRPr="005875AD">
        <w:rPr>
          <w:sz w:val="24"/>
          <w:szCs w:val="24"/>
        </w:rPr>
        <w:t xml:space="preserve"> (S. Rep. No. 100-599). </w:t>
      </w:r>
      <w:r w:rsidRPr="00EC0CF8">
        <w:rPr>
          <w:sz w:val="24"/>
          <w:szCs w:val="24"/>
        </w:rPr>
        <w:t>https://epic.org/wp-content/uploads/privacy/vppa/Senate-Report-100-599.pdf</w:t>
      </w:r>
    </w:p>
    <w:p w14:paraId="6900A914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600FF3">
        <w:rPr>
          <w:sz w:val="24"/>
          <w:szCs w:val="24"/>
        </w:rPr>
        <w:t xml:space="preserve">U.S. Senate, Committee on the Judiciary, Subcommittee on Privacy, Technology and the Law. (2012, January 31). </w:t>
      </w:r>
      <w:r w:rsidRPr="00600FF3">
        <w:rPr>
          <w:rFonts w:eastAsiaTheme="majorEastAsia"/>
          <w:i/>
          <w:iCs/>
          <w:sz w:val="24"/>
          <w:szCs w:val="24"/>
        </w:rPr>
        <w:t>The Video Privacy Protection Act: Protecting viewer privacy in the 21st century</w:t>
      </w:r>
      <w:r w:rsidRPr="00600FF3">
        <w:rPr>
          <w:sz w:val="24"/>
          <w:szCs w:val="24"/>
        </w:rPr>
        <w:t xml:space="preserve"> (S. </w:t>
      </w:r>
      <w:proofErr w:type="spellStart"/>
      <w:r w:rsidRPr="00600FF3">
        <w:rPr>
          <w:sz w:val="24"/>
          <w:szCs w:val="24"/>
        </w:rPr>
        <w:t>Hrg</w:t>
      </w:r>
      <w:proofErr w:type="spellEnd"/>
      <w:r w:rsidRPr="00600FF3">
        <w:rPr>
          <w:sz w:val="24"/>
          <w:szCs w:val="24"/>
        </w:rPr>
        <w:t xml:space="preserve">. 112–869). U.S. Government Publishing Office. </w:t>
      </w:r>
      <w:r w:rsidRPr="00EC0CF8">
        <w:rPr>
          <w:sz w:val="24"/>
          <w:szCs w:val="24"/>
        </w:rPr>
        <w:t>https://www.govinfo.gov/content/pkg/CHRG-112shrg87342/html/CHRG-112shrg87342.htm</w:t>
      </w:r>
    </w:p>
    <w:p w14:paraId="59634C1D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7531EE">
        <w:rPr>
          <w:sz w:val="24"/>
          <w:szCs w:val="24"/>
        </w:rPr>
        <w:t xml:space="preserve">U.S. Senate, Committee on the Judiciary. (2012, December 20). </w:t>
      </w:r>
      <w:r w:rsidRPr="007531EE">
        <w:rPr>
          <w:rFonts w:eastAsiaTheme="majorEastAsia"/>
          <w:i/>
          <w:iCs/>
          <w:sz w:val="24"/>
          <w:szCs w:val="24"/>
        </w:rPr>
        <w:t>Video Privacy Protection Act Amendments Act of 2012</w:t>
      </w:r>
      <w:r w:rsidRPr="007531EE">
        <w:rPr>
          <w:sz w:val="24"/>
          <w:szCs w:val="24"/>
        </w:rPr>
        <w:t xml:space="preserve"> (S. Rep. No. 112-258). U.S. Government Publishing Office. </w:t>
      </w:r>
      <w:r w:rsidRPr="00EC0CF8">
        <w:rPr>
          <w:sz w:val="24"/>
          <w:szCs w:val="24"/>
        </w:rPr>
        <w:t>https://www.govinfo.gov/content/pkg/CRPT-112srpt258/html/CRPT-112srpt258.htm</w:t>
      </w:r>
    </w:p>
    <w:p w14:paraId="516BEB4C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Video Privacy Protection Act, 18 U.S.C. § 2710 (1988).</w:t>
      </w:r>
    </w:p>
    <w:p w14:paraId="342E98A1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B11B19">
        <w:rPr>
          <w:sz w:val="24"/>
          <w:szCs w:val="24"/>
          <w:highlight w:val="yellow"/>
        </w:rPr>
        <w:t>Video Privacy Protection Act Amendments Act, Pub. L. No. 112-258, 126 Stat. 2414 (2012).</w:t>
      </w:r>
    </w:p>
    <w:p w14:paraId="7AA2200B" w14:textId="77777777" w:rsidR="001038AA" w:rsidRPr="00EC0CF8" w:rsidRDefault="001038AA" w:rsidP="001038AA">
      <w:pPr>
        <w:spacing w:after="240" w:line="480" w:lineRule="auto"/>
        <w:ind w:left="720" w:hanging="720"/>
        <w:jc w:val="both"/>
      </w:pPr>
      <w:r w:rsidRPr="00EC0CF8">
        <w:rPr>
          <w:sz w:val="24"/>
          <w:szCs w:val="24"/>
        </w:rPr>
        <w:t>Yershov v. Gannett Satellite Info. Network, Inc., 820 F.3d 482 (1st Cir. 2016).</w:t>
      </w:r>
    </w:p>
    <w:p w14:paraId="1CF6C47B" w14:textId="77777777" w:rsidR="001038AA" w:rsidRDefault="001038AA"/>
    <w:sectPr w:rsidR="001038AA" w:rsidSect="001038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AA"/>
    <w:rsid w:val="001038AA"/>
    <w:rsid w:val="00225781"/>
    <w:rsid w:val="004A6A4C"/>
    <w:rsid w:val="006664E1"/>
    <w:rsid w:val="00B11B19"/>
    <w:rsid w:val="00B17A3E"/>
    <w:rsid w:val="00B96885"/>
    <w:rsid w:val="00C1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ECD0"/>
  <w15:chartTrackingRefBased/>
  <w15:docId w15:val="{03C34102-1D5E-4D9C-8ED5-8EFC91BE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8A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8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8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8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8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8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8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038AA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7A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tc.gov/news-events/news/press-releases/2023/07/ftc-hhs-warn-hospital-systems-telehealth-providers-about-privacy-security-risks-online-tracking-technologies" TargetMode="External"/><Relationship Id="rId13" Type="http://schemas.openxmlformats.org/officeDocument/2006/relationships/hyperlink" Target="https://nvlpubs.nist.gov/nistpubs/Legacy/SP/nistspecialpublication800-86.pdf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www.ftc.gov/news-events/news/press-releases/2023/02/ftc-enforcement-action-bar-goodrx-sharing-consumers-sensitive-health-info-advertising?utm_source=chatgpt.com" TargetMode="External"/><Relationship Id="rId12" Type="http://schemas.openxmlformats.org/officeDocument/2006/relationships/hyperlink" Target="https://law.baylor.edu/sites/g/files/ecbvkj1546/files/2023-11/7_grimm_capra_joseph.pdf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thesedonaconference.org/publication/Commentary_on_ESI_Evidence_and_Admissibility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brooklynworks.brooklaw.edu/blr/vol90/iss2/5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uclawreview.org/2025/10/05/back-to-bork-the-video-privacy-protection-acts-struggle-to-define-consumer-in-the-digital-age/?utm_source=chatgpt.com" TargetMode="External"/><Relationship Id="rId10" Type="http://schemas.openxmlformats.org/officeDocument/2006/relationships/hyperlink" Target="https://fpf.org/wp-content/uploads/2024/11/REPORT-Anatomy-of-State-Comprehensive-Privacy-Law.pdf?utm_source=chatgpt.com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ftc.gov/news-events/news/press-releases/2024/04/proposed-ftc-order-will-prohibit-telehealth-firm-cerebral-using-or-disclosing-sensitive-data?utm_source=chatgpt.com" TargetMode="External"/><Relationship Id="rId14" Type="http://schemas.openxmlformats.org/officeDocument/2006/relationships/hyperlink" Target="https://www.keysight.com/blogs/en/tech/nwvs/2022/05/27/a-comprehensive-guide-on-har-fil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f88289-76c0-491a-83aa-e4d2413756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9549D464B4A94E99D040AFC98A79E6" ma:contentTypeVersion="11" ma:contentTypeDescription="Create a new document." ma:contentTypeScope="" ma:versionID="f33b2a9579b713009c80dbbdeda8043d">
  <xsd:schema xmlns:xsd="http://www.w3.org/2001/XMLSchema" xmlns:xs="http://www.w3.org/2001/XMLSchema" xmlns:p="http://schemas.microsoft.com/office/2006/metadata/properties" xmlns:ns3="2ef88289-76c0-491a-83aa-e4d241375661" xmlns:ns4="ef5b3231-df22-4135-98e0-cf0d3b79c4ec" targetNamespace="http://schemas.microsoft.com/office/2006/metadata/properties" ma:root="true" ma:fieldsID="86ae5baef8828bc825c75b7f0e38b5d5" ns3:_="" ns4:_="">
    <xsd:import namespace="2ef88289-76c0-491a-83aa-e4d241375661"/>
    <xsd:import namespace="ef5b3231-df22-4135-98e0-cf0d3b79c4e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MigrationSourceID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88289-76c0-491a-83aa-e4d24137566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b3231-df22-4135-98e0-cf0d3b79c4ec" elementFormDefault="qualified">
    <xsd:import namespace="http://schemas.microsoft.com/office/2006/documentManagement/types"/>
    <xsd:import namespace="http://schemas.microsoft.com/office/infopath/2007/PartnerControls"/>
    <xsd:element name="MigrationSourceID" ma:index="14" nillable="true" ma:displayName="MigrationSourceID" ma:internalName="MigrationSource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4AD4BB-465F-4909-9E4E-1C822DC757D1}">
  <ds:schemaRefs>
    <ds:schemaRef ds:uri="http://schemas.microsoft.com/office/2006/metadata/properties"/>
    <ds:schemaRef ds:uri="http://schemas.microsoft.com/office/infopath/2007/PartnerControls"/>
    <ds:schemaRef ds:uri="2ef88289-76c0-491a-83aa-e4d241375661"/>
  </ds:schemaRefs>
</ds:datastoreItem>
</file>

<file path=customXml/itemProps2.xml><?xml version="1.0" encoding="utf-8"?>
<ds:datastoreItem xmlns:ds="http://schemas.openxmlformats.org/officeDocument/2006/customXml" ds:itemID="{F37CF0B0-D282-4EA6-8C48-1746D35E9A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15E6B3-D023-49AF-8EC7-03CC643648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88289-76c0-491a-83aa-e4d241375661"/>
    <ds:schemaRef ds:uri="ef5b3231-df22-4135-98e0-cf0d3b79c4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1088</Words>
  <Characters>8576</Characters>
  <Application>Microsoft Office Word</Application>
  <DocSecurity>0</DocSecurity>
  <Lines>145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Antwi</dc:creator>
  <cp:keywords/>
  <dc:description/>
  <cp:lastModifiedBy>NOBLE ANTWI</cp:lastModifiedBy>
  <cp:revision>7</cp:revision>
  <dcterms:created xsi:type="dcterms:W3CDTF">2026-02-27T22:20:00Z</dcterms:created>
  <dcterms:modified xsi:type="dcterms:W3CDTF">2026-03-11T17:41:00Z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0x010100FD9549D464B4A94E99D040AFC98A79E6</vt:lpwstr>
  </property>
</Properties>
</file>