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Noble Antwi</w:t>
      </w:r>
    </w:p>
    <w:p>
      <w:r>
        <w:rPr>
          <w:sz w:val="24"/>
          <w:szCs w:val="24"/>
        </w:rPr>
        <w:t xml:space="preserve">February 25, 2026</w:t>
      </w:r>
    </w:p>
    <w:p>
      <w:r>
        <w:rPr>
          <w:sz w:val="24"/>
          <w:szCs w:val="24"/>
        </w:rPr>
        <w:t xml:space="preserve">ITMS-583: Digital Evidence</w:t>
      </w:r>
    </w:p>
    <w:p>
      <w:r>
        <w:rPr>
          <w:sz w:val="24"/>
          <w:szCs w:val="24"/>
        </w:rPr>
        <w:t xml:space="preserve">The Video Privacy Protection Act: When a 1988 VHS-Era Statute Meets Modern Digital Tracking</w:t>
      </w:r>
    </w:p>
    <w:p/>
    <w:p>
      <w:pPr>
        <w:jc w:val="center"/>
      </w:pPr>
      <w:r>
        <w:rPr>
          <w:b/>
          <w:bCs/>
          <w:sz w:val="24"/>
          <w:szCs w:val="24"/>
        </w:rPr>
        <w:t xml:space="preserve">Bibliography</w:t>
      </w:r>
    </w:p>
    <w:p/>
    <w:p>
      <w:pPr>
        <w:spacing w:before="0" w:after="240"/>
        <w:ind w:left="720" w:hanging="720"/>
      </w:pPr>
      <w:r>
        <w:rPr>
          <w:sz w:val="24"/>
          <w:szCs w:val="24"/>
        </w:rPr>
        <w:t xml:space="preserve">Acar, G., Eubank, C., Englehardt, S., Juarez, M., Narayanan, A., &amp; Diaz, C. (2014). The web never forgets: Persistent tracking mechanisms in the wild. In </w:t>
      </w:r>
      <w:r>
        <w:rPr>
          <w:i/>
          <w:iCs/>
          <w:sz w:val="24"/>
          <w:szCs w:val="24"/>
        </w:rPr>
        <w:t xml:space="preserve">Proceedings of the 2014 ACM SIGSAC Conference on Computer and Communications Security</w:t>
      </w:r>
      <w:r>
        <w:rPr>
          <w:sz w:val="24"/>
          <w:szCs w:val="24"/>
        </w:rPr>
        <w:t xml:space="preserve"> (pp. 674-689). ACM. https://doi.org/10.1145/2660267.2660347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Ayers, R., Brothers, S., &amp; Jansen, W. (2014). </w:t>
      </w:r>
      <w:r>
        <w:rPr>
          <w:i/>
          <w:iCs/>
          <w:sz w:val="24"/>
          <w:szCs w:val="24"/>
        </w:rPr>
        <w:t xml:space="preserve">Guidelines on mobile device forensics</w:t>
      </w:r>
      <w:r>
        <w:rPr>
          <w:sz w:val="24"/>
          <w:szCs w:val="24"/>
        </w:rPr>
        <w:t xml:space="preserve"> (NIST Special Publication 800-101 Rev. 1). National Institute of Standards and Technology. https://doi.org/10.6028/NIST.SP.800-101r1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Bashir, M. A., Arshad, S., &amp; Robertson, W. (2023). The hitchhiker's guide to Facebook web tracking with invisible pixels and click IDs. In </w:t>
      </w:r>
      <w:r>
        <w:rPr>
          <w:i/>
          <w:iCs/>
          <w:sz w:val="24"/>
          <w:szCs w:val="24"/>
        </w:rPr>
        <w:t xml:space="preserve">Proceedings of the ACM Web Conference 2023</w:t>
      </w:r>
      <w:r>
        <w:rPr>
          <w:sz w:val="24"/>
          <w:szCs w:val="24"/>
        </w:rPr>
        <w:t xml:space="preserve"> (pp. 1344-1354). ACM. https://doi.org/10.1145/3543507.3583311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California Consumer Privacy Act, Cal. Civ. Code §§ 1798.100-1798.199 (2018).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Daubert v. Merrell Dow Pharmaceuticals, Inc., 509 U.S. 579 (1993).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Eichenberger v. ESPN, Inc., 876 F.3d 979 (9th Cir. 2017).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Englehardt, S., &amp; Narayanan, A. (2016). Online tracking: A 1-million-site measurement and analysis. In </w:t>
      </w:r>
      <w:r>
        <w:rPr>
          <w:i/>
          <w:iCs/>
          <w:sz w:val="24"/>
          <w:szCs w:val="24"/>
        </w:rPr>
        <w:t xml:space="preserve">Proceedings of the 2016 ACM SIGSAC Conference on Computer and Communications Security</w:t>
      </w:r>
      <w:r>
        <w:rPr>
          <w:sz w:val="24"/>
          <w:szCs w:val="24"/>
        </w:rPr>
        <w:t xml:space="preserve"> (pp. 1388-1401). ACM. https://doi.org/10.1145/2976749.2978313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Federal Trade Commission. (2023, February 1). </w:t>
      </w:r>
      <w:r>
        <w:rPr>
          <w:i/>
          <w:iCs/>
          <w:sz w:val="24"/>
          <w:szCs w:val="24"/>
        </w:rPr>
        <w:t xml:space="preserve">FTC enforcement action to bar GoodRx from sharing consumers' sensitive health info for advertising</w:t>
      </w:r>
      <w:r>
        <w:rPr>
          <w:sz w:val="24"/>
          <w:szCs w:val="24"/>
        </w:rPr>
        <w:t xml:space="preserve"> [Press release]. https://www.ftc.gov/news-events/news/press-releases/2023/02/ftc-enforcement-action-bar-goodrx-sharing-consumers-sensitive-health-info-advertising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Federal Trade Commission. (2023, March 2). </w:t>
      </w:r>
      <w:r>
        <w:rPr>
          <w:i/>
          <w:iCs/>
          <w:sz w:val="24"/>
          <w:szCs w:val="24"/>
        </w:rPr>
        <w:t xml:space="preserve">FTC to ban BetterHelp from revealing consumers' data, including sensitive mental health information, to Facebook and others for targeted advertising</w:t>
      </w:r>
      <w:r>
        <w:rPr>
          <w:sz w:val="24"/>
          <w:szCs w:val="24"/>
        </w:rPr>
        <w:t xml:space="preserve"> [Press release]. https://www.ftc.gov/news-events/news/press-releases/2023/03/ftc-ban-betterhelp-revealing-consumers-data-including-sensitive-mental-health-information-facebook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Federal Trade Commission. (2023, July 20). </w:t>
      </w:r>
      <w:r>
        <w:rPr>
          <w:i/>
          <w:iCs/>
          <w:sz w:val="24"/>
          <w:szCs w:val="24"/>
        </w:rPr>
        <w:t xml:space="preserve">FTC and HHS warn hospital systems and telehealth providers about online tracking technologies</w:t>
      </w:r>
      <w:r>
        <w:rPr>
          <w:sz w:val="24"/>
          <w:szCs w:val="24"/>
        </w:rPr>
        <w:t xml:space="preserve"> [Press release]. https://www.ftc.gov/news-events/news/press-releases/2023/07/ftc-hhs-warn-hospital-systems-telehealth-providers-about-online-tracking-technologies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Federal Trade Commission. (2024, April 22). </w:t>
      </w:r>
      <w:r>
        <w:rPr>
          <w:i/>
          <w:iCs/>
          <w:sz w:val="24"/>
          <w:szCs w:val="24"/>
        </w:rPr>
        <w:t xml:space="preserve">Cerebral to pay $7 million fine and limit health data use for ads under federal order</w:t>
      </w:r>
      <w:r>
        <w:rPr>
          <w:sz w:val="24"/>
          <w:szCs w:val="24"/>
        </w:rPr>
        <w:t xml:space="preserve"> [Press release]. https://www.ftc.gov/news-events/news/press-releases/2024/04/cerebral-pay-7-million-fine-limit-health-data-use-ads-under-federal-order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Francis, J. (2024, November). </w:t>
      </w:r>
      <w:r>
        <w:rPr>
          <w:i/>
          <w:iCs/>
          <w:sz w:val="24"/>
          <w:szCs w:val="24"/>
        </w:rPr>
        <w:t xml:space="preserve">Anatomy of state comprehensive privacy law: Surveying the state privacy law landscape and recent legislative trends</w:t>
      </w:r>
      <w:r>
        <w:rPr>
          <w:sz w:val="24"/>
          <w:szCs w:val="24"/>
        </w:rPr>
        <w:t xml:space="preserve"> (FPF U.S. Legislation Report). Future of Privacy Forum. https://fpf.org/wp-content/uploads/2024/11/REPORT-Anatomy-of-State-Comprehensive-Privacy-Law.pdf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Gemdjian, E. (2025). The extraordinary extension of the Video Privacy Protection Act: Why the "ordinary course of business" of an analog era is anything but ordinary in the digital world. </w:t>
      </w:r>
      <w:r>
        <w:rPr>
          <w:i/>
          <w:iCs/>
          <w:sz w:val="24"/>
          <w:szCs w:val="24"/>
        </w:rPr>
        <w:t xml:space="preserve">Brooklyn Law Review, 90</w:t>
      </w:r>
      <w:r>
        <w:rPr>
          <w:sz w:val="24"/>
          <w:szCs w:val="24"/>
        </w:rPr>
        <w:t xml:space="preserve">(2), 553. https://brooklynworks.brooklaw.edu/blr/vol90/iss2/5/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Grimm, P. W., Capra, D. J., &amp; Joseph, G. P. (2017). Authenticating digital evidence. </w:t>
      </w:r>
      <w:r>
        <w:rPr>
          <w:i/>
          <w:iCs/>
          <w:sz w:val="24"/>
          <w:szCs w:val="24"/>
        </w:rPr>
        <w:t xml:space="preserve">Baylor Law Review, 69</w:t>
      </w:r>
      <w:r>
        <w:rPr>
          <w:sz w:val="24"/>
          <w:szCs w:val="24"/>
        </w:rPr>
        <w:t xml:space="preserve">(1), 1-55. https://law.baylor.edu/sites/g/files/ecbvkj1546/files/2023-11/7_grimm_capra_joseph.pdf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Hughes v. National Football League, 138 F.4th 225 (2d Cir. 2025).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Hunt, A. J., Buckley, J. C., &amp; Ward, W. (2025, September 10). Recent developments in VPPA litigation: Where we were, where we are, and where we're going. Morrison &amp; Foerster. https://www.mofo.com/resources/insights/250910-recent-developments-in-vppa-litigation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Hunton Andrews Kurth LLP. (2025, December). 2025 Video Privacy Protection Act litigation year in review. </w:t>
      </w:r>
      <w:r>
        <w:rPr>
          <w:i/>
          <w:iCs/>
          <w:sz w:val="24"/>
          <w:szCs w:val="24"/>
        </w:rPr>
        <w:t xml:space="preserve">Privacy World</w:t>
      </w:r>
      <w:r>
        <w:rPr>
          <w:sz w:val="24"/>
          <w:szCs w:val="24"/>
        </w:rPr>
        <w:t xml:space="preserve">. https://www.privacyworld.blog/2025/12/2025-video-privacy-protection-act-litigation-year-in-review/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In re Nickelodeon Consumer Privacy Litigation, 827 F.3d 262 (3d Cir. 2016).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International Association of Privacy Professionals. (2026, February 13). </w:t>
      </w:r>
      <w:r>
        <w:rPr>
          <w:i/>
          <w:iCs/>
          <w:sz w:val="24"/>
          <w:szCs w:val="24"/>
        </w:rPr>
        <w:t xml:space="preserve">US state privacy legislation tracker</w:t>
      </w:r>
      <w:r>
        <w:rPr>
          <w:sz w:val="24"/>
          <w:szCs w:val="24"/>
        </w:rPr>
        <w:t xml:space="preserve">. https://iapp.org/resources/article/us-state-privacy-legislation-tracker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Ioannou, K. (2024, November 17). The VPPA lawsuit wave: Old laws meet new tech. </w:t>
      </w:r>
      <w:r>
        <w:rPr>
          <w:i/>
          <w:iCs/>
          <w:sz w:val="24"/>
          <w:szCs w:val="24"/>
        </w:rPr>
        <w:t xml:space="preserve">Darrow</w:t>
      </w:r>
      <w:r>
        <w:rPr>
          <w:sz w:val="24"/>
          <w:szCs w:val="24"/>
        </w:rPr>
        <w:t xml:space="preserve">. https://www.darrow.ai/resources/vppa-settlement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Kent, K., Chevalier, S., Grance, T., &amp; Dang, H. (2006, August). </w:t>
      </w:r>
      <w:r>
        <w:rPr>
          <w:i/>
          <w:iCs/>
          <w:sz w:val="24"/>
          <w:szCs w:val="24"/>
        </w:rPr>
        <w:t xml:space="preserve">Guide to integrating forensic techniques into incident response</w:t>
      </w:r>
      <w:r>
        <w:rPr>
          <w:sz w:val="24"/>
          <w:szCs w:val="24"/>
        </w:rPr>
        <w:t xml:space="preserve"> (NIST Special Publication 800-86). National Institute of Standards and Technology. https://nvlpubs.nist.gov/nistpubs/Legacy/SP/nistspecialpublication800-86.pdf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Koya, M. (2025, October 5). Back to Bork: The Video Privacy Protection Act's struggle to define "consumer" in the digital age. </w:t>
      </w:r>
      <w:r>
        <w:rPr>
          <w:i/>
          <w:iCs/>
          <w:sz w:val="24"/>
          <w:szCs w:val="24"/>
        </w:rPr>
        <w:t xml:space="preserve">University of Cincinnati Law Review Blog</w:t>
      </w:r>
      <w:r>
        <w:rPr>
          <w:sz w:val="24"/>
          <w:szCs w:val="24"/>
        </w:rPr>
        <w:t xml:space="preserve">. https://uclawreview.org/2025/10/05/back-to-bork-the-video-privacy-protection-acts-struggle-to-define-consumer-in-the-digital-age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Kumho Tire Co. v. Carmichael, 526 U.S. 137 (1999).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Laperdrix, P., Bielova, N., Baudry, B., &amp; Avoine, G. (2020). Browser fingerprinting: A survey. </w:t>
      </w:r>
      <w:r>
        <w:rPr>
          <w:i/>
          <w:iCs/>
          <w:sz w:val="24"/>
          <w:szCs w:val="24"/>
        </w:rPr>
        <w:t xml:space="preserve">ACM Transactions on the Web, 14</w:t>
      </w:r>
      <w:r>
        <w:rPr>
          <w:sz w:val="24"/>
          <w:szCs w:val="24"/>
        </w:rPr>
        <w:t xml:space="preserve">(2), Article 8, 1-33. https://doi.org/10.1145/3386040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Lorraine v. Markel American Insurance Co., 241 F.R.D. 534 (D. Md. 2007).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Lyle, J. R., Guttman, B., Butler, J. M., Sauerwein, K., Reed, C., &amp; Lloyd, C. E. (2022, November). </w:t>
      </w:r>
      <w:r>
        <w:rPr>
          <w:i/>
          <w:iCs/>
          <w:sz w:val="24"/>
          <w:szCs w:val="24"/>
        </w:rPr>
        <w:t xml:space="preserve">Digital investigation techniques: A NIST scientific foundation review</w:t>
      </w:r>
      <w:r>
        <w:rPr>
          <w:sz w:val="24"/>
          <w:szCs w:val="24"/>
        </w:rPr>
        <w:t xml:space="preserve"> (NIST Internal Report 8354). National Institute of Standards and Technology. https://doi.org/10.6028/NIST.IR.8354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Michigan Preservation of Personal Privacy Act, Mich. Comp. Laws §§ 445.1711-445.1715 (1988).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Salazar v. Paramount Global, 133 F.4th 642 (6th Cir. 2025).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Salazar v. Paramount Global, No. 25-459 (U.S. cert. granted Jan. 26, 2026).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Schwartz, P. M., &amp; Solove, D. J. (2011). The PII problem: Privacy and a new concept of personally identifiable information. </w:t>
      </w:r>
      <w:r>
        <w:rPr>
          <w:i/>
          <w:iCs/>
          <w:sz w:val="24"/>
          <w:szCs w:val="24"/>
        </w:rPr>
        <w:t xml:space="preserve">New York University Law Review, 86</w:t>
      </w:r>
      <w:r>
        <w:rPr>
          <w:sz w:val="24"/>
          <w:szCs w:val="24"/>
        </w:rPr>
        <w:t xml:space="preserve">(6), 1814-1894.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Scientific Working Group on Digital Evidence. (2025, November). </w:t>
      </w:r>
      <w:r>
        <w:rPr>
          <w:i/>
          <w:iCs/>
          <w:sz w:val="24"/>
          <w:szCs w:val="24"/>
        </w:rPr>
        <w:t xml:space="preserve">Best practices for digital evidence collection</w:t>
      </w:r>
      <w:r>
        <w:rPr>
          <w:sz w:val="24"/>
          <w:szCs w:val="24"/>
        </w:rPr>
        <w:t xml:space="preserve"> (Document 18-F-002-2.0). https://www.swgde.org/wp-content/uploads/2025/07/2025-06-30-Best-Practices-for-Digital-Evidence-Collection-18-F-002-2.0.pdf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Seal, R. (2022, May 27). A comprehensive guide on HAR files. </w:t>
      </w:r>
      <w:r>
        <w:rPr>
          <w:i/>
          <w:iCs/>
          <w:sz w:val="24"/>
          <w:szCs w:val="24"/>
        </w:rPr>
        <w:t xml:space="preserve">Keysight Blogs</w:t>
      </w:r>
      <w:r>
        <w:rPr>
          <w:sz w:val="24"/>
          <w:szCs w:val="24"/>
        </w:rPr>
        <w:t xml:space="preserve">. https://blogs.keysight.com/blogs/tech/nwvs.entry.html/2022/05/27/a_comprehensive_guideonharfiles-y4dm.html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Sikos, L. F. (2020, March). Packet analysis for network forensics: A comprehensive survey. </w:t>
      </w:r>
      <w:r>
        <w:rPr>
          <w:i/>
          <w:iCs/>
          <w:sz w:val="24"/>
          <w:szCs w:val="24"/>
        </w:rPr>
        <w:t xml:space="preserve">Forensic Science International: Digital Investigation, 32</w:t>
      </w:r>
      <w:r>
        <w:rPr>
          <w:sz w:val="24"/>
          <w:szCs w:val="24"/>
        </w:rPr>
        <w:t xml:space="preserve">, 200892. https://doi.org/10.1016/j.fsidi.2019.200892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Solomon v. Flipps Media, Inc., 136 F.4th 41 (2d Cir. 2025).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Studiawan, H. (2024). Forensic analysis of iOS binary cookie files. </w:t>
      </w:r>
      <w:r>
        <w:rPr>
          <w:i/>
          <w:iCs/>
          <w:sz w:val="24"/>
          <w:szCs w:val="24"/>
        </w:rPr>
        <w:t xml:space="preserve">Journal of Forensic Sciences, 69</w:t>
      </w:r>
      <w:r>
        <w:rPr>
          <w:sz w:val="24"/>
          <w:szCs w:val="24"/>
        </w:rPr>
        <w:t xml:space="preserve">(3), 1075-1087. https://doi.org/10.1111/1556-4029.15499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The Sedona Conference. (2020, October). </w:t>
      </w:r>
      <w:r>
        <w:rPr>
          <w:i/>
          <w:iCs/>
          <w:sz w:val="24"/>
          <w:szCs w:val="24"/>
        </w:rPr>
        <w:t xml:space="preserve">The Sedona Conference commentary on ESI evidence &amp; admissibility</w:t>
      </w:r>
      <w:r>
        <w:rPr>
          <w:sz w:val="24"/>
          <w:szCs w:val="24"/>
        </w:rPr>
        <w:t xml:space="preserve"> (2nd ed.). https://thesedonaconference.org/publication/Commentary_on_ESI_Evidence_and_Admissibility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U.S. Senate, Committee on the Judiciary. (1988, October 21). </w:t>
      </w:r>
      <w:r>
        <w:rPr>
          <w:i/>
          <w:iCs/>
          <w:sz w:val="24"/>
          <w:szCs w:val="24"/>
        </w:rPr>
        <w:t xml:space="preserve">The Video Privacy Protection Act of 1988</w:t>
      </w:r>
      <w:r>
        <w:rPr>
          <w:sz w:val="24"/>
          <w:szCs w:val="24"/>
        </w:rPr>
        <w:t xml:space="preserve"> (S. Rep. No. 100-599). https://epic.org/wp-content/uploads/privacy/vppa/Senate-Report-100-599.pdf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U.S. Senate, Committee on the Judiciary. (2012, December 20). </w:t>
      </w:r>
      <w:r>
        <w:rPr>
          <w:i/>
          <w:iCs/>
          <w:sz w:val="24"/>
          <w:szCs w:val="24"/>
        </w:rPr>
        <w:t xml:space="preserve">Video Privacy Protection Act Amendments Act of 2012</w:t>
      </w:r>
      <w:r>
        <w:rPr>
          <w:sz w:val="24"/>
          <w:szCs w:val="24"/>
        </w:rPr>
        <w:t xml:space="preserve"> (S. Rep. No. 112-258). U.S. Government Publishing Office. https://www.govinfo.gov/content/pkg/CRPT-112srpt258/html/CRPT-112srpt258.htm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U.S. Senate, Committee on the Judiciary, Subcommittee on Privacy, Technology and the Law. (2012, January 31). </w:t>
      </w:r>
      <w:r>
        <w:rPr>
          <w:i/>
          <w:iCs/>
          <w:sz w:val="24"/>
          <w:szCs w:val="24"/>
        </w:rPr>
        <w:t xml:space="preserve">The Video Privacy Protection Act: Protecting viewer privacy in the 21st century</w:t>
      </w:r>
      <w:r>
        <w:rPr>
          <w:sz w:val="24"/>
          <w:szCs w:val="24"/>
        </w:rPr>
        <w:t xml:space="preserve"> (S. Hrg. 112-869). U.S. Government Publishing Office. https://www.govinfo.gov/content/pkg/CHRG-112shrg87342/html/CHRG-112shrg87342.htm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Video Privacy Protection Act, 18 U.S.C. § 2710 (1988).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Video Privacy Protection Act Amendments Act, Pub. L. No. 112-258, 126 Stat. 2414 (2012).</w:t>
      </w:r>
    </w:p>
    <w:p>
      <w:pPr>
        <w:spacing w:before="0" w:after="240"/>
        <w:ind w:left="720" w:hanging="720"/>
      </w:pPr>
      <w:r>
        <w:rPr>
          <w:sz w:val="24"/>
          <w:szCs w:val="24"/>
        </w:rPr>
        <w:t xml:space="preserve">Yershov v. Gannett Satellite Info. Network, Inc., 820 F.3d 482 (1st Cir. 2016).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2026-03-11T21:12:19.270Z</dcterms:created>
  <dcterms:modified xsi:type="dcterms:W3CDTF">2026-03-11T21:12:19.271Z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