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Drift Diagnostic Remediation Outline</w:t>
      </w:r>
    </w:p>
    <w:p>
      <w:r>
        <w:t>Based on the captured Coherence Kernel metrics during the diagnostic, we classify the required stability interventions into the following 3 core vectors:</w:t>
      </w:r>
    </w:p>
    <w:p>
      <w:pPr>
        <w:pStyle w:val="Heading1"/>
      </w:pPr>
      <w:r>
        <w:t>Category 1: Retraining or Threshold Recalibration</w:t>
      </w:r>
    </w:p>
    <w:p>
      <w:r>
        <w:t>TRIGGER CONDITION: If Φ1 (Distribution Divergence) &gt; threshold (e.g., KL Divergence heavily shifts without an immediately apparent hardware drop).</w:t>
      </w:r>
    </w:p>
    <w:p>
      <w:r>
        <w:t>ACTION: The model's baseline semantic understanding is drifting away from reality. You must trigger a delta-retrain on the novel edge cases or widen the confidence safety thresholds on the API layer so that predictions flag uncertain inputs for human review.</w:t>
      </w:r>
    </w:p>
    <w:p>
      <w:pPr>
        <w:pStyle w:val="Heading1"/>
      </w:pPr>
      <w:r>
        <w:t>Category 2: Hysteresis Tuning or Input Guardrails</w:t>
      </w:r>
    </w:p>
    <w:p>
      <w:r>
        <w:t>TRIGGER CONDITION: If Φ2 (Performance Degradation) &gt; threshold.</w:t>
      </w:r>
    </w:p>
    <w:p>
      <w:r>
        <w:t>ACTION: The business output is already failing. Immediately implement input pre-filtering guardrails (e.g., structural JSON validation, length limits, content filtering) to prevent toxic/malformed data from reaching the endpoint, and tune the circuit breaker hysteresis to 'trip' faster under pressure.</w:t>
      </w:r>
    </w:p>
    <w:p>
      <w:pPr>
        <w:pStyle w:val="Heading1"/>
      </w:pPr>
      <w:r>
        <w:t>Category 3: Immediate Circuit Breakdown (Failover)</w:t>
      </w:r>
    </w:p>
    <w:p>
      <w:r>
        <w:t>TRIGGER CONDITION: If both Φ1 and Φ2 exceed their maximum tolerances forming an unstable feedback loop.</w:t>
      </w:r>
    </w:p>
    <w:p>
      <w:r>
        <w:t>ACTION: Hard failure. Enforce structural routing to a fallback model (e.g., routing traffic to GPT-4o if a Llama endpoint decays) while the primary node is quarantined and analyzed.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