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rPr>
          <w:trHeight w:val="1814"/>
        </w:trPr>
        <w:tc>
          <w:tcPr>
            <w:tcW w:type="dxa" w:w="9406"/>
            <w:shd w:val="clear" w:color="auto" w:fill="1B2A4A"/>
            <w:tcMar>
              <w:top w:w="240" w:type="dxa"/>
              <w:bottom w:w="240" w:type="dxa"/>
              <w:left w:w="200" w:type="dxa"/>
              <w:right w:w="200" w:type="dxa"/>
            </w:tcMar>
          </w:tcPr>
          <w:p>
            <w:pPr>
              <w:jc w:val="center"/>
            </w:pPr>
            <w:r>
              <w:rPr>
                <w:b/>
                <w:color w:val="FFFFFF"/>
                <w:sz w:val="48"/>
              </w:rPr>
              <w:t>WASTE WARRIORS SOCIETY</w:t>
            </w:r>
            <w:r>
              <w:br/>
            </w:r>
            <w:r>
              <w:rPr>
                <w:i/>
                <w:color w:val="CCFFF5"/>
                <w:sz w:val="20"/>
              </w:rPr>
              <w:t>REDUCE  |  RE-USE  |  RECYCLE</w:t>
            </w:r>
          </w:p>
        </w:tc>
      </w:tr>
    </w:tbl>
    <w:p>
      <w:pPr>
        <w:spacing w:after="480"/>
      </w:pPr>
    </w:p>
    <w:p>
      <w:pPr>
        <w:spacing w:after="80"/>
        <w:jc w:val="center"/>
      </w:pPr>
      <w:r>
        <w:rPr>
          <w:b/>
          <w:color w:val="1B2A4A"/>
          <w:sz w:val="56"/>
        </w:rPr>
        <w:t>Closing the Loop</w:t>
      </w:r>
    </w:p>
    <w:p>
      <w:pPr>
        <w:spacing w:after="560"/>
        <w:jc w:val="center"/>
      </w:pPr>
      <w:r>
        <w:rPr>
          <w:color w:val="00877A"/>
          <w:sz w:val="26"/>
        </w:rPr>
        <w:t>Building a Full-Stack Waste Value Chain in Dharamshala, Himachal Pradesh</w:t>
      </w:r>
    </w:p>
    <w:tbl>
      <w:tblPr>
        <w:tblW w:type="auto" w:w="0"/>
        <w:jc w:val="center"/>
        <w:tblLook w:firstColumn="1" w:firstRow="1" w:lastColumn="0" w:lastRow="0" w:noHBand="0" w:noVBand="1" w:val="04A0"/>
      </w:tblPr>
      <w:tblGrid>
        <w:gridCol w:w="4703"/>
        <w:gridCol w:w="4703"/>
      </w:tblGrid>
      <w:tr>
        <w:tc>
          <w:tcPr>
            <w:tcW w:type="dxa" w:w="2835"/>
            <w:shd w:val="clear" w:color="auto" w:fill="F2F7F6"/>
            <w:tcMar>
              <w:top w:w="70" w:type="dxa"/>
              <w:bottom w:w="70" w:type="dxa"/>
              <w:left w:w="100" w:type="dxa"/>
              <w:right w:w="100" w:type="dxa"/>
            </w:tcMar>
          </w:tcPr>
          <w:p>
            <w:r>
              <w:rPr>
                <w:b/>
                <w:color w:val="1B2A4A"/>
                <w:sz w:val="18"/>
              </w:rPr>
              <w:t>Submitted to</w:t>
            </w:r>
          </w:p>
        </w:tc>
        <w:tc>
          <w:tcPr>
            <w:tcW w:type="dxa" w:w="5953"/>
            <w:tcMar>
              <w:top w:w="70" w:type="dxa"/>
              <w:bottom w:w="70" w:type="dxa"/>
              <w:left w:w="100" w:type="dxa"/>
              <w:right w:w="100" w:type="dxa"/>
            </w:tcMar>
          </w:tcPr>
          <w:p>
            <w:r>
              <w:rPr>
                <w:color w:val="333333"/>
                <w:sz w:val="18"/>
              </w:rPr>
              <w:t>The Coca-Cola Foundation</w:t>
            </w:r>
          </w:p>
        </w:tc>
      </w:tr>
      <w:tr>
        <w:tc>
          <w:tcPr>
            <w:tcW w:type="dxa" w:w="2835"/>
            <w:shd w:val="clear" w:color="auto" w:fill="F2F7F6"/>
            <w:tcMar>
              <w:top w:w="70" w:type="dxa"/>
              <w:bottom w:w="70" w:type="dxa"/>
              <w:left w:w="100" w:type="dxa"/>
              <w:right w:w="100" w:type="dxa"/>
            </w:tcMar>
          </w:tcPr>
          <w:p>
            <w:r>
              <w:rPr>
                <w:b/>
                <w:color w:val="1B2A4A"/>
                <w:sz w:val="18"/>
              </w:rPr>
              <w:t>Proposed by</w:t>
            </w:r>
          </w:p>
        </w:tc>
        <w:tc>
          <w:tcPr>
            <w:tcW w:type="dxa" w:w="5953"/>
            <w:tcMar>
              <w:top w:w="70" w:type="dxa"/>
              <w:bottom w:w="70" w:type="dxa"/>
              <w:left w:w="100" w:type="dxa"/>
              <w:right w:w="100" w:type="dxa"/>
            </w:tcMar>
          </w:tcPr>
          <w:p>
            <w:r>
              <w:rPr>
                <w:color w:val="333333"/>
                <w:sz w:val="18"/>
              </w:rPr>
              <w:t>Waste Warriors Society</w:t>
            </w:r>
          </w:p>
        </w:tc>
      </w:tr>
      <w:tr>
        <w:tc>
          <w:tcPr>
            <w:tcW w:type="dxa" w:w="2835"/>
            <w:shd w:val="clear" w:color="auto" w:fill="F2F7F6"/>
            <w:tcMar>
              <w:top w:w="70" w:type="dxa"/>
              <w:bottom w:w="70" w:type="dxa"/>
              <w:left w:w="100" w:type="dxa"/>
              <w:right w:w="100" w:type="dxa"/>
            </w:tcMar>
          </w:tcPr>
          <w:p>
            <w:r>
              <w:rPr>
                <w:b/>
                <w:color w:val="1B2A4A"/>
                <w:sz w:val="18"/>
              </w:rPr>
              <w:t>Total Budget</w:t>
            </w:r>
          </w:p>
        </w:tc>
        <w:tc>
          <w:tcPr>
            <w:tcW w:type="dxa" w:w="5953"/>
            <w:tcMar>
              <w:top w:w="70" w:type="dxa"/>
              <w:bottom w:w="70" w:type="dxa"/>
              <w:left w:w="100" w:type="dxa"/>
              <w:right w:w="100" w:type="dxa"/>
            </w:tcMar>
          </w:tcPr>
          <w:p>
            <w:r>
              <w:rPr>
                <w:color w:val="333333"/>
                <w:sz w:val="18"/>
              </w:rPr>
              <w:t>INR 2,10,00,000  (Two Crore Ten Lakh Rupees Only)</w:t>
            </w:r>
          </w:p>
        </w:tc>
      </w:tr>
      <w:tr>
        <w:tc>
          <w:tcPr>
            <w:tcW w:type="dxa" w:w="2835"/>
            <w:shd w:val="clear" w:color="auto" w:fill="F2F7F6"/>
            <w:tcMar>
              <w:top w:w="70" w:type="dxa"/>
              <w:bottom w:w="70" w:type="dxa"/>
              <w:left w:w="100" w:type="dxa"/>
              <w:right w:w="100" w:type="dxa"/>
            </w:tcMar>
          </w:tcPr>
          <w:p>
            <w:r>
              <w:rPr>
                <w:b/>
                <w:color w:val="1B2A4A"/>
                <w:sz w:val="18"/>
              </w:rPr>
              <w:t>Programme Duration</w:t>
            </w:r>
          </w:p>
        </w:tc>
        <w:tc>
          <w:tcPr>
            <w:tcW w:type="dxa" w:w="5953"/>
            <w:tcMar>
              <w:top w:w="70" w:type="dxa"/>
              <w:bottom w:w="70" w:type="dxa"/>
              <w:left w:w="100" w:type="dxa"/>
              <w:right w:w="100" w:type="dxa"/>
            </w:tcMar>
          </w:tcPr>
          <w:p>
            <w:r>
              <w:rPr>
                <w:color w:val="333333"/>
                <w:sz w:val="18"/>
              </w:rPr>
              <w:t>12 Months (Annual)</w:t>
            </w:r>
          </w:p>
        </w:tc>
      </w:tr>
      <w:tr>
        <w:tc>
          <w:tcPr>
            <w:tcW w:type="dxa" w:w="2835"/>
            <w:shd w:val="clear" w:color="auto" w:fill="F2F7F6"/>
            <w:tcMar>
              <w:top w:w="70" w:type="dxa"/>
              <w:bottom w:w="70" w:type="dxa"/>
              <w:left w:w="100" w:type="dxa"/>
              <w:right w:w="100" w:type="dxa"/>
            </w:tcMar>
          </w:tcPr>
          <w:p>
            <w:r>
              <w:rPr>
                <w:b/>
                <w:color w:val="1B2A4A"/>
                <w:sz w:val="18"/>
              </w:rPr>
              <w:t>Geography</w:t>
            </w:r>
          </w:p>
        </w:tc>
        <w:tc>
          <w:tcPr>
            <w:tcW w:type="dxa" w:w="5953"/>
            <w:tcMar>
              <w:top w:w="70" w:type="dxa"/>
              <w:bottom w:w="70" w:type="dxa"/>
              <w:left w:w="100" w:type="dxa"/>
              <w:right w:w="100" w:type="dxa"/>
            </w:tcMar>
          </w:tcPr>
          <w:p>
            <w:r>
              <w:rPr>
                <w:color w:val="333333"/>
                <w:sz w:val="18"/>
              </w:rPr>
              <w:t>Dharamshala, Himachal Pradesh, Indian Himalayan Region</w:t>
            </w:r>
          </w:p>
        </w:tc>
      </w:tr>
    </w:tbl>
    <w:p>
      <w:pPr>
        <w:spacing w:after="560"/>
      </w:pPr>
    </w:p>
    <w:tbl>
      <w:tblPr>
        <w:tblW w:type="auto" w:w="0"/>
        <w:tblLook w:firstColumn="1" w:firstRow="1" w:lastColumn="0" w:lastRow="0" w:noHBand="0" w:noVBand="1" w:val="04A0"/>
      </w:tblPr>
      <w:tblGrid>
        <w:gridCol w:w="9406"/>
      </w:tblGrid>
      <w:tr>
        <w:tc>
          <w:tcPr>
            <w:tcW w:type="dxa" w:w="9406"/>
            <w:shd w:val="clear" w:color="auto" w:fill="00877A"/>
            <w:tcMar>
              <w:top w:w="100" w:type="dxa"/>
              <w:bottom w:w="100" w:type="dxa"/>
              <w:left w:w="150" w:type="dxa"/>
              <w:right w:w="150" w:type="dxa"/>
            </w:tcMar>
          </w:tcPr>
          <w:p>
            <w:pPr>
              <w:jc w:val="center"/>
            </w:pPr>
            <w:r>
              <w:rPr>
                <w:color w:val="FFFFFF"/>
                <w:sz w:val="18"/>
              </w:rPr>
              <w:t>partnerships@wastewarriors.org   |   www.wastewarriors.org   |   +91 96363 27870</w:t>
            </w:r>
          </w:p>
        </w:tc>
      </w:tr>
    </w:tbl>
    <w:p>
      <w:r>
        <w:br w:type="page"/>
      </w:r>
    </w:p>
    <w:p>
      <w:pPr>
        <w:spacing w:before="320" w:after="80"/>
      </w:pPr>
      <w:r>
        <w:rPr>
          <w:b/>
          <w:color w:val="1B2A4A"/>
          <w:sz w:val="28"/>
        </w:rPr>
        <w:t>1. About Waste Warriors Society</w:t>
      </w:r>
    </w:p>
    <w:p>
      <w:pPr>
        <w:spacing w:before="80" w:after="120"/>
        <w:pBdr>
          <w:bottom w:val="single" w:sz="4" w:space="1" w:color="008770"/>
        </w:pBdr>
      </w:pPr>
    </w:p>
    <w:p>
      <w:pPr>
        <w:spacing w:before="40" w:after="120"/>
      </w:pPr>
      <w:r>
        <w:rPr>
          <w:color w:val="333333"/>
          <w:sz w:val="20"/>
        </w:rPr>
        <w:t>Waste Warriors Society (WWS) is a non-profit organisation working to address the solid waste management crisis of the Indian Himalayan Region. Registered under the Societies Registration Act 1860 (No. 243/2012-2013), our work operates at the intersection of climate change, biodiversity conservation, and informal livelihoods. With a team of 190+ professionals across Uttarakhand and Himachal Pradesh, we design and implement full-stack waste management systems — from household-level behaviour change to MRF-based material recovery and formal circular economy linkages.</w:t>
      </w:r>
    </w:p>
    <w:p>
      <w:pPr>
        <w:spacing w:before="40" w:after="120"/>
      </w:pPr>
      <w:r>
        <w:rPr>
          <w:color w:val="333333"/>
          <w:sz w:val="20"/>
        </w:rPr>
        <w:t>Our project locations include Dharamshala (Urban and Rural), Manali, Kasauli, Bir-Billing, Kempty (Mussoorie), Dehradun City, Sahastradhara, Govind Wildlife Sanctuary (Uttarkashi), and Corbett Tiger Reserve (Ramnagar). Our integrated approach spans four programme areas: Zero Waste Operations, Research and Advocacy, Community Activation, and Livelihood Development.</w:t>
      </w:r>
    </w:p>
    <w:p>
      <w:pPr>
        <w:spacing w:before="200" w:after="60"/>
      </w:pPr>
      <w:r>
        <w:rPr>
          <w:b/>
          <w:color w:val="00877A"/>
          <w:sz w:val="22"/>
        </w:rPr>
        <w:t>National &amp; International Recognitions</w:t>
      </w:r>
    </w:p>
    <w:p>
      <w:pPr>
        <w:spacing w:before="20" w:after="60"/>
        <w:ind w:left="340" w:hanging="170"/>
      </w:pPr>
      <w:r>
        <w:rPr>
          <w:color w:val="333333"/>
          <w:sz w:val="20"/>
        </w:rPr>
        <w:t>•  Keeling Curve Prize — The Global Warming Mitigation Project, USA: Awarded to 10 solutions globally that reduce, remove, and mitigate GHG emissions from entering the atmosphere.</w:t>
      </w:r>
    </w:p>
    <w:p>
      <w:pPr>
        <w:spacing w:before="20" w:after="60"/>
        <w:ind w:left="340" w:hanging="170"/>
      </w:pPr>
      <w:r>
        <w:rPr>
          <w:color w:val="333333"/>
          <w:sz w:val="20"/>
        </w:rPr>
        <w:t>•  SDG Goalkeepers Award — Centre for Public Policy and Good Governance, Government of Uttarakhand (awarded by the Chief Minister of Uttarakhand).</w:t>
      </w:r>
    </w:p>
    <w:p>
      <w:pPr>
        <w:spacing w:before="20" w:after="60"/>
        <w:ind w:left="340" w:hanging="170"/>
      </w:pPr>
      <w:r>
        <w:rPr>
          <w:color w:val="333333"/>
          <w:sz w:val="20"/>
        </w:rPr>
        <w:t>•  Swachhta Pakhwada Award — Awarded by Hon'ble CM of Uttarakhand Pushkar S. Dhami, recognising efforts in promoting cleanliness and hygiene.</w:t>
      </w:r>
    </w:p>
    <w:p>
      <w:pPr>
        <w:spacing w:before="200" w:after="60"/>
      </w:pPr>
      <w:r>
        <w:rPr>
          <w:b/>
          <w:color w:val="00877A"/>
          <w:sz w:val="22"/>
        </w:rPr>
        <w:t>Legal &amp; Statutory Accreditations</w:t>
      </w:r>
    </w:p>
    <w:p>
      <w:pPr>
        <w:spacing w:before="20" w:after="60"/>
        <w:ind w:left="340" w:hanging="170"/>
      </w:pPr>
      <w:r>
        <w:rPr>
          <w:color w:val="333333"/>
          <w:sz w:val="20"/>
        </w:rPr>
        <w:t>•  Societies Registration Act 1860 — Number 243/2012-2013</w:t>
      </w:r>
    </w:p>
    <w:p>
      <w:pPr>
        <w:spacing w:before="20" w:after="60"/>
        <w:ind w:left="340" w:hanging="170"/>
      </w:pPr>
      <w:r>
        <w:rPr>
          <w:color w:val="333333"/>
          <w:sz w:val="20"/>
        </w:rPr>
        <w:t>•  NGO Darpan ID: UA/2017/0164296</w:t>
      </w:r>
    </w:p>
    <w:p>
      <w:pPr>
        <w:spacing w:before="20" w:after="60"/>
        <w:ind w:left="340" w:hanging="170"/>
      </w:pPr>
      <w:r>
        <w:rPr>
          <w:color w:val="333333"/>
          <w:sz w:val="20"/>
        </w:rPr>
        <w:t>•  80G: AAAAW4566GF20214   |   12A: AAAAW4566GE20214</w:t>
      </w:r>
    </w:p>
    <w:p>
      <w:pPr>
        <w:spacing w:before="20" w:after="60"/>
        <w:ind w:left="340" w:hanging="170"/>
      </w:pPr>
      <w:r>
        <w:rPr>
          <w:color w:val="333333"/>
          <w:sz w:val="20"/>
        </w:rPr>
        <w:t>•  CSR-1 Registration: CSR00002589</w:t>
      </w:r>
    </w:p>
    <w:p>
      <w:pPr>
        <w:spacing w:before="80" w:after="120"/>
        <w:pBdr>
          <w:bottom w:val="single" w:sz="4" w:space="1" w:color="008770"/>
        </w:pBdr>
      </w:pPr>
    </w:p>
    <w:p>
      <w:pPr>
        <w:spacing w:before="320" w:after="80"/>
      </w:pPr>
      <w:r>
        <w:rPr>
          <w:b/>
          <w:color w:val="1B2A4A"/>
          <w:sz w:val="28"/>
        </w:rPr>
        <w:t>2. Background &amp; Problem Statement</w:t>
      </w:r>
    </w:p>
    <w:p>
      <w:pPr>
        <w:spacing w:before="80" w:after="120"/>
        <w:pBdr>
          <w:bottom w:val="single" w:sz="4" w:space="1" w:color="008770"/>
        </w:pBdr>
      </w:pPr>
    </w:p>
    <w:p>
      <w:pPr>
        <w:spacing w:before="40" w:after="120"/>
      </w:pPr>
      <w:r>
        <w:rPr>
          <w:color w:val="333333"/>
          <w:sz w:val="20"/>
        </w:rPr>
        <w:t>Dharamshala is the administrative capital of Kangra district and one of the most visited destinations in the Indian Himalayan Region. The city serves a permanent resident population alongside a large transient population of pilgrims, trekkers, students, and international visitors — 15 million visitors were recorded in 2022, contributing over 7% of Himachal Pradesh's GDP. The Dharamshala Area Development Plan 2035 projects a 3% annual population growth rate and tourist inflows of 2.5 million per year in Kangra district.</w:t>
      </w:r>
    </w:p>
    <w:p>
      <w:pPr>
        <w:spacing w:before="40" w:after="120"/>
      </w:pPr>
      <w:r>
        <w:rPr>
          <w:color w:val="333333"/>
          <w:sz w:val="20"/>
        </w:rPr>
        <w:t>This sustained and growing pressure on the city's waste management infrastructure has produced a measurable crisis. Multi-layered plastics, food waste from the hospitality sector, construction debris, and mixed household waste are generated at volumes that consistently exceed the city's processing capacity. The Dharamshala Municipal Corporation has documented 50,000 tonnes of legacy waste already accumulated at the existing dumpsite above the village of Sudher.</w:t>
      </w:r>
    </w:p>
    <w:p>
      <w:pPr>
        <w:spacing w:before="200" w:after="60"/>
      </w:pPr>
      <w:r>
        <w:rPr>
          <w:b/>
          <w:color w:val="00877A"/>
          <w:sz w:val="22"/>
        </w:rPr>
        <w:t>Structural Gaps in the Current System</w:t>
      </w:r>
    </w:p>
    <w:p>
      <w:pPr>
        <w:spacing w:before="20" w:after="60"/>
        <w:ind w:left="340" w:hanging="170"/>
      </w:pPr>
      <w:r>
        <w:rPr>
          <w:color w:val="333333"/>
          <w:sz w:val="20"/>
        </w:rPr>
        <w:t>•  Inadequate source segregation: Mixed waste from households and commercial establishments reduces material recovery rates and increases the cost of downstream processing.</w:t>
      </w:r>
    </w:p>
    <w:p>
      <w:pPr>
        <w:spacing w:before="20" w:after="60"/>
        <w:ind w:left="340" w:hanging="170"/>
      </w:pPr>
      <w:r>
        <w:rPr>
          <w:color w:val="333333"/>
          <w:sz w:val="20"/>
        </w:rPr>
        <w:t>•  Limited decentralised processing: The city relies on open dumping despite the existence of a functional MRF — primarily because the collection-to-processing chain is incomplete.</w:t>
      </w:r>
    </w:p>
    <w:p>
      <w:pPr>
        <w:spacing w:before="20" w:after="60"/>
        <w:ind w:left="340" w:hanging="170"/>
      </w:pPr>
      <w:r>
        <w:rPr>
          <w:color w:val="333333"/>
          <w:sz w:val="20"/>
        </w:rPr>
        <w:t>•  Collection gaps: 27 waste collection vehicles operate across 17 wards, but consistent coverage, route discipline, and segregation compliance require active monitoring.</w:t>
      </w:r>
    </w:p>
    <w:p>
      <w:pPr>
        <w:spacing w:before="20" w:after="60"/>
        <w:ind w:left="340" w:hanging="170"/>
      </w:pPr>
      <w:r>
        <w:rPr>
          <w:color w:val="333333"/>
          <w:sz w:val="20"/>
        </w:rPr>
        <w:t>•  Low behavioural compliance: Public awareness of segregation norms remains insufficient; open burning continues in peripheral wards, releasing PM2.5 and black carbon.</w:t>
      </w:r>
    </w:p>
    <w:p>
      <w:pPr>
        <w:spacing w:before="200" w:after="60"/>
      </w:pPr>
      <w:r>
        <w:rPr>
          <w:b/>
          <w:color w:val="00877A"/>
          <w:sz w:val="22"/>
        </w:rPr>
        <w:t>Consequences</w:t>
      </w:r>
    </w:p>
    <w:p>
      <w:pPr>
        <w:spacing w:before="20" w:after="60"/>
        <w:ind w:left="340" w:hanging="170"/>
      </w:pPr>
      <w:r>
        <w:rPr>
          <w:color w:val="333333"/>
          <w:sz w:val="20"/>
        </w:rPr>
        <w:t>•  Environmental: Waste leachate contaminates rivers and groundwater; landfill methane and burning accelerate glacial melt; plastics cause documented wildlife fatalities.</w:t>
      </w:r>
    </w:p>
    <w:p>
      <w:pPr>
        <w:spacing w:before="20" w:after="60"/>
        <w:ind w:left="340" w:hanging="170"/>
      </w:pPr>
      <w:r>
        <w:rPr>
          <w:color w:val="333333"/>
          <w:sz w:val="20"/>
        </w:rPr>
        <w:t>•  Economic: Dharamshala's tourism economy — which depends on clean, ecologically intact landscapes — is directly threatened by visible waste accumulation.</w:t>
      </w:r>
    </w:p>
    <w:p>
      <w:pPr>
        <w:spacing w:before="20" w:after="60"/>
        <w:ind w:left="340" w:hanging="170"/>
      </w:pPr>
      <w:r>
        <w:rPr>
          <w:color w:val="333333"/>
          <w:sz w:val="20"/>
        </w:rPr>
        <w:t>•  Public health: Respiratory diseases from open burning and pest-breeding from uncollected waste are rising in communities adjacent to dump sites.</w:t>
      </w:r>
    </w:p>
    <w:p>
      <w:pPr>
        <w:spacing w:before="40" w:after="200"/>
      </w:pPr>
      <w:r>
        <w:rPr>
          <w:color w:val="333333"/>
          <w:sz w:val="20"/>
        </w:rPr>
        <w:t>Dharamshala's waste crisis is a governance, infrastructure, and behaviour challenge simultaneously. An intervention that addresses only one of these dimensions will fail. What is required is a structured, end-to-end system that closes every gap in the waste value chain.</w:t>
      </w:r>
    </w:p>
    <w:p>
      <w:pPr>
        <w:spacing w:before="80" w:after="120"/>
        <w:pBdr>
          <w:bottom w:val="single" w:sz="4" w:space="1" w:color="008770"/>
        </w:pBdr>
      </w:pPr>
    </w:p>
    <w:p>
      <w:pPr>
        <w:spacing w:before="320" w:after="80"/>
      </w:pPr>
      <w:r>
        <w:rPr>
          <w:b/>
          <w:color w:val="1B2A4A"/>
          <w:sz w:val="28"/>
        </w:rPr>
        <w:t>3. Our Track Record in Dharamshala</w:t>
      </w:r>
    </w:p>
    <w:p>
      <w:pPr>
        <w:spacing w:before="80" w:after="120"/>
        <w:pBdr>
          <w:bottom w:val="single" w:sz="4" w:space="1" w:color="008770"/>
        </w:pBdr>
      </w:pPr>
    </w:p>
    <w:p>
      <w:pPr>
        <w:spacing w:before="40" w:after="120"/>
      </w:pPr>
      <w:r>
        <w:rPr>
          <w:color w:val="333333"/>
          <w:sz w:val="20"/>
        </w:rPr>
        <w:t>Waste Warriors has been operational in Dharamshala for over a decade. In 2022, in direct collaboration with the Municipal Corporation Dharamshala and on land provided by the Himachal Pradesh government, we established the city's first Material Recovery Facility (MRF) near the Dharamshala Cricket Stadium. This represents the state's formal recognition of community-led, decentralised waste processing as a viable solution.</w:t>
      </w:r>
    </w:p>
    <w:p>
      <w:pPr>
        <w:spacing w:before="40" w:after="120"/>
      </w:pPr>
      <w:r>
        <w:rPr>
          <w:color w:val="333333"/>
          <w:sz w:val="20"/>
        </w:rPr>
        <w:t>The MRF currently receives waste from 10+ wards and serves over 8,000 households. Dry waste is segregated by hand across 20+ material categories by trained Green Workers, baled, and sold to authorised recyclers. Wet waste is channelled to a partner biogas facility. The facility has the capacity to process 1.2 MT of dry waste daily. Between December 2024 and March 2025 alone, the MRF processed 195 metric tonnes of dry waste.</w:t>
      </w:r>
    </w:p>
    <w:p>
      <w:pPr>
        <w:spacing w:before="40" w:after="120"/>
      </w:pPr>
      <w:r>
        <w:rPr>
          <w:color w:val="333333"/>
          <w:sz w:val="20"/>
        </w:rPr>
        <w:t>The facility is managed by Local Ecopreneur Mr. Rajkumar (Yashraj Environmental Services), who began as an informal waste picker 12 years ago. Under Waste Warriors' mentorship, he now leads the day-to-day operations of the facility and manages a team of 15 Green Workers. This model — formal MRF operations run by a trained local entrepreneur — is the operational core of this proposal.</w:t>
      </w:r>
    </w:p>
    <w:p>
      <w:pPr>
        <w:spacing w:before="200" w:after="60"/>
      </w:pPr>
      <w:r>
        <w:rPr>
          <w:b/>
          <w:color w:val="00877A"/>
          <w:sz w:val="22"/>
        </w:rPr>
        <w:t>Past Funding Partners — Dharamshala MRF</w:t>
      </w:r>
    </w:p>
    <w:p>
      <w:pPr>
        <w:spacing w:before="20" w:after="60"/>
        <w:ind w:left="340" w:hanging="170"/>
      </w:pPr>
      <w:r>
        <w:rPr>
          <w:color w:val="333333"/>
          <w:sz w:val="20"/>
        </w:rPr>
        <w:t>•  Publicis Groupe — FY 2023-24 and FY 2024-25: MRF Operational and Capital Support</w:t>
      </w:r>
    </w:p>
    <w:p>
      <w:pPr>
        <w:spacing w:before="20" w:after="60"/>
        <w:ind w:left="340" w:hanging="170"/>
      </w:pPr>
      <w:r>
        <w:rPr>
          <w:color w:val="333333"/>
          <w:sz w:val="20"/>
        </w:rPr>
        <w:t>•  Osttra — FY 2023-24: MRF Operational and Capital Support</w:t>
      </w:r>
    </w:p>
    <w:p>
      <w:pPr>
        <w:spacing w:before="20" w:after="60"/>
        <w:ind w:left="340" w:hanging="170"/>
      </w:pPr>
      <w:r>
        <w:rPr>
          <w:color w:val="333333"/>
          <w:sz w:val="20"/>
        </w:rPr>
        <w:t>•  HT Parekh Foundation — FY 2017-24: Behaviour change, waste collection and processing across several wards of Dharamshala</w:t>
      </w:r>
    </w:p>
    <w:p>
      <w:pPr>
        <w:spacing w:before="20" w:after="60"/>
        <w:ind w:left="340" w:hanging="170"/>
      </w:pPr>
      <w:r>
        <w:rPr>
          <w:color w:val="333333"/>
          <w:sz w:val="20"/>
        </w:rPr>
        <w:t>•  Bestseller Foundation — FY 2019-22: Setting up the Material Recovery Facility</w:t>
      </w:r>
    </w:p>
    <w:p>
      <w:pPr>
        <w:spacing w:before="20" w:after="60"/>
        <w:ind w:left="340" w:hanging="170"/>
      </w:pPr>
      <w:r>
        <w:rPr>
          <w:color w:val="333333"/>
          <w:sz w:val="20"/>
        </w:rPr>
        <w:t>•  HDFC Bank Parivartan — FY 2022-23: Setting up the Material Recovery Facility</w:t>
      </w:r>
    </w:p>
    <w:p>
      <w:pPr>
        <w:spacing w:before="80" w:after="120"/>
        <w:pBdr>
          <w:bottom w:val="single" w:sz="4" w:space="1" w:color="008770"/>
        </w:pBdr>
      </w:pPr>
    </w:p>
    <w:p>
      <w:pPr>
        <w:spacing w:before="320" w:after="80"/>
      </w:pPr>
      <w:r>
        <w:rPr>
          <w:b/>
          <w:color w:val="1B2A4A"/>
          <w:sz w:val="28"/>
        </w:rPr>
        <w:t>4. Proposed Intervention: Six Pillars of the Waste Value Chain</w:t>
      </w:r>
    </w:p>
    <w:p>
      <w:pPr>
        <w:spacing w:before="80" w:after="120"/>
        <w:pBdr>
          <w:bottom w:val="single" w:sz="4" w:space="1" w:color="008770"/>
        </w:pBdr>
      </w:pPr>
    </w:p>
    <w:p>
      <w:pPr>
        <w:spacing w:before="40" w:after="120"/>
      </w:pPr>
      <w:r>
        <w:rPr>
          <w:color w:val="333333"/>
          <w:sz w:val="20"/>
        </w:rPr>
        <w:t>This programme builds a complete, end-to-end waste value chain across Dharamshala. Waste Warriors proposes to intervene across six interdependent pillars simultaneously — a failure at any single stage undermines the system as a whole. Coca-Cola's investment funds the full chain, ensuring that every rupee spent on collection is backed by processing capacity, every tonne processed translates into measurable livelihoods, and every behaviour change effort is reinforced by a functioning system on the ground.</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1B2A4A"/>
            <w:tcMar>
              <w:top w:w="130" w:type="dxa"/>
              <w:bottom w:w="100" w:type="dxa"/>
              <w:left w:w="130" w:type="dxa"/>
              <w:right w:w="130" w:type="dxa"/>
            </w:tcMar>
          </w:tcPr>
          <w:p>
            <w:pPr>
              <w:jc w:val="left"/>
            </w:pPr>
            <w:r>
              <w:rPr>
                <w:b/>
                <w:color w:val="CCFFF5"/>
                <w:sz w:val="40"/>
              </w:rPr>
              <w:t xml:space="preserve">01  </w:t>
            </w:r>
            <w:r>
              <w:br/>
            </w:r>
            <w:r>
              <w:rPr>
                <w:b/>
                <w:color w:val="FFFFFF"/>
                <w:sz w:val="18"/>
              </w:rPr>
              <w:t>BEHAVIOUR CHANGE</w:t>
              <w:br/>
            </w:r>
            <w:r>
              <w:rPr>
                <w:i/>
                <w:color w:val="CCEEEB"/>
                <w:sz w:val="16"/>
              </w:rPr>
              <w:t>IEC, Nukkad Nataks, dark-spot transformation,</w:t>
              <w:br/>
              <w:t>community cleanup drives, Swachhata Ambassadors</w:t>
            </w:r>
          </w:p>
        </w:tc>
        <w:tc>
          <w:tcPr>
            <w:tcW w:type="dxa" w:w="3135"/>
            <w:shd w:val="clear" w:color="auto" w:fill="00877A"/>
            <w:tcMar>
              <w:top w:w="130" w:type="dxa"/>
              <w:bottom w:w="100" w:type="dxa"/>
              <w:left w:w="130" w:type="dxa"/>
              <w:right w:w="130" w:type="dxa"/>
            </w:tcMar>
          </w:tcPr>
          <w:p>
            <w:pPr>
              <w:jc w:val="left"/>
            </w:pPr>
            <w:r>
              <w:rPr>
                <w:b/>
                <w:color w:val="CCFFF5"/>
                <w:sz w:val="40"/>
              </w:rPr>
              <w:t xml:space="preserve">02  </w:t>
            </w:r>
            <w:r>
              <w:br/>
            </w:r>
            <w:r>
              <w:rPr>
                <w:b/>
                <w:color w:val="FFFFFF"/>
                <w:sz w:val="18"/>
              </w:rPr>
              <w:t>WASTE COLLECTION</w:t>
              <w:br/>
            </w:r>
            <w:r>
              <w:rPr>
                <w:i/>
                <w:color w:val="CCEEEB"/>
                <w:sz w:val="16"/>
              </w:rPr>
              <w:t>Segregated collection across 17 wards;</w:t>
              <w:br/>
              <w:t>monitoring of 27 collection vehicles</w:t>
            </w:r>
          </w:p>
        </w:tc>
        <w:tc>
          <w:tcPr>
            <w:tcW w:type="dxa" w:w="3135"/>
            <w:shd w:val="clear" w:color="auto" w:fill="1B2A4A"/>
            <w:tcMar>
              <w:top w:w="130" w:type="dxa"/>
              <w:bottom w:w="100" w:type="dxa"/>
              <w:left w:w="130" w:type="dxa"/>
              <w:right w:w="130" w:type="dxa"/>
            </w:tcMar>
          </w:tcPr>
          <w:p>
            <w:pPr>
              <w:jc w:val="left"/>
            </w:pPr>
            <w:r>
              <w:rPr>
                <w:b/>
                <w:color w:val="CCFFF5"/>
                <w:sz w:val="40"/>
              </w:rPr>
              <w:t xml:space="preserve">03  </w:t>
            </w:r>
            <w:r>
              <w:br/>
            </w:r>
            <w:r>
              <w:rPr>
                <w:b/>
                <w:color w:val="FFFFFF"/>
                <w:sz w:val="18"/>
              </w:rPr>
              <w:t>WASTE TRANSPORT</w:t>
              <w:br/>
            </w:r>
            <w:r>
              <w:rPr>
                <w:i/>
                <w:color w:val="CCEEEB"/>
                <w:sz w:val="16"/>
              </w:rPr>
              <w:t>Logistics from households to MRF;</w:t>
              <w:br/>
              <w:t>baled recyclables to authorised recyclers</w:t>
            </w:r>
          </w:p>
        </w:tc>
      </w:tr>
      <w:tr>
        <w:tc>
          <w:tcPr>
            <w:tcW w:type="dxa" w:w="3135"/>
            <w:shd w:val="clear" w:color="auto" w:fill="00877A"/>
            <w:tcMar>
              <w:top w:w="130" w:type="dxa"/>
              <w:bottom w:w="100" w:type="dxa"/>
              <w:left w:w="130" w:type="dxa"/>
              <w:right w:w="130" w:type="dxa"/>
            </w:tcMar>
          </w:tcPr>
          <w:p>
            <w:pPr>
              <w:jc w:val="left"/>
            </w:pPr>
            <w:r>
              <w:rPr>
                <w:b/>
                <w:color w:val="CCFFF5"/>
                <w:sz w:val="40"/>
              </w:rPr>
              <w:t xml:space="preserve">04  </w:t>
            </w:r>
            <w:r>
              <w:br/>
            </w:r>
            <w:r>
              <w:rPr>
                <w:b/>
                <w:color w:val="FFFFFF"/>
                <w:sz w:val="18"/>
              </w:rPr>
              <w:t>RECYCLING AT THE MRF</w:t>
              <w:br/>
            </w:r>
            <w:r>
              <w:rPr>
                <w:i/>
                <w:color w:val="CCEEEB"/>
                <w:sz w:val="16"/>
              </w:rPr>
              <w:t>Hand-segregation across 20+ categories;</w:t>
              <w:br/>
              <w:t>wet waste to biogas; MRF expansion works</w:t>
            </w:r>
          </w:p>
        </w:tc>
        <w:tc>
          <w:tcPr>
            <w:tcW w:type="dxa" w:w="3135"/>
            <w:shd w:val="clear" w:color="auto" w:fill="1B2A4A"/>
            <w:tcMar>
              <w:top w:w="130" w:type="dxa"/>
              <w:bottom w:w="100" w:type="dxa"/>
              <w:left w:w="130" w:type="dxa"/>
              <w:right w:w="130" w:type="dxa"/>
            </w:tcMar>
          </w:tcPr>
          <w:p>
            <w:pPr>
              <w:jc w:val="left"/>
            </w:pPr>
            <w:r>
              <w:rPr>
                <w:b/>
                <w:color w:val="CCFFF5"/>
                <w:sz w:val="40"/>
              </w:rPr>
              <w:t xml:space="preserve">05  </w:t>
            </w:r>
            <w:r>
              <w:br/>
            </w:r>
            <w:r>
              <w:rPr>
                <w:b/>
                <w:color w:val="FFFFFF"/>
                <w:sz w:val="18"/>
              </w:rPr>
              <w:t>GOVERNMENT ENGAGEMENT</w:t>
              <w:br/>
            </w:r>
            <w:r>
              <w:rPr>
                <w:i/>
                <w:color w:val="CCEEEB"/>
                <w:sz w:val="16"/>
              </w:rPr>
              <w:t>DMC coordination; Swachh Survekshan 2026;</w:t>
              <w:br/>
              <w:t>digital dashboards and policy linkages</w:t>
            </w:r>
          </w:p>
        </w:tc>
        <w:tc>
          <w:tcPr>
            <w:tcW w:type="dxa" w:w="3135"/>
            <w:shd w:val="clear" w:color="auto" w:fill="00877A"/>
            <w:tcMar>
              <w:top w:w="130" w:type="dxa"/>
              <w:bottom w:w="100" w:type="dxa"/>
              <w:left w:w="130" w:type="dxa"/>
              <w:right w:w="130" w:type="dxa"/>
            </w:tcMar>
          </w:tcPr>
          <w:p>
            <w:pPr>
              <w:jc w:val="left"/>
            </w:pPr>
            <w:r>
              <w:rPr>
                <w:b/>
                <w:color w:val="CCFFF5"/>
                <w:sz w:val="40"/>
              </w:rPr>
              <w:t xml:space="preserve">06  </w:t>
            </w:r>
            <w:r>
              <w:br/>
            </w:r>
            <w:r>
              <w:rPr>
                <w:b/>
                <w:color w:val="FFFFFF"/>
                <w:sz w:val="18"/>
              </w:rPr>
              <w:t>LIVELIHOOD GENERATION</w:t>
              <w:br/>
            </w:r>
            <w:r>
              <w:rPr>
                <w:i/>
                <w:color w:val="CCEEEB"/>
                <w:sz w:val="16"/>
              </w:rPr>
              <w:t>15 Green Workers: wages, meals, insurance,</w:t>
              <w:br/>
              <w:t>vocational training, ecopreneur development</w:t>
            </w:r>
          </w:p>
        </w:tc>
      </w:tr>
    </w:tbl>
    <w:p>
      <w:pPr>
        <w:spacing w:after="280"/>
      </w:pPr>
    </w:p>
    <w:p>
      <w:pPr>
        <w:spacing w:before="200" w:after="60"/>
      </w:pPr>
      <w:r>
        <w:rPr>
          <w:b/>
          <w:color w:val="00877A"/>
          <w:sz w:val="22"/>
        </w:rPr>
        <w:t>Pillar 1 — Behaviour Change</w:t>
      </w:r>
    </w:p>
    <w:p>
      <w:pPr>
        <w:spacing w:before="40" w:after="120"/>
      </w:pPr>
      <w:r>
        <w:rPr>
          <w:color w:val="333333"/>
          <w:sz w:val="20"/>
        </w:rPr>
        <w:t>Behaviour change is the upstream condition on which all other pillars depend. Without consistent source segregation at the point of generation — household, commercial, and institutional — the downstream system processes mixed waste at higher cost and lower material recovery. This pillar deploys a structured, city-wide IEC programme across all 17 wards of Dharamshala in coordination with the Municipal Corporation.</w:t>
      </w:r>
    </w:p>
    <w:p>
      <w:pPr>
        <w:spacing w:before="20" w:after="60"/>
        <w:ind w:left="340" w:hanging="170"/>
      </w:pPr>
      <w:r>
        <w:rPr>
          <w:color w:val="333333"/>
          <w:sz w:val="20"/>
        </w:rPr>
        <w:t>•  Community Awareness Workshops: Monthly ward-level workshops across all 17 wards — focused on source segregation practices, correct disposal methods, and waste-linked environmental consequences.</w:t>
      </w:r>
    </w:p>
    <w:p>
      <w:pPr>
        <w:spacing w:before="20" w:after="60"/>
        <w:ind w:left="340" w:hanging="170"/>
      </w:pPr>
      <w:r>
        <w:rPr>
          <w:color w:val="333333"/>
          <w:sz w:val="20"/>
        </w:rPr>
        <w:t>•  Nukkad Nataks, Puppet Shows &amp; Stakeholder Events: 5 high-footfall public engagement events combining cultural performance with waste awareness messaging.</w:t>
      </w:r>
    </w:p>
    <w:p>
      <w:pPr>
        <w:spacing w:before="20" w:after="60"/>
        <w:ind w:left="340" w:hanging="170"/>
      </w:pPr>
      <w:r>
        <w:rPr>
          <w:color w:val="333333"/>
          <w:sz w:val="20"/>
        </w:rPr>
        <w:t>•  Swachhata Ambassadors: Trained citizen volunteers embedded in each ward to sustain peer-led behaviour change beyond formal campaign periods.</w:t>
      </w:r>
    </w:p>
    <w:p>
      <w:pPr>
        <w:spacing w:before="20" w:after="60"/>
        <w:ind w:left="340" w:hanging="170"/>
      </w:pPr>
      <w:r>
        <w:rPr>
          <w:color w:val="333333"/>
          <w:sz w:val="20"/>
        </w:rPr>
        <w:t>•  Dark Spot Transformation: Identification and conversion of 17 waste dumping dark spots (1 per ward) into clean, mural-marked public spaces — removing both the physical problem and the social norm of dumping.</w:t>
      </w:r>
    </w:p>
    <w:p>
      <w:pPr>
        <w:spacing w:before="20" w:after="60"/>
        <w:ind w:left="340" w:hanging="170"/>
      </w:pPr>
      <w:r>
        <w:rPr>
          <w:color w:val="333333"/>
          <w:sz w:val="20"/>
        </w:rPr>
        <w:t>•  Wall Murals &amp; Signboards: 17 wall murals and 17 ward-level signboards with civic messaging, installed with formal DMC approval.</w:t>
      </w:r>
    </w:p>
    <w:p>
      <w:pPr>
        <w:spacing w:before="20" w:after="60"/>
        <w:ind w:left="340" w:hanging="170"/>
      </w:pPr>
      <w:r>
        <w:rPr>
          <w:color w:val="333333"/>
          <w:sz w:val="20"/>
        </w:rPr>
        <w:t>•  Zero Waste Melas: 2 city-wide events combining waste awareness programming with community felicitation and stakeholder engagement.</w:t>
      </w:r>
    </w:p>
    <w:p>
      <w:pPr>
        <w:spacing w:before="20" w:after="60"/>
        <w:ind w:left="340" w:hanging="170"/>
      </w:pPr>
      <w:r>
        <w:rPr>
          <w:color w:val="333333"/>
          <w:sz w:val="20"/>
        </w:rPr>
        <w:t>•  Monthly Cleanup Drives: Ward-level cleanups conducted in all 17 wards every month throughout the programme period.</w:t>
      </w:r>
    </w:p>
    <w:p>
      <w:pPr>
        <w:spacing w:before="20" w:after="60"/>
        <w:ind w:left="340" w:hanging="170"/>
      </w:pPr>
      <w:r>
        <w:rPr>
          <w:color w:val="333333"/>
          <w:sz w:val="20"/>
        </w:rPr>
        <w:t>•  Plastic Lao, Rashan Pao: Incentivised programme engaging informal waste pickers — low-value plastic collected and brought in is exchanged for essential commodities, drawing non-recycling material into the formal chain.</w:t>
      </w:r>
    </w:p>
    <w:p>
      <w:pPr>
        <w:spacing w:before="200" w:after="60"/>
      </w:pPr>
      <w:r>
        <w:rPr>
          <w:b/>
          <w:color w:val="00877A"/>
          <w:sz w:val="22"/>
        </w:rPr>
        <w:t>Pillar 2 — Waste Collection</w:t>
      </w:r>
    </w:p>
    <w:p>
      <w:pPr>
        <w:spacing w:before="40" w:after="120"/>
      </w:pPr>
      <w:r>
        <w:rPr>
          <w:color w:val="333333"/>
          <w:sz w:val="20"/>
        </w:rPr>
        <w:t>Reliable, segregated waste collection is the first physical link in the value chain. Waste Warriors works in coordination with the Municipal Corporation and the third-party sanitation contractor to monitor, strengthen, and document daily collection operations across all 17 wards.</w:t>
      </w:r>
    </w:p>
    <w:p>
      <w:pPr>
        <w:spacing w:before="20" w:after="60"/>
        <w:ind w:left="340" w:hanging="170"/>
      </w:pPr>
      <w:r>
        <w:rPr>
          <w:color w:val="333333"/>
          <w:sz w:val="20"/>
        </w:rPr>
        <w:t>•  Daily monitoring of 27 waste collection vehicles operating across the 17 wards of Dharamshala.</w:t>
      </w:r>
    </w:p>
    <w:p>
      <w:pPr>
        <w:spacing w:before="20" w:after="60"/>
        <w:ind w:left="340" w:hanging="170"/>
      </w:pPr>
      <w:r>
        <w:rPr>
          <w:color w:val="333333"/>
          <w:sz w:val="20"/>
        </w:rPr>
        <w:t>•  Regular direct engagement with sanitation workers and drivers to enforce segregation compliance at the point of collection and flag non-performance to the ULB.</w:t>
      </w:r>
    </w:p>
    <w:p>
      <w:pPr>
        <w:spacing w:before="20" w:after="60"/>
        <w:ind w:left="340" w:hanging="170"/>
      </w:pPr>
      <w:r>
        <w:rPr>
          <w:color w:val="333333"/>
          <w:sz w:val="20"/>
        </w:rPr>
        <w:t>•  Household and commercial establishment engagement to reinforce source segregation — converting behaviour-change messaging into consistent at-source practice.</w:t>
      </w:r>
    </w:p>
    <w:p>
      <w:pPr>
        <w:spacing w:before="20" w:after="60"/>
        <w:ind w:left="340" w:hanging="170"/>
      </w:pPr>
      <w:r>
        <w:rPr>
          <w:color w:val="333333"/>
          <w:sz w:val="20"/>
        </w:rPr>
        <w:t>•  Digital documentation of ward-wise collection performance, shared with the Municipal Corporation in monthly progress reports.</w:t>
      </w:r>
    </w:p>
    <w:p>
      <w:pPr>
        <w:spacing w:before="20" w:after="60"/>
        <w:ind w:left="340" w:hanging="170"/>
      </w:pPr>
      <w:r>
        <w:rPr>
          <w:color w:val="333333"/>
          <w:sz w:val="20"/>
        </w:rPr>
        <w:t>•  A citizen-facing feedback mechanism to report missed collections or dumping, with direct escalation to the ULB.</w:t>
      </w:r>
    </w:p>
    <w:p>
      <w:pPr>
        <w:spacing w:before="200" w:after="60"/>
      </w:pPr>
      <w:r>
        <w:rPr>
          <w:b/>
          <w:color w:val="00877A"/>
          <w:sz w:val="22"/>
        </w:rPr>
        <w:t>Pillar 3 — Waste Transport</w:t>
      </w:r>
    </w:p>
    <w:p>
      <w:pPr>
        <w:spacing w:before="40" w:after="120"/>
      </w:pPr>
      <w:r>
        <w:rPr>
          <w:color w:val="333333"/>
          <w:sz w:val="20"/>
        </w:rPr>
        <w:t>Once waste is collected and segregated, efficient and accountable transport to the MRF is essential to preserve material integrity and prevent re-mixing, roadside disposal, or diversion.</w:t>
      </w:r>
    </w:p>
    <w:p>
      <w:pPr>
        <w:spacing w:before="20" w:after="60"/>
        <w:ind w:left="340" w:hanging="170"/>
      </w:pPr>
      <w:r>
        <w:rPr>
          <w:color w:val="333333"/>
          <w:sz w:val="20"/>
        </w:rPr>
        <w:t>•  Organised and scheduled transport of all segregated dry waste from ward-level collection points to the Dharamshala MRF.</w:t>
      </w:r>
    </w:p>
    <w:p>
      <w:pPr>
        <w:spacing w:before="20" w:after="60"/>
        <w:ind w:left="340" w:hanging="170"/>
      </w:pPr>
      <w:r>
        <w:rPr>
          <w:color w:val="333333"/>
          <w:sz w:val="20"/>
        </w:rPr>
        <w:t>•  Outbound logistics for processed material: baled and labelled recyclables dispatched to authorised recyclers, including intercity and interstate transportation of high-value materials.</w:t>
      </w:r>
    </w:p>
    <w:p>
      <w:pPr>
        <w:spacing w:before="20" w:after="60"/>
        <w:ind w:left="340" w:hanging="170"/>
      </w:pPr>
      <w:r>
        <w:rPr>
          <w:color w:val="333333"/>
          <w:sz w:val="20"/>
        </w:rPr>
        <w:t>•  Dedicated vehicle for local collection and processed-material dispatch; annual vehicle maintenance budgeted as a fixed operational cost.</w:t>
      </w:r>
    </w:p>
    <w:p>
      <w:pPr>
        <w:spacing w:before="20" w:after="60"/>
        <w:ind w:left="340" w:hanging="170"/>
      </w:pPr>
      <w:r>
        <w:rPr>
          <w:color w:val="333333"/>
          <w:sz w:val="20"/>
        </w:rPr>
        <w:t>•  Transport data integrated into the programme's digital dashboard, providing real-time visibility on material flows from collection through to end-use.</w:t>
      </w:r>
    </w:p>
    <w:p>
      <w:pPr>
        <w:spacing w:before="200" w:after="60"/>
      </w:pPr>
      <w:r>
        <w:rPr>
          <w:b/>
          <w:color w:val="00877A"/>
          <w:sz w:val="22"/>
        </w:rPr>
        <w:t>Pillar 4 — Recycling at the MRF</w:t>
      </w:r>
    </w:p>
    <w:p>
      <w:pPr>
        <w:spacing w:before="40" w:after="120"/>
      </w:pPr>
      <w:r>
        <w:rPr>
          <w:color w:val="333333"/>
          <w:sz w:val="20"/>
        </w:rPr>
        <w:t>The Dharamshala MRF is the core infrastructure asset of this programme. Located near the Dharamshala Cricket Stadium on government-provided land, it is the city's primary decentralised processing facility. Established in 2022 in collaboration with the Municipal Corporation, it has processed dry waste continuously under the operational model described below.</w:t>
      </w:r>
    </w:p>
    <w:p>
      <w:pPr>
        <w:spacing w:before="20" w:after="60"/>
        <w:ind w:left="340" w:hanging="170"/>
      </w:pPr>
      <w:r>
        <w:rPr>
          <w:color w:val="333333"/>
          <w:sz w:val="20"/>
        </w:rPr>
        <w:t>•  Daily processing of incoming dry waste across 20+ material categories — segregated entirely by hand by trained Green Workers.</w:t>
      </w:r>
    </w:p>
    <w:p>
      <w:pPr>
        <w:spacing w:before="20" w:after="60"/>
        <w:ind w:left="340" w:hanging="170"/>
      </w:pPr>
      <w:r>
        <w:rPr>
          <w:color w:val="333333"/>
          <w:sz w:val="20"/>
        </w:rPr>
        <w:t>•  Baled recyclables (plastics, paper, metals, glass) sold to authorised recyclers, channelling material into the formal circular economy.</w:t>
      </w:r>
    </w:p>
    <w:p>
      <w:pPr>
        <w:spacing w:before="20" w:after="60"/>
        <w:ind w:left="340" w:hanging="170"/>
      </w:pPr>
      <w:r>
        <w:rPr>
          <w:color w:val="333333"/>
          <w:sz w:val="20"/>
        </w:rPr>
        <w:t>•  Wet waste directed to a partner biogas facility, ensuring organic material is treated rather than landfilled.</w:t>
      </w:r>
    </w:p>
    <w:p>
      <w:pPr>
        <w:spacing w:before="20" w:after="60"/>
        <w:ind w:left="340" w:hanging="170"/>
      </w:pPr>
      <w:r>
        <w:rPr>
          <w:color w:val="333333"/>
          <w:sz w:val="20"/>
        </w:rPr>
        <w:t>•  MRF Expansion (Capital Component): This programme includes one-time capital expenditure — civil and shed works, processing equipment (baler, conveyor, weighing units), electrical and fire-safety infrastructure, a dedicated collection vehicle, and initial PPE and consumables stock — to increase the facility's throughput capacity and catchment coverage.</w:t>
      </w:r>
    </w:p>
    <w:p>
      <w:pPr>
        <w:spacing w:before="20" w:after="60"/>
        <w:ind w:left="340" w:hanging="170"/>
      </w:pPr>
      <w:r>
        <w:rPr>
          <w:color w:val="333333"/>
          <w:sz w:val="20"/>
        </w:rPr>
        <w:t>•  Ongoing: annual equipment servicing, MRF housekeeping, data entry operations, and project visibility installations.</w:t>
      </w:r>
    </w:p>
    <w:p>
      <w:pPr>
        <w:spacing w:before="200" w:after="60"/>
      </w:pPr>
      <w:r>
        <w:rPr>
          <w:b/>
          <w:color w:val="00877A"/>
          <w:sz w:val="22"/>
        </w:rPr>
        <w:t>Pillar 5 — Government Engagement</w:t>
      </w:r>
    </w:p>
    <w:p>
      <w:pPr>
        <w:spacing w:before="40" w:after="120"/>
      </w:pPr>
      <w:r>
        <w:rPr>
          <w:color w:val="333333"/>
          <w:sz w:val="20"/>
        </w:rPr>
        <w:t>Durable waste management requires institutional ownership. This programme operates as a formal implementation partnership with the Municipal Corporation Dharamshala (DMC), with structured accountability on both sides.</w:t>
      </w:r>
    </w:p>
    <w:p>
      <w:pPr>
        <w:spacing w:before="20" w:after="60"/>
        <w:ind w:left="340" w:hanging="170"/>
      </w:pPr>
      <w:r>
        <w:rPr>
          <w:color w:val="333333"/>
          <w:sz w:val="20"/>
        </w:rPr>
        <w:t>•  Monthly review meetings with DMC leadership: structured progress reporting, knowledge transfer, and formal minutes maintained for transparency.</w:t>
      </w:r>
    </w:p>
    <w:p>
      <w:pPr>
        <w:spacing w:before="20" w:after="60"/>
        <w:ind w:left="340" w:hanging="170"/>
      </w:pPr>
      <w:r>
        <w:rPr>
          <w:color w:val="333333"/>
          <w:sz w:val="20"/>
        </w:rPr>
        <w:t>•  Alignment with Swachh Survekshan 2026: all IEC, collection monitoring, and community engagement activities are mapped to relevant national survey indicators and performance metrics.</w:t>
      </w:r>
    </w:p>
    <w:p>
      <w:pPr>
        <w:spacing w:before="20" w:after="60"/>
        <w:ind w:left="340" w:hanging="170"/>
      </w:pPr>
      <w:r>
        <w:rPr>
          <w:color w:val="333333"/>
          <w:sz w:val="20"/>
        </w:rPr>
        <w:t>•  Digital Dashboard: A centralised, automated reporting dashboard providing the DMC with real-time ward-wise data on waste collection, segregation rates, dark spot status, and IEC activities.</w:t>
      </w:r>
    </w:p>
    <w:p>
      <w:pPr>
        <w:spacing w:before="20" w:after="60"/>
        <w:ind w:left="340" w:hanging="170"/>
      </w:pPr>
      <w:r>
        <w:rPr>
          <w:color w:val="333333"/>
          <w:sz w:val="20"/>
        </w:rPr>
        <w:t>•  Administrative support for all public-facing activities — signboards, murals, cleanup drives, melas — ensuring approvals are in place before deployment.</w:t>
      </w:r>
    </w:p>
    <w:p>
      <w:pPr>
        <w:spacing w:before="20" w:after="60"/>
        <w:ind w:left="340" w:hanging="170"/>
      </w:pPr>
      <w:r>
        <w:rPr>
          <w:color w:val="333333"/>
          <w:sz w:val="20"/>
        </w:rPr>
        <w:t>•  Stakeholder linkages with the Forest Department (HP), Tourism Department (HP), HP Pollution Control Board, and the ecopreneur sector.</w:t>
      </w:r>
    </w:p>
    <w:p>
      <w:pPr>
        <w:spacing w:before="20" w:after="60"/>
        <w:ind w:left="340" w:hanging="170"/>
      </w:pPr>
      <w:r>
        <w:rPr>
          <w:color w:val="333333"/>
          <w:sz w:val="20"/>
        </w:rPr>
        <w:t>•  Documentation of the Dharamshala model for presentation to the Municipal Corporation and state government as a replicable city-wide and state-wide template.</w:t>
      </w:r>
    </w:p>
    <w:p>
      <w:pPr>
        <w:spacing w:before="200" w:after="60"/>
      </w:pPr>
      <w:r>
        <w:rPr>
          <w:b/>
          <w:color w:val="00877A"/>
          <w:sz w:val="22"/>
        </w:rPr>
        <w:t>Pillar 6 — Livelihood Generation</w:t>
      </w:r>
    </w:p>
    <w:p>
      <w:pPr>
        <w:spacing w:before="40" w:after="120"/>
      </w:pPr>
      <w:r>
        <w:rPr>
          <w:color w:val="333333"/>
          <w:sz w:val="20"/>
        </w:rPr>
        <w:t>Fifteen individuals from the informal waste sector are formally employed as Green Workers at the Dharamshala MRF. Waste Warriors treats worker welfare as a measurable programme output — with explicit commitments on wages, health, nutrition, skills development, and long-term security.</w:t>
      </w:r>
    </w:p>
    <w:p>
      <w:pPr>
        <w:spacing w:before="20" w:after="60"/>
        <w:ind w:left="340" w:hanging="170"/>
      </w:pPr>
      <w:r>
        <w:rPr>
          <w:color w:val="333333"/>
          <w:sz w:val="20"/>
        </w:rPr>
        <w:t>•  Formal employment at above-market wages; the Ecopreneur service fee covers worker salaries, PPE kits, and waste storage equipment.</w:t>
      </w:r>
    </w:p>
    <w:p>
      <w:pPr>
        <w:spacing w:before="20" w:after="60"/>
        <w:ind w:left="340" w:hanging="170"/>
      </w:pPr>
      <w:r>
        <w:rPr>
          <w:color w:val="333333"/>
          <w:sz w:val="20"/>
        </w:rPr>
        <w:t>•  Daily nutritional meal programme: a wholesome hot lunch provided to all Green Workers on every working day.</w:t>
      </w:r>
    </w:p>
    <w:p>
      <w:pPr>
        <w:spacing w:before="20" w:after="60"/>
        <w:ind w:left="340" w:hanging="170"/>
      </w:pPr>
      <w:r>
        <w:rPr>
          <w:color w:val="333333"/>
          <w:sz w:val="20"/>
        </w:rPr>
        <w:t>•  Medical insurance and annual health screening for all Green Workers and team members.</w:t>
      </w:r>
    </w:p>
    <w:p>
      <w:pPr>
        <w:spacing w:before="20" w:after="60"/>
        <w:ind w:left="340" w:hanging="170"/>
      </w:pPr>
      <w:r>
        <w:rPr>
          <w:color w:val="333333"/>
          <w:sz w:val="20"/>
        </w:rPr>
        <w:t>•  Monthly wellness allowance; gratuity and all statutory benefits maintained throughout the programme period.</w:t>
      </w:r>
    </w:p>
    <w:p>
      <w:pPr>
        <w:spacing w:before="20" w:after="60"/>
        <w:ind w:left="340" w:hanging="170"/>
      </w:pPr>
      <w:r>
        <w:rPr>
          <w:color w:val="333333"/>
          <w:sz w:val="20"/>
        </w:rPr>
        <w:t>•  Vocational Training and L&amp;D: Spoken English classes, digital literacy, and MRF operational skills training — expanding economic options beyond the current role.</w:t>
      </w:r>
    </w:p>
    <w:p>
      <w:pPr>
        <w:spacing w:before="20" w:after="60"/>
        <w:ind w:left="340" w:hanging="170"/>
      </w:pPr>
      <w:r>
        <w:rPr>
          <w:color w:val="333333"/>
          <w:sz w:val="20"/>
        </w:rPr>
        <w:t>•  Hobby Fund: Structured recreational and personal development support for holistic worker wellbeing.</w:t>
      </w:r>
    </w:p>
    <w:p>
      <w:pPr>
        <w:spacing w:before="20" w:after="60"/>
        <w:ind w:left="340" w:hanging="170"/>
      </w:pPr>
      <w:r>
        <w:rPr>
          <w:color w:val="333333"/>
          <w:sz w:val="20"/>
        </w:rPr>
        <w:t>•  Ecopreneur Development: Mr. Rajkumar receives structured mentoring in financial planning, inventory management, waste trading, HR, and stakeholder engagement — with the explicit objective of full operational independence.</w:t>
      </w:r>
    </w:p>
    <w:p>
      <w:pPr>
        <w:spacing w:before="80" w:after="120"/>
        <w:pBdr>
          <w:bottom w:val="single" w:sz="4" w:space="1" w:color="008770"/>
        </w:pBdr>
      </w:pPr>
    </w:p>
    <w:p>
      <w:pPr>
        <w:spacing w:before="320" w:after="80"/>
      </w:pPr>
      <w:r>
        <w:rPr>
          <w:b/>
          <w:color w:val="1B2A4A"/>
          <w:sz w:val="28"/>
        </w:rPr>
        <w:t>5. Theory of Change</w:t>
      </w:r>
    </w:p>
    <w:p>
      <w:pPr>
        <w:spacing w:before="80" w:after="120"/>
        <w:pBdr>
          <w:bottom w:val="single" w:sz="4" w:space="1" w:color="008770"/>
        </w:pBdr>
      </w:pPr>
    </w:p>
    <w:tbl>
      <w:tblPr>
        <w:tblW w:type="auto" w:w="0"/>
        <w:jc w:val="left"/>
        <w:tblLook w:firstColumn="1" w:firstRow="1" w:lastColumn="0" w:lastRow="0" w:noHBand="0" w:noVBand="1" w:val="04A0"/>
      </w:tblPr>
      <w:tblGrid>
        <w:gridCol w:w="4703"/>
        <w:gridCol w:w="4703"/>
      </w:tblGrid>
      <w:tr>
        <w:tc>
          <w:tcPr>
            <w:tcW w:type="dxa" w:w="1587"/>
            <w:shd w:val="clear" w:color="auto" w:fill="1B2A4A"/>
            <w:tcMar>
              <w:top w:w="100" w:type="dxa"/>
              <w:bottom w:w="100" w:type="dxa"/>
              <w:left w:w="120" w:type="dxa"/>
              <w:right w:w="120" w:type="dxa"/>
            </w:tcMar>
          </w:tcPr>
          <w:p>
            <w:pPr>
              <w:jc w:val="center"/>
            </w:pPr>
            <w:r>
              <w:rPr>
                <w:b/>
                <w:color w:val="FFFFFF"/>
                <w:sz w:val="18"/>
              </w:rPr>
              <w:t>IF</w:t>
            </w:r>
          </w:p>
        </w:tc>
        <w:tc>
          <w:tcPr>
            <w:tcW w:type="dxa" w:w="7200"/>
            <w:shd w:val="clear" w:color="auto" w:fill="F2F7F6"/>
            <w:tcMar>
              <w:top w:w="100" w:type="dxa"/>
              <w:bottom w:w="100" w:type="dxa"/>
              <w:left w:w="120" w:type="dxa"/>
              <w:right w:w="120" w:type="dxa"/>
            </w:tcMar>
          </w:tcPr>
          <w:p>
            <w:r>
              <w:rPr>
                <w:color w:val="333333"/>
                <w:sz w:val="20"/>
              </w:rPr>
              <w:t>Waste Warriors deploys a complete waste value chain in Dharamshala — combining structured behaviour change and IEC (Pillar 1), monitored segregated collection (Pillar 2), accountable transport to processing infrastructure (Pillar 3), MRF-based material recovery and recycling (Pillar 4), formal government coordination and data systems (Pillar 5), and dignified, formally protected livelihoods for waste workers (Pillar 6) —</w:t>
            </w:r>
          </w:p>
        </w:tc>
      </w:tr>
      <w:tr>
        <w:tc>
          <w:tcPr>
            <w:tcW w:type="dxa" w:w="1587"/>
            <w:shd w:val="clear" w:color="auto" w:fill="00877A"/>
            <w:tcMar>
              <w:top w:w="100" w:type="dxa"/>
              <w:bottom w:w="100" w:type="dxa"/>
              <w:left w:w="120" w:type="dxa"/>
              <w:right w:w="120" w:type="dxa"/>
            </w:tcMar>
          </w:tcPr>
          <w:p>
            <w:pPr>
              <w:jc w:val="center"/>
            </w:pPr>
            <w:r>
              <w:rPr>
                <w:b/>
                <w:color w:val="FFFFFF"/>
                <w:sz w:val="18"/>
              </w:rPr>
              <w:t>THEN</w:t>
            </w:r>
          </w:p>
        </w:tc>
        <w:tc>
          <w:tcPr>
            <w:tcW w:type="dxa" w:w="7200"/>
            <w:shd w:val="clear" w:color="auto" w:fill="E8F5F3"/>
            <w:tcMar>
              <w:top w:w="100" w:type="dxa"/>
              <w:bottom w:w="100" w:type="dxa"/>
              <w:left w:w="120" w:type="dxa"/>
              <w:right w:w="120" w:type="dxa"/>
            </w:tcMar>
          </w:tcPr>
          <w:p>
            <w:r>
              <w:rPr>
                <w:color w:val="333333"/>
                <w:sz w:val="20"/>
              </w:rPr>
              <w:t>Waste is systematically diverted from open dumpsites, forests, and riverbanks. Materials re-enter the formal circular economy via authorised recyclers and biogas channels. Informal workers gain economic security, social recognition, and pathways to broader opportunity. The Municipal Corporation gains the data, systems, and institutional capacity to sustain operations independently.</w:t>
            </w:r>
          </w:p>
        </w:tc>
      </w:tr>
      <w:tr>
        <w:tc>
          <w:tcPr>
            <w:tcW w:type="dxa" w:w="1587"/>
            <w:shd w:val="clear" w:color="auto" w:fill="1B2A4A"/>
            <w:tcMar>
              <w:top w:w="100" w:type="dxa"/>
              <w:bottom w:w="100" w:type="dxa"/>
              <w:left w:w="120" w:type="dxa"/>
              <w:right w:w="120" w:type="dxa"/>
            </w:tcMar>
          </w:tcPr>
          <w:p>
            <w:pPr>
              <w:jc w:val="center"/>
            </w:pPr>
            <w:r>
              <w:rPr>
                <w:b/>
                <w:color w:val="FFFFFF"/>
                <w:sz w:val="18"/>
              </w:rPr>
              <w:t>THIS LEADS TO</w:t>
            </w:r>
          </w:p>
        </w:tc>
        <w:tc>
          <w:tcPr>
            <w:tcW w:type="dxa" w:w="7200"/>
            <w:shd w:val="clear" w:color="auto" w:fill="F2F7F6"/>
            <w:tcMar>
              <w:top w:w="100" w:type="dxa"/>
              <w:bottom w:w="100" w:type="dxa"/>
              <w:left w:w="120" w:type="dxa"/>
              <w:right w:w="120" w:type="dxa"/>
            </w:tcMar>
          </w:tcPr>
          <w:p>
            <w:r>
              <w:rPr>
                <w:color w:val="333333"/>
                <w:sz w:val="20"/>
              </w:rPr>
              <w:t>Measurable reductions in GHG emissions and groundwater contamination. Preservation of Dharamshala's biodiversity, public health, and tourism-dependent ecosystem. A documented, replicable model for full-stack urban waste management — applicable across the Indian Himalayan Region.</w:t>
            </w:r>
          </w:p>
        </w:tc>
      </w:tr>
    </w:tbl>
    <w:p>
      <w:pPr>
        <w:spacing w:after="160"/>
      </w:pPr>
    </w:p>
    <w:p>
      <w:pPr>
        <w:spacing w:before="80" w:after="120"/>
        <w:pBdr>
          <w:bottom w:val="single" w:sz="4" w:space="1" w:color="008770"/>
        </w:pBdr>
      </w:pPr>
    </w:p>
    <w:p>
      <w:pPr>
        <w:spacing w:before="320" w:after="80"/>
      </w:pPr>
      <w:r>
        <w:rPr>
          <w:b/>
          <w:color w:val="1B2A4A"/>
          <w:sz w:val="28"/>
        </w:rPr>
        <w:t>6. Key Deliverables &amp; Targets</w:t>
      </w:r>
    </w:p>
    <w:p>
      <w:pPr>
        <w:spacing w:before="80" w:after="120"/>
        <w:pBdr>
          <w:bottom w:val="single" w:sz="4" w:space="1" w:color="008770"/>
        </w:pBdr>
      </w:pP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B2A4A"/>
            <w:tcMar>
              <w:top w:w="80" w:type="dxa"/>
              <w:bottom w:w="80" w:type="dxa"/>
              <w:left w:w="100" w:type="dxa"/>
              <w:right w:w="100" w:type="dxa"/>
            </w:tcMar>
          </w:tcPr>
          <w:p>
            <w:r>
              <w:rPr>
                <w:b/>
                <w:color w:val="FFFFFF"/>
                <w:sz w:val="20"/>
              </w:rPr>
              <w:t>Deliverable</w:t>
            </w:r>
          </w:p>
        </w:tc>
        <w:tc>
          <w:tcPr>
            <w:tcW w:type="dxa" w:w="3135"/>
            <w:shd w:val="clear" w:color="auto" w:fill="1B2A4A"/>
            <w:tcMar>
              <w:top w:w="80" w:type="dxa"/>
              <w:bottom w:w="80" w:type="dxa"/>
              <w:left w:w="100" w:type="dxa"/>
              <w:right w:w="100" w:type="dxa"/>
            </w:tcMar>
          </w:tcPr>
          <w:p>
            <w:r>
              <w:rPr>
                <w:b/>
                <w:color w:val="FFFFFF"/>
                <w:sz w:val="20"/>
              </w:rPr>
              <w:t>Target / Scope</w:t>
            </w:r>
          </w:p>
        </w:tc>
        <w:tc>
          <w:tcPr>
            <w:tcW w:type="dxa" w:w="3135"/>
            <w:shd w:val="clear" w:color="auto" w:fill="1B2A4A"/>
            <w:tcMar>
              <w:top w:w="80" w:type="dxa"/>
              <w:bottom w:w="80" w:type="dxa"/>
              <w:left w:w="100" w:type="dxa"/>
              <w:right w:w="100" w:type="dxa"/>
            </w:tcMar>
          </w:tcPr>
          <w:p>
            <w:r>
              <w:rPr>
                <w:b/>
                <w:color w:val="FFFFFF"/>
                <w:sz w:val="20"/>
              </w:rPr>
              <w:t>Pillar</w:t>
            </w:r>
          </w:p>
        </w:tc>
      </w:tr>
      <w:tr>
        <w:tc>
          <w:tcPr>
            <w:tcW w:type="dxa" w:w="3685"/>
            <w:shd w:val="clear" w:color="auto" w:fill="F2F7F6"/>
            <w:tcMar>
              <w:top w:w="70" w:type="dxa"/>
              <w:bottom w:w="70" w:type="dxa"/>
              <w:left w:w="100" w:type="dxa"/>
              <w:right w:w="100" w:type="dxa"/>
            </w:tcMar>
          </w:tcPr>
          <w:p>
            <w:r>
              <w:rPr>
                <w:b/>
                <w:color w:val="1B2A4A"/>
                <w:sz w:val="18"/>
              </w:rPr>
              <w:t>Waste Processed at MRF (Annual Target)</w:t>
            </w:r>
          </w:p>
        </w:tc>
        <w:tc>
          <w:tcPr>
            <w:tcW w:type="dxa" w:w="3402"/>
            <w:shd w:val="clear" w:color="auto" w:fill="F2F7F6"/>
            <w:tcMar>
              <w:top w:w="70" w:type="dxa"/>
              <w:bottom w:w="70" w:type="dxa"/>
              <w:left w:w="100" w:type="dxa"/>
              <w:right w:w="100" w:type="dxa"/>
            </w:tcMar>
          </w:tcPr>
          <w:p>
            <w:r>
              <w:rPr>
                <w:color w:val="333333"/>
                <w:sz w:val="18"/>
              </w:rPr>
              <w:t>350+ MT of dry waste</w:t>
            </w:r>
          </w:p>
        </w:tc>
        <w:tc>
          <w:tcPr>
            <w:tcW w:type="dxa" w:w="1701"/>
            <w:shd w:val="clear" w:color="auto" w:fill="F2F7F6"/>
            <w:tcMar>
              <w:top w:w="70" w:type="dxa"/>
              <w:bottom w:w="70" w:type="dxa"/>
              <w:left w:w="100" w:type="dxa"/>
              <w:right w:w="100" w:type="dxa"/>
            </w:tcMar>
          </w:tcPr>
          <w:p>
            <w:r>
              <w:rPr>
                <w:color w:val="333333"/>
                <w:sz w:val="18"/>
              </w:rPr>
              <w:t>4 — Recycling</w:t>
            </w:r>
          </w:p>
        </w:tc>
      </w:tr>
      <w:tr>
        <w:tc>
          <w:tcPr>
            <w:tcW w:type="dxa" w:w="3685"/>
            <w:shd w:val="clear" w:color="auto" w:fill="FFFFFF"/>
            <w:tcMar>
              <w:top w:w="70" w:type="dxa"/>
              <w:bottom w:w="70" w:type="dxa"/>
              <w:left w:w="100" w:type="dxa"/>
              <w:right w:w="100" w:type="dxa"/>
            </w:tcMar>
          </w:tcPr>
          <w:p>
            <w:r>
              <w:rPr>
                <w:b/>
                <w:color w:val="1B2A4A"/>
                <w:sz w:val="18"/>
              </w:rPr>
              <w:t>Material Segregation Categories at MRF</w:t>
            </w:r>
          </w:p>
        </w:tc>
        <w:tc>
          <w:tcPr>
            <w:tcW w:type="dxa" w:w="3402"/>
            <w:shd w:val="clear" w:color="auto" w:fill="FFFFFF"/>
            <w:tcMar>
              <w:top w:w="70" w:type="dxa"/>
              <w:bottom w:w="70" w:type="dxa"/>
              <w:left w:w="100" w:type="dxa"/>
              <w:right w:w="100" w:type="dxa"/>
            </w:tcMar>
          </w:tcPr>
          <w:p>
            <w:r>
              <w:rPr>
                <w:color w:val="333333"/>
                <w:sz w:val="18"/>
              </w:rPr>
              <w:t>20+ categories, hand-segregated</w:t>
            </w:r>
          </w:p>
        </w:tc>
        <w:tc>
          <w:tcPr>
            <w:tcW w:type="dxa" w:w="1701"/>
            <w:shd w:val="clear" w:color="auto" w:fill="FFFFFF"/>
            <w:tcMar>
              <w:top w:w="70" w:type="dxa"/>
              <w:bottom w:w="70" w:type="dxa"/>
              <w:left w:w="100" w:type="dxa"/>
              <w:right w:w="100" w:type="dxa"/>
            </w:tcMar>
          </w:tcPr>
          <w:p>
            <w:r>
              <w:rPr>
                <w:color w:val="333333"/>
                <w:sz w:val="18"/>
              </w:rPr>
              <w:t>4 — Recycling</w:t>
            </w:r>
          </w:p>
        </w:tc>
      </w:tr>
      <w:tr>
        <w:tc>
          <w:tcPr>
            <w:tcW w:type="dxa" w:w="3685"/>
            <w:shd w:val="clear" w:color="auto" w:fill="F2F7F6"/>
            <w:tcMar>
              <w:top w:w="70" w:type="dxa"/>
              <w:bottom w:w="70" w:type="dxa"/>
              <w:left w:w="100" w:type="dxa"/>
              <w:right w:w="100" w:type="dxa"/>
            </w:tcMar>
          </w:tcPr>
          <w:p>
            <w:r>
              <w:rPr>
                <w:b/>
                <w:color w:val="1B2A4A"/>
                <w:sz w:val="18"/>
              </w:rPr>
              <w:t>Households Served</w:t>
            </w:r>
          </w:p>
        </w:tc>
        <w:tc>
          <w:tcPr>
            <w:tcW w:type="dxa" w:w="3402"/>
            <w:shd w:val="clear" w:color="auto" w:fill="F2F7F6"/>
            <w:tcMar>
              <w:top w:w="70" w:type="dxa"/>
              <w:bottom w:w="70" w:type="dxa"/>
              <w:left w:w="100" w:type="dxa"/>
              <w:right w:w="100" w:type="dxa"/>
            </w:tcMar>
          </w:tcPr>
          <w:p>
            <w:r>
              <w:rPr>
                <w:color w:val="333333"/>
                <w:sz w:val="18"/>
              </w:rPr>
              <w:t>8,000+ across 10+ wards</w:t>
            </w:r>
          </w:p>
        </w:tc>
        <w:tc>
          <w:tcPr>
            <w:tcW w:type="dxa" w:w="1701"/>
            <w:shd w:val="clear" w:color="auto" w:fill="F2F7F6"/>
            <w:tcMar>
              <w:top w:w="70" w:type="dxa"/>
              <w:bottom w:w="70" w:type="dxa"/>
              <w:left w:w="100" w:type="dxa"/>
              <w:right w:w="100" w:type="dxa"/>
            </w:tcMar>
          </w:tcPr>
          <w:p>
            <w:r>
              <w:rPr>
                <w:color w:val="333333"/>
                <w:sz w:val="18"/>
              </w:rPr>
              <w:t>4 — Recycling</w:t>
            </w:r>
          </w:p>
        </w:tc>
      </w:tr>
      <w:tr>
        <w:tc>
          <w:tcPr>
            <w:tcW w:type="dxa" w:w="3685"/>
            <w:shd w:val="clear" w:color="auto" w:fill="FFFFFF"/>
            <w:tcMar>
              <w:top w:w="70" w:type="dxa"/>
              <w:bottom w:w="70" w:type="dxa"/>
              <w:left w:w="100" w:type="dxa"/>
              <w:right w:w="100" w:type="dxa"/>
            </w:tcMar>
          </w:tcPr>
          <w:p>
            <w:r>
              <w:rPr>
                <w:b/>
                <w:color w:val="1B2A4A"/>
                <w:sz w:val="18"/>
              </w:rPr>
              <w:t>Green Workers in Formal Employment</w:t>
            </w:r>
          </w:p>
        </w:tc>
        <w:tc>
          <w:tcPr>
            <w:tcW w:type="dxa" w:w="3402"/>
            <w:shd w:val="clear" w:color="auto" w:fill="FFFFFF"/>
            <w:tcMar>
              <w:top w:w="70" w:type="dxa"/>
              <w:bottom w:w="70" w:type="dxa"/>
              <w:left w:w="100" w:type="dxa"/>
              <w:right w:w="100" w:type="dxa"/>
            </w:tcMar>
          </w:tcPr>
          <w:p>
            <w:r>
              <w:rPr>
                <w:color w:val="333333"/>
                <w:sz w:val="18"/>
              </w:rPr>
              <w:t>15 individuals</w:t>
            </w:r>
          </w:p>
        </w:tc>
        <w:tc>
          <w:tcPr>
            <w:tcW w:type="dxa" w:w="1701"/>
            <w:shd w:val="clear" w:color="auto" w:fill="FFFFFF"/>
            <w:tcMar>
              <w:top w:w="70" w:type="dxa"/>
              <w:bottom w:w="70" w:type="dxa"/>
              <w:left w:w="100" w:type="dxa"/>
              <w:right w:w="100" w:type="dxa"/>
            </w:tcMar>
          </w:tcPr>
          <w:p>
            <w:r>
              <w:rPr>
                <w:color w:val="333333"/>
                <w:sz w:val="18"/>
              </w:rPr>
              <w:t>6 — Livelihoods</w:t>
            </w:r>
          </w:p>
        </w:tc>
      </w:tr>
      <w:tr>
        <w:tc>
          <w:tcPr>
            <w:tcW w:type="dxa" w:w="3685"/>
            <w:shd w:val="clear" w:color="auto" w:fill="F2F7F6"/>
            <w:tcMar>
              <w:top w:w="70" w:type="dxa"/>
              <w:bottom w:w="70" w:type="dxa"/>
              <w:left w:w="100" w:type="dxa"/>
              <w:right w:w="100" w:type="dxa"/>
            </w:tcMar>
          </w:tcPr>
          <w:p>
            <w:r>
              <w:rPr>
                <w:b/>
                <w:color w:val="1B2A4A"/>
                <w:sz w:val="18"/>
              </w:rPr>
              <w:t>Daily Nutritional Meals for Workers</w:t>
            </w:r>
          </w:p>
        </w:tc>
        <w:tc>
          <w:tcPr>
            <w:tcW w:type="dxa" w:w="3402"/>
            <w:shd w:val="clear" w:color="auto" w:fill="F2F7F6"/>
            <w:tcMar>
              <w:top w:w="70" w:type="dxa"/>
              <w:bottom w:w="70" w:type="dxa"/>
              <w:left w:w="100" w:type="dxa"/>
              <w:right w:w="100" w:type="dxa"/>
            </w:tcMar>
          </w:tcPr>
          <w:p>
            <w:r>
              <w:rPr>
                <w:color w:val="333333"/>
                <w:sz w:val="18"/>
              </w:rPr>
              <w:t>Throughout programme period, every working day</w:t>
            </w:r>
          </w:p>
        </w:tc>
        <w:tc>
          <w:tcPr>
            <w:tcW w:type="dxa" w:w="1701"/>
            <w:shd w:val="clear" w:color="auto" w:fill="F2F7F6"/>
            <w:tcMar>
              <w:top w:w="70" w:type="dxa"/>
              <w:bottom w:w="70" w:type="dxa"/>
              <w:left w:w="100" w:type="dxa"/>
              <w:right w:w="100" w:type="dxa"/>
            </w:tcMar>
          </w:tcPr>
          <w:p>
            <w:r>
              <w:rPr>
                <w:color w:val="333333"/>
                <w:sz w:val="18"/>
              </w:rPr>
              <w:t>6 — Livelihoods</w:t>
            </w:r>
          </w:p>
        </w:tc>
      </w:tr>
      <w:tr>
        <w:tc>
          <w:tcPr>
            <w:tcW w:type="dxa" w:w="3685"/>
            <w:shd w:val="clear" w:color="auto" w:fill="FFFFFF"/>
            <w:tcMar>
              <w:top w:w="70" w:type="dxa"/>
              <w:bottom w:w="70" w:type="dxa"/>
              <w:left w:w="100" w:type="dxa"/>
              <w:right w:w="100" w:type="dxa"/>
            </w:tcMar>
          </w:tcPr>
          <w:p>
            <w:r>
              <w:rPr>
                <w:b/>
                <w:color w:val="1B2A4A"/>
                <w:sz w:val="18"/>
              </w:rPr>
              <w:t>Annual Medical Screening</w:t>
            </w:r>
          </w:p>
        </w:tc>
        <w:tc>
          <w:tcPr>
            <w:tcW w:type="dxa" w:w="3402"/>
            <w:shd w:val="clear" w:color="auto" w:fill="FFFFFF"/>
            <w:tcMar>
              <w:top w:w="70" w:type="dxa"/>
              <w:bottom w:w="70" w:type="dxa"/>
              <w:left w:w="100" w:type="dxa"/>
              <w:right w:w="100" w:type="dxa"/>
            </w:tcMar>
          </w:tcPr>
          <w:p>
            <w:r>
              <w:rPr>
                <w:color w:val="333333"/>
                <w:sz w:val="18"/>
              </w:rPr>
              <w:t>All Green Workers and team members</w:t>
            </w:r>
          </w:p>
        </w:tc>
        <w:tc>
          <w:tcPr>
            <w:tcW w:type="dxa" w:w="1701"/>
            <w:shd w:val="clear" w:color="auto" w:fill="FFFFFF"/>
            <w:tcMar>
              <w:top w:w="70" w:type="dxa"/>
              <w:bottom w:w="70" w:type="dxa"/>
              <w:left w:w="100" w:type="dxa"/>
              <w:right w:w="100" w:type="dxa"/>
            </w:tcMar>
          </w:tcPr>
          <w:p>
            <w:r>
              <w:rPr>
                <w:color w:val="333333"/>
                <w:sz w:val="18"/>
              </w:rPr>
              <w:t>6 — Livelihoods</w:t>
            </w:r>
          </w:p>
        </w:tc>
      </w:tr>
      <w:tr>
        <w:tc>
          <w:tcPr>
            <w:tcW w:type="dxa" w:w="3685"/>
            <w:shd w:val="clear" w:color="auto" w:fill="F2F7F6"/>
            <w:tcMar>
              <w:top w:w="70" w:type="dxa"/>
              <w:bottom w:w="70" w:type="dxa"/>
              <w:left w:w="100" w:type="dxa"/>
              <w:right w:w="100" w:type="dxa"/>
            </w:tcMar>
          </w:tcPr>
          <w:p>
            <w:r>
              <w:rPr>
                <w:b/>
                <w:color w:val="1B2A4A"/>
                <w:sz w:val="18"/>
              </w:rPr>
              <w:t>Community Awareness Workshops</w:t>
            </w:r>
          </w:p>
        </w:tc>
        <w:tc>
          <w:tcPr>
            <w:tcW w:type="dxa" w:w="3402"/>
            <w:shd w:val="clear" w:color="auto" w:fill="F2F7F6"/>
            <w:tcMar>
              <w:top w:w="70" w:type="dxa"/>
              <w:bottom w:w="70" w:type="dxa"/>
              <w:left w:w="100" w:type="dxa"/>
              <w:right w:w="100" w:type="dxa"/>
            </w:tcMar>
          </w:tcPr>
          <w:p>
            <w:r>
              <w:rPr>
                <w:color w:val="333333"/>
                <w:sz w:val="18"/>
              </w:rPr>
              <w:t>17 wards, monthly (12 months)</w:t>
            </w:r>
          </w:p>
        </w:tc>
        <w:tc>
          <w:tcPr>
            <w:tcW w:type="dxa" w:w="1701"/>
            <w:shd w:val="clear" w:color="auto" w:fill="F2F7F6"/>
            <w:tcMar>
              <w:top w:w="70" w:type="dxa"/>
              <w:bottom w:w="70" w:type="dxa"/>
              <w:left w:w="100" w:type="dxa"/>
              <w:right w:w="100" w:type="dxa"/>
            </w:tcMar>
          </w:tcPr>
          <w:p>
            <w:r>
              <w:rPr>
                <w:color w:val="333333"/>
                <w:sz w:val="18"/>
              </w:rPr>
              <w:t>1 — Behaviour Change</w:t>
            </w:r>
          </w:p>
        </w:tc>
      </w:tr>
      <w:tr>
        <w:tc>
          <w:tcPr>
            <w:tcW w:type="dxa" w:w="3685"/>
            <w:shd w:val="clear" w:color="auto" w:fill="FFFFFF"/>
            <w:tcMar>
              <w:top w:w="70" w:type="dxa"/>
              <w:bottom w:w="70" w:type="dxa"/>
              <w:left w:w="100" w:type="dxa"/>
              <w:right w:w="100" w:type="dxa"/>
            </w:tcMar>
          </w:tcPr>
          <w:p>
            <w:r>
              <w:rPr>
                <w:b/>
                <w:color w:val="1B2A4A"/>
                <w:sz w:val="18"/>
              </w:rPr>
              <w:t>Monthly Ward-Level Cleanup Drives</w:t>
            </w:r>
          </w:p>
        </w:tc>
        <w:tc>
          <w:tcPr>
            <w:tcW w:type="dxa" w:w="3402"/>
            <w:shd w:val="clear" w:color="auto" w:fill="FFFFFF"/>
            <w:tcMar>
              <w:top w:w="70" w:type="dxa"/>
              <w:bottom w:w="70" w:type="dxa"/>
              <w:left w:w="100" w:type="dxa"/>
              <w:right w:w="100" w:type="dxa"/>
            </w:tcMar>
          </w:tcPr>
          <w:p>
            <w:r>
              <w:rPr>
                <w:color w:val="333333"/>
                <w:sz w:val="18"/>
              </w:rPr>
              <w:t>17 wards, monthly (12 months)</w:t>
            </w:r>
          </w:p>
        </w:tc>
        <w:tc>
          <w:tcPr>
            <w:tcW w:type="dxa" w:w="1701"/>
            <w:shd w:val="clear" w:color="auto" w:fill="FFFFFF"/>
            <w:tcMar>
              <w:top w:w="70" w:type="dxa"/>
              <w:bottom w:w="70" w:type="dxa"/>
              <w:left w:w="100" w:type="dxa"/>
              <w:right w:w="100" w:type="dxa"/>
            </w:tcMar>
          </w:tcPr>
          <w:p>
            <w:r>
              <w:rPr>
                <w:color w:val="333333"/>
                <w:sz w:val="18"/>
              </w:rPr>
              <w:t>1 — Behaviour Change</w:t>
            </w:r>
          </w:p>
        </w:tc>
      </w:tr>
      <w:tr>
        <w:tc>
          <w:tcPr>
            <w:tcW w:type="dxa" w:w="3685"/>
            <w:shd w:val="clear" w:color="auto" w:fill="F2F7F6"/>
            <w:tcMar>
              <w:top w:w="70" w:type="dxa"/>
              <w:bottom w:w="70" w:type="dxa"/>
              <w:left w:w="100" w:type="dxa"/>
              <w:right w:w="100" w:type="dxa"/>
            </w:tcMar>
          </w:tcPr>
          <w:p>
            <w:r>
              <w:rPr>
                <w:b/>
                <w:color w:val="1B2A4A"/>
                <w:sz w:val="18"/>
              </w:rPr>
              <w:t>Dark Spot Transformations</w:t>
            </w:r>
          </w:p>
        </w:tc>
        <w:tc>
          <w:tcPr>
            <w:tcW w:type="dxa" w:w="3402"/>
            <w:shd w:val="clear" w:color="auto" w:fill="F2F7F6"/>
            <w:tcMar>
              <w:top w:w="70" w:type="dxa"/>
              <w:bottom w:w="70" w:type="dxa"/>
              <w:left w:w="100" w:type="dxa"/>
              <w:right w:w="100" w:type="dxa"/>
            </w:tcMar>
          </w:tcPr>
          <w:p>
            <w:r>
              <w:rPr>
                <w:color w:val="333333"/>
                <w:sz w:val="18"/>
              </w:rPr>
              <w:t>17 (1 per ward)</w:t>
            </w:r>
          </w:p>
        </w:tc>
        <w:tc>
          <w:tcPr>
            <w:tcW w:type="dxa" w:w="1701"/>
            <w:shd w:val="clear" w:color="auto" w:fill="F2F7F6"/>
            <w:tcMar>
              <w:top w:w="70" w:type="dxa"/>
              <w:bottom w:w="70" w:type="dxa"/>
              <w:left w:w="100" w:type="dxa"/>
              <w:right w:w="100" w:type="dxa"/>
            </w:tcMar>
          </w:tcPr>
          <w:p>
            <w:r>
              <w:rPr>
                <w:color w:val="333333"/>
                <w:sz w:val="18"/>
              </w:rPr>
              <w:t>1 — Behaviour Change</w:t>
            </w:r>
          </w:p>
        </w:tc>
      </w:tr>
      <w:tr>
        <w:tc>
          <w:tcPr>
            <w:tcW w:type="dxa" w:w="3685"/>
            <w:shd w:val="clear" w:color="auto" w:fill="FFFFFF"/>
            <w:tcMar>
              <w:top w:w="70" w:type="dxa"/>
              <w:bottom w:w="70" w:type="dxa"/>
              <w:left w:w="100" w:type="dxa"/>
              <w:right w:w="100" w:type="dxa"/>
            </w:tcMar>
          </w:tcPr>
          <w:p>
            <w:r>
              <w:rPr>
                <w:b/>
                <w:color w:val="1B2A4A"/>
                <w:sz w:val="18"/>
              </w:rPr>
              <w:t>Wall Murals &amp; Signboards</w:t>
            </w:r>
          </w:p>
        </w:tc>
        <w:tc>
          <w:tcPr>
            <w:tcW w:type="dxa" w:w="3402"/>
            <w:shd w:val="clear" w:color="auto" w:fill="FFFFFF"/>
            <w:tcMar>
              <w:top w:w="70" w:type="dxa"/>
              <w:bottom w:w="70" w:type="dxa"/>
              <w:left w:w="100" w:type="dxa"/>
              <w:right w:w="100" w:type="dxa"/>
            </w:tcMar>
          </w:tcPr>
          <w:p>
            <w:r>
              <w:rPr>
                <w:color w:val="333333"/>
                <w:sz w:val="18"/>
              </w:rPr>
              <w:t>17 of each</w:t>
            </w:r>
          </w:p>
        </w:tc>
        <w:tc>
          <w:tcPr>
            <w:tcW w:type="dxa" w:w="1701"/>
            <w:shd w:val="clear" w:color="auto" w:fill="FFFFFF"/>
            <w:tcMar>
              <w:top w:w="70" w:type="dxa"/>
              <w:bottom w:w="70" w:type="dxa"/>
              <w:left w:w="100" w:type="dxa"/>
              <w:right w:w="100" w:type="dxa"/>
            </w:tcMar>
          </w:tcPr>
          <w:p>
            <w:r>
              <w:rPr>
                <w:color w:val="333333"/>
                <w:sz w:val="18"/>
              </w:rPr>
              <w:t>1 — Behaviour Change</w:t>
            </w:r>
          </w:p>
        </w:tc>
      </w:tr>
      <w:tr>
        <w:tc>
          <w:tcPr>
            <w:tcW w:type="dxa" w:w="3685"/>
            <w:shd w:val="clear" w:color="auto" w:fill="F2F7F6"/>
            <w:tcMar>
              <w:top w:w="70" w:type="dxa"/>
              <w:bottom w:w="70" w:type="dxa"/>
              <w:left w:w="100" w:type="dxa"/>
              <w:right w:w="100" w:type="dxa"/>
            </w:tcMar>
          </w:tcPr>
          <w:p>
            <w:r>
              <w:rPr>
                <w:b/>
                <w:color w:val="1B2A4A"/>
                <w:sz w:val="18"/>
              </w:rPr>
              <w:t>Public Engagement Events (Nukkad Nataks etc.)</w:t>
            </w:r>
          </w:p>
        </w:tc>
        <w:tc>
          <w:tcPr>
            <w:tcW w:type="dxa" w:w="3402"/>
            <w:shd w:val="clear" w:color="auto" w:fill="F2F7F6"/>
            <w:tcMar>
              <w:top w:w="70" w:type="dxa"/>
              <w:bottom w:w="70" w:type="dxa"/>
              <w:left w:w="100" w:type="dxa"/>
              <w:right w:w="100" w:type="dxa"/>
            </w:tcMar>
          </w:tcPr>
          <w:p>
            <w:r>
              <w:rPr>
                <w:color w:val="333333"/>
                <w:sz w:val="18"/>
              </w:rPr>
              <w:t>5 events across the city</w:t>
            </w:r>
          </w:p>
        </w:tc>
        <w:tc>
          <w:tcPr>
            <w:tcW w:type="dxa" w:w="1701"/>
            <w:shd w:val="clear" w:color="auto" w:fill="F2F7F6"/>
            <w:tcMar>
              <w:top w:w="70" w:type="dxa"/>
              <w:bottom w:w="70" w:type="dxa"/>
              <w:left w:w="100" w:type="dxa"/>
              <w:right w:w="100" w:type="dxa"/>
            </w:tcMar>
          </w:tcPr>
          <w:p>
            <w:r>
              <w:rPr>
                <w:color w:val="333333"/>
                <w:sz w:val="18"/>
              </w:rPr>
              <w:t>1 — Behaviour Change</w:t>
            </w:r>
          </w:p>
        </w:tc>
      </w:tr>
      <w:tr>
        <w:tc>
          <w:tcPr>
            <w:tcW w:type="dxa" w:w="3685"/>
            <w:shd w:val="clear" w:color="auto" w:fill="FFFFFF"/>
            <w:tcMar>
              <w:top w:w="70" w:type="dxa"/>
              <w:bottom w:w="70" w:type="dxa"/>
              <w:left w:w="100" w:type="dxa"/>
              <w:right w:w="100" w:type="dxa"/>
            </w:tcMar>
          </w:tcPr>
          <w:p>
            <w:r>
              <w:rPr>
                <w:b/>
                <w:color w:val="1B2A4A"/>
                <w:sz w:val="18"/>
              </w:rPr>
              <w:t>Zero Waste Melas</w:t>
            </w:r>
          </w:p>
        </w:tc>
        <w:tc>
          <w:tcPr>
            <w:tcW w:type="dxa" w:w="3402"/>
            <w:shd w:val="clear" w:color="auto" w:fill="FFFFFF"/>
            <w:tcMar>
              <w:top w:w="70" w:type="dxa"/>
              <w:bottom w:w="70" w:type="dxa"/>
              <w:left w:w="100" w:type="dxa"/>
              <w:right w:w="100" w:type="dxa"/>
            </w:tcMar>
          </w:tcPr>
          <w:p>
            <w:r>
              <w:rPr>
                <w:color w:val="333333"/>
                <w:sz w:val="18"/>
              </w:rPr>
              <w:t>2 city-wide events</w:t>
            </w:r>
          </w:p>
        </w:tc>
        <w:tc>
          <w:tcPr>
            <w:tcW w:type="dxa" w:w="1701"/>
            <w:shd w:val="clear" w:color="auto" w:fill="FFFFFF"/>
            <w:tcMar>
              <w:top w:w="70" w:type="dxa"/>
              <w:bottom w:w="70" w:type="dxa"/>
              <w:left w:w="100" w:type="dxa"/>
              <w:right w:w="100" w:type="dxa"/>
            </w:tcMar>
          </w:tcPr>
          <w:p>
            <w:r>
              <w:rPr>
                <w:color w:val="333333"/>
                <w:sz w:val="18"/>
              </w:rPr>
              <w:t>1 — Behaviour Change</w:t>
            </w:r>
          </w:p>
        </w:tc>
      </w:tr>
      <w:tr>
        <w:tc>
          <w:tcPr>
            <w:tcW w:type="dxa" w:w="3685"/>
            <w:shd w:val="clear" w:color="auto" w:fill="F2F7F6"/>
            <w:tcMar>
              <w:top w:w="70" w:type="dxa"/>
              <w:bottom w:w="70" w:type="dxa"/>
              <w:left w:w="100" w:type="dxa"/>
              <w:right w:w="100" w:type="dxa"/>
            </w:tcMar>
          </w:tcPr>
          <w:p>
            <w:r>
              <w:rPr>
                <w:b/>
                <w:color w:val="1B2A4A"/>
                <w:sz w:val="18"/>
              </w:rPr>
              <w:t>Waste Collection Vehicles Monitored</w:t>
            </w:r>
          </w:p>
        </w:tc>
        <w:tc>
          <w:tcPr>
            <w:tcW w:type="dxa" w:w="3402"/>
            <w:shd w:val="clear" w:color="auto" w:fill="F2F7F6"/>
            <w:tcMar>
              <w:top w:w="70" w:type="dxa"/>
              <w:bottom w:w="70" w:type="dxa"/>
              <w:left w:w="100" w:type="dxa"/>
              <w:right w:w="100" w:type="dxa"/>
            </w:tcMar>
          </w:tcPr>
          <w:p>
            <w:r>
              <w:rPr>
                <w:color w:val="333333"/>
                <w:sz w:val="18"/>
              </w:rPr>
              <w:t>27 vehicles across 17 wards</w:t>
            </w:r>
          </w:p>
        </w:tc>
        <w:tc>
          <w:tcPr>
            <w:tcW w:type="dxa" w:w="1701"/>
            <w:shd w:val="clear" w:color="auto" w:fill="F2F7F6"/>
            <w:tcMar>
              <w:top w:w="70" w:type="dxa"/>
              <w:bottom w:w="70" w:type="dxa"/>
              <w:left w:w="100" w:type="dxa"/>
              <w:right w:w="100" w:type="dxa"/>
            </w:tcMar>
          </w:tcPr>
          <w:p>
            <w:r>
              <w:rPr>
                <w:color w:val="333333"/>
                <w:sz w:val="18"/>
              </w:rPr>
              <w:t>2 — Collection</w:t>
            </w:r>
          </w:p>
        </w:tc>
      </w:tr>
      <w:tr>
        <w:tc>
          <w:tcPr>
            <w:tcW w:type="dxa" w:w="3685"/>
            <w:shd w:val="clear" w:color="auto" w:fill="FFFFFF"/>
            <w:tcMar>
              <w:top w:w="70" w:type="dxa"/>
              <w:bottom w:w="70" w:type="dxa"/>
              <w:left w:w="100" w:type="dxa"/>
              <w:right w:w="100" w:type="dxa"/>
            </w:tcMar>
          </w:tcPr>
          <w:p>
            <w:r>
              <w:rPr>
                <w:b/>
                <w:color w:val="1B2A4A"/>
                <w:sz w:val="18"/>
              </w:rPr>
              <w:t>MRF Expansion (Capital Works)</w:t>
            </w:r>
          </w:p>
        </w:tc>
        <w:tc>
          <w:tcPr>
            <w:tcW w:type="dxa" w:w="3402"/>
            <w:shd w:val="clear" w:color="auto" w:fill="FFFFFF"/>
            <w:tcMar>
              <w:top w:w="70" w:type="dxa"/>
              <w:bottom w:w="70" w:type="dxa"/>
              <w:left w:w="100" w:type="dxa"/>
              <w:right w:w="100" w:type="dxa"/>
            </w:tcMar>
          </w:tcPr>
          <w:p>
            <w:r>
              <w:rPr>
                <w:color w:val="333333"/>
                <w:sz w:val="18"/>
              </w:rPr>
              <w:t>Civil, equipment, vehicle, utilities</w:t>
            </w:r>
          </w:p>
        </w:tc>
        <w:tc>
          <w:tcPr>
            <w:tcW w:type="dxa" w:w="1701"/>
            <w:shd w:val="clear" w:color="auto" w:fill="FFFFFF"/>
            <w:tcMar>
              <w:top w:w="70" w:type="dxa"/>
              <w:bottom w:w="70" w:type="dxa"/>
              <w:left w:w="100" w:type="dxa"/>
              <w:right w:w="100" w:type="dxa"/>
            </w:tcMar>
          </w:tcPr>
          <w:p>
            <w:r>
              <w:rPr>
                <w:color w:val="333333"/>
                <w:sz w:val="18"/>
              </w:rPr>
              <w:t>4 — Recycling</w:t>
            </w:r>
          </w:p>
        </w:tc>
      </w:tr>
      <w:tr>
        <w:tc>
          <w:tcPr>
            <w:tcW w:type="dxa" w:w="3685"/>
            <w:shd w:val="clear" w:color="auto" w:fill="F2F7F6"/>
            <w:tcMar>
              <w:top w:w="70" w:type="dxa"/>
              <w:bottom w:w="70" w:type="dxa"/>
              <w:left w:w="100" w:type="dxa"/>
              <w:right w:w="100" w:type="dxa"/>
            </w:tcMar>
          </w:tcPr>
          <w:p>
            <w:r>
              <w:rPr>
                <w:b/>
                <w:color w:val="1B2A4A"/>
                <w:sz w:val="18"/>
              </w:rPr>
              <w:t>Swachh Survekshan 2026 Alignment</w:t>
            </w:r>
          </w:p>
        </w:tc>
        <w:tc>
          <w:tcPr>
            <w:tcW w:type="dxa" w:w="3402"/>
            <w:shd w:val="clear" w:color="auto" w:fill="F2F7F6"/>
            <w:tcMar>
              <w:top w:w="70" w:type="dxa"/>
              <w:bottom w:w="70" w:type="dxa"/>
              <w:left w:w="100" w:type="dxa"/>
              <w:right w:w="100" w:type="dxa"/>
            </w:tcMar>
          </w:tcPr>
          <w:p>
            <w:r>
              <w:rPr>
                <w:color w:val="333333"/>
                <w:sz w:val="18"/>
              </w:rPr>
              <w:t>All activities mapped to national indicators</w:t>
            </w:r>
          </w:p>
        </w:tc>
        <w:tc>
          <w:tcPr>
            <w:tcW w:type="dxa" w:w="1701"/>
            <w:shd w:val="clear" w:color="auto" w:fill="F2F7F6"/>
            <w:tcMar>
              <w:top w:w="70" w:type="dxa"/>
              <w:bottom w:w="70" w:type="dxa"/>
              <w:left w:w="100" w:type="dxa"/>
              <w:right w:w="100" w:type="dxa"/>
            </w:tcMar>
          </w:tcPr>
          <w:p>
            <w:r>
              <w:rPr>
                <w:color w:val="333333"/>
                <w:sz w:val="18"/>
              </w:rPr>
              <w:t>5 — Government</w:t>
            </w:r>
          </w:p>
        </w:tc>
      </w:tr>
    </w:tbl>
    <w:p>
      <w:pPr>
        <w:spacing w:after="160"/>
      </w:pPr>
    </w:p>
    <w:p>
      <w:pPr>
        <w:spacing w:before="200" w:after="60"/>
      </w:pPr>
      <w:r>
        <w:rPr>
          <w:b/>
          <w:color w:val="00877A"/>
          <w:sz w:val="22"/>
        </w:rPr>
        <w:t>Key Performance Indicators</w:t>
      </w:r>
    </w:p>
    <w:p>
      <w:pPr>
        <w:spacing w:before="20" w:after="60"/>
        <w:ind w:left="340" w:hanging="170"/>
      </w:pPr>
      <w:r>
        <w:rPr>
          <w:color w:val="333333"/>
          <w:sz w:val="20"/>
        </w:rPr>
        <w:t>•  Volume of waste diverted from open dumpsites and processed at MRF (MT)</w:t>
      </w:r>
    </w:p>
    <w:p>
      <w:pPr>
        <w:spacing w:before="20" w:after="60"/>
        <w:ind w:left="340" w:hanging="170"/>
      </w:pPr>
      <w:r>
        <w:rPr>
          <w:color w:val="333333"/>
          <w:sz w:val="20"/>
        </w:rPr>
        <w:t>•  Estimated greenhouse gas emissions mitigated — methane and carbon dioxide equivalents</w:t>
      </w:r>
    </w:p>
    <w:p>
      <w:pPr>
        <w:spacing w:before="20" w:after="60"/>
        <w:ind w:left="340" w:hanging="170"/>
      </w:pPr>
      <w:r>
        <w:rPr>
          <w:color w:val="333333"/>
          <w:sz w:val="20"/>
        </w:rPr>
        <w:t>•  Number of Green Worker livelihood-days generated</w:t>
      </w:r>
    </w:p>
    <w:p>
      <w:pPr>
        <w:spacing w:before="20" w:after="60"/>
        <w:ind w:left="340" w:hanging="170"/>
      </w:pPr>
      <w:r>
        <w:rPr>
          <w:color w:val="333333"/>
          <w:sz w:val="20"/>
        </w:rPr>
        <w:t>•  Source segregation compliance rate across monitored collection routes and wards</w:t>
      </w:r>
    </w:p>
    <w:p>
      <w:pPr>
        <w:spacing w:before="20" w:after="60"/>
        <w:ind w:left="340" w:hanging="170"/>
      </w:pPr>
      <w:r>
        <w:rPr>
          <w:color w:val="333333"/>
          <w:sz w:val="20"/>
        </w:rPr>
        <w:t>•  Number of households and commercial establishments reached through IEC activities</w:t>
      </w:r>
    </w:p>
    <w:p>
      <w:pPr>
        <w:spacing w:before="20" w:after="60"/>
        <w:ind w:left="340" w:hanging="170"/>
      </w:pPr>
      <w:r>
        <w:rPr>
          <w:color w:val="333333"/>
          <w:sz w:val="20"/>
        </w:rPr>
        <w:t>•  Swachh Survekshan 2026 performance scores, reported against baseline</w:t>
      </w:r>
    </w:p>
    <w:p>
      <w:pPr>
        <w:spacing w:before="80" w:after="120"/>
        <w:pBdr>
          <w:bottom w:val="single" w:sz="4" w:space="1" w:color="008770"/>
        </w:pBdr>
      </w:pPr>
    </w:p>
    <w:p>
      <w:pPr>
        <w:spacing w:before="320" w:after="80"/>
      </w:pPr>
      <w:r>
        <w:rPr>
          <w:b/>
          <w:color w:val="1B2A4A"/>
          <w:sz w:val="28"/>
        </w:rPr>
        <w:t>7. Sustainability</w:t>
      </w:r>
    </w:p>
    <w:p>
      <w:pPr>
        <w:spacing w:before="80" w:after="120"/>
        <w:pBdr>
          <w:bottom w:val="single" w:sz="4" w:space="1" w:color="008770"/>
        </w:pBdr>
      </w:pPr>
    </w:p>
    <w:p>
      <w:pPr>
        <w:spacing w:before="200" w:after="60"/>
      </w:pPr>
      <w:r>
        <w:rPr>
          <w:b/>
          <w:color w:val="00877A"/>
          <w:sz w:val="22"/>
        </w:rPr>
        <w:t>Operational Sustainability</w:t>
      </w:r>
    </w:p>
    <w:p>
      <w:pPr>
        <w:spacing w:before="40" w:after="120"/>
      </w:pPr>
      <w:r>
        <w:rPr>
          <w:color w:val="333333"/>
          <w:sz w:val="20"/>
        </w:rPr>
        <w:t>Waste Warriors is building operational transfer into the programme design. Mr. Rajkumar (Ecopreneur) is being mentored to assume full control of the MRF — covering financial planning, inventory management, waste trading, HR, and stakeholder engagement. The objective is a facility that runs without Waste Warriors' operational involvement; WWS transitions to a monitoring and evaluation function over the course of the programme.</w:t>
      </w:r>
    </w:p>
    <w:p>
      <w:pPr>
        <w:spacing w:before="200" w:after="60"/>
      </w:pPr>
      <w:r>
        <w:rPr>
          <w:b/>
          <w:color w:val="00877A"/>
          <w:sz w:val="22"/>
        </w:rPr>
        <w:t>Financial Sustainability</w:t>
      </w:r>
    </w:p>
    <w:p>
      <w:pPr>
        <w:spacing w:before="40" w:after="120"/>
      </w:pPr>
      <w:r>
        <w:rPr>
          <w:color w:val="333333"/>
          <w:sz w:val="20"/>
        </w:rPr>
        <w:t>The MRF generates revenue through the sale of segregated dry waste and recyclable materials to authorised buyers. Waste Warriors is developing additional revenue streams through plastic credits for low-value plastic recycling. This programme provides targeted gap-funding to carry the MRF from its current operational state to breakeven — after which the ecopreneur sustains operations from trading revenue.</w:t>
      </w:r>
    </w:p>
    <w:p>
      <w:pPr>
        <w:spacing w:before="200" w:after="60"/>
      </w:pPr>
      <w:r>
        <w:rPr>
          <w:b/>
          <w:color w:val="00877A"/>
          <w:sz w:val="22"/>
        </w:rPr>
        <w:t>Institutional Sustainability</w:t>
      </w:r>
    </w:p>
    <w:p>
      <w:pPr>
        <w:spacing w:before="40" w:after="120"/>
      </w:pPr>
      <w:r>
        <w:rPr>
          <w:color w:val="333333"/>
          <w:sz w:val="20"/>
        </w:rPr>
        <w:t>The MRF was established in direct collaboration with the Municipal Corporation Dharamshala, on government-provided land. Monthly knowledge-transfer sessions with DMC staff, alignment with the Swachh Survekshan national framework, and formal documentation of the model are built into the programme design. The goal is for the Municipal Corporation to own, replicate, and scale this model across other wards and ultimately across the state.</w:t>
      </w:r>
    </w:p>
    <w:p>
      <w:pPr>
        <w:spacing w:before="80" w:after="120"/>
        <w:pBdr>
          <w:bottom w:val="single" w:sz="4" w:space="1" w:color="008770"/>
        </w:pBdr>
      </w:pPr>
    </w:p>
    <w:p>
      <w:pPr>
        <w:spacing w:before="320" w:after="80"/>
      </w:pPr>
      <w:r>
        <w:rPr>
          <w:b/>
          <w:color w:val="1B2A4A"/>
          <w:sz w:val="28"/>
        </w:rPr>
        <w:t>8. Monitoring &amp; Reporting</w:t>
      </w:r>
    </w:p>
    <w:p>
      <w:pPr>
        <w:spacing w:before="80" w:after="120"/>
        <w:pBdr>
          <w:bottom w:val="single" w:sz="4" w:space="1" w:color="008770"/>
        </w:pBdr>
      </w:pPr>
    </w:p>
    <w:p>
      <w:pPr>
        <w:spacing w:before="200" w:after="60"/>
      </w:pPr>
      <w:r>
        <w:rPr>
          <w:b/>
          <w:color w:val="00877A"/>
          <w:sz w:val="22"/>
        </w:rPr>
        <w:t>Monitoring Framework</w:t>
      </w:r>
    </w:p>
    <w:p>
      <w:pPr>
        <w:spacing w:before="20" w:after="60"/>
        <w:ind w:left="340" w:hanging="170"/>
      </w:pPr>
      <w:r>
        <w:rPr>
          <w:color w:val="333333"/>
          <w:sz w:val="20"/>
        </w:rPr>
        <w:t>•  Senior Leadership Oversight: The CEO, Director (Programmes), and Project Leads conduct structured reviews with the project team to ensure timely progress and rapid resolution of challenges.</w:t>
      </w:r>
    </w:p>
    <w:p>
      <w:pPr>
        <w:spacing w:before="20" w:after="60"/>
        <w:ind w:left="340" w:hanging="170"/>
      </w:pPr>
      <w:r>
        <w:rPr>
          <w:color w:val="333333"/>
          <w:sz w:val="20"/>
        </w:rPr>
        <w:t>•  Online Dashboards: A centralised, automated dashboard (Google Suite) provides real-time data on waste processed, worker attendance, segregation rates, and IEC activities — accessible to both Waste Warriors and the Municipal Corporation.</w:t>
      </w:r>
    </w:p>
    <w:p>
      <w:pPr>
        <w:spacing w:before="20" w:after="60"/>
        <w:ind w:left="340" w:hanging="170"/>
      </w:pPr>
      <w:r>
        <w:rPr>
          <w:color w:val="333333"/>
          <w:sz w:val="20"/>
        </w:rPr>
        <w:t>•  Monthly Review Meetings: Structured meetings with the Coca-Cola Foundation presenting detailed progress updates; formal minutes maintained.</w:t>
      </w:r>
    </w:p>
    <w:p>
      <w:pPr>
        <w:spacing w:before="20" w:after="60"/>
        <w:ind w:left="340" w:hanging="170"/>
      </w:pPr>
      <w:r>
        <w:rPr>
          <w:color w:val="333333"/>
          <w:sz w:val="20"/>
        </w:rPr>
        <w:t>•  Field Visits: The Coca-Cola Foundation and authorised third parties are encouraged to visit the MRF, interact with Green Workers, and directly witness programme outcomes.</w:t>
      </w:r>
    </w:p>
    <w:p>
      <w:pPr>
        <w:spacing w:before="200" w:after="60"/>
      </w:pPr>
      <w:r>
        <w:rPr>
          <w:b/>
          <w:color w:val="00877A"/>
          <w:sz w:val="22"/>
        </w:rPr>
        <w:t>Reporting Structure</w:t>
      </w:r>
    </w:p>
    <w:p>
      <w:pPr>
        <w:spacing w:before="20" w:after="60"/>
        <w:ind w:left="340" w:hanging="170"/>
      </w:pPr>
      <w:r>
        <w:rPr>
          <w:color w:val="333333"/>
          <w:sz w:val="20"/>
        </w:rPr>
        <w:t>•  Monthly Progress Reports: Achievements, challenges, and next steps in a mutually agreed format.</w:t>
      </w:r>
    </w:p>
    <w:p>
      <w:pPr>
        <w:spacing w:before="20" w:after="60"/>
        <w:ind w:left="340" w:hanging="170"/>
      </w:pPr>
      <w:r>
        <w:rPr>
          <w:color w:val="333333"/>
          <w:sz w:val="20"/>
        </w:rPr>
        <w:t>•  Quarterly Reports: Cumulative progress, key learnings, and strategic adjustments.</w:t>
      </w:r>
    </w:p>
    <w:p>
      <w:pPr>
        <w:spacing w:before="20" w:after="60"/>
        <w:ind w:left="340" w:hanging="170"/>
      </w:pPr>
      <w:r>
        <w:rPr>
          <w:color w:val="333333"/>
          <w:sz w:val="20"/>
        </w:rPr>
        <w:t>•  Annual Report: Year-end review of outcomes, impact stories, and performance against all targets.</w:t>
      </w:r>
    </w:p>
    <w:p>
      <w:pPr>
        <w:spacing w:before="20" w:after="60"/>
        <w:ind w:left="340" w:hanging="170"/>
      </w:pPr>
      <w:r>
        <w:rPr>
          <w:color w:val="333333"/>
          <w:sz w:val="20"/>
        </w:rPr>
        <w:t>•  Fund Utilisation Reports: Shared quarterly or annually per Coca-Cola Foundation requirements, ensuring complete financial transparency and audit-readiness.</w:t>
      </w:r>
    </w:p>
    <w:p>
      <w:pPr>
        <w:spacing w:before="80" w:after="120"/>
        <w:pBdr>
          <w:bottom w:val="single" w:sz="4" w:space="1" w:color="008770"/>
        </w:pBdr>
      </w:pPr>
    </w:p>
    <w:p>
      <w:pPr>
        <w:spacing w:before="320" w:after="80"/>
      </w:pPr>
      <w:r>
        <w:rPr>
          <w:b/>
          <w:color w:val="1B2A4A"/>
          <w:sz w:val="28"/>
        </w:rPr>
        <w:t>9. Budget Summary</w:t>
      </w:r>
    </w:p>
    <w:p>
      <w:pPr>
        <w:spacing w:before="80" w:after="120"/>
        <w:pBdr>
          <w:bottom w:val="single" w:sz="4" w:space="1" w:color="008770"/>
        </w:pBdr>
      </w:pPr>
    </w:p>
    <w:p>
      <w:pPr>
        <w:spacing w:before="40" w:after="120"/>
      </w:pPr>
      <w:r>
        <w:rPr>
          <w:color w:val="333333"/>
          <w:sz w:val="20"/>
        </w:rPr>
        <w:t>The total programme budget for 12 months is INR 2,10,00,000 (Two Crore Ten Lakh Rupees Only). A detailed line-item budget with unit costs, quantities, and annotated comments is provided in the accompanying Annexure (WasteWarriors_CocaCola_Annual_Budget_FY.xlsx).</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B2A4A"/>
            <w:tcMar>
              <w:top w:w="80" w:type="dxa"/>
              <w:bottom w:w="80" w:type="dxa"/>
              <w:left w:w="100" w:type="dxa"/>
              <w:right w:w="100" w:type="dxa"/>
            </w:tcMar>
          </w:tcPr>
          <w:p>
            <w:r>
              <w:rPr>
                <w:b/>
                <w:color w:val="FFFFFF"/>
                <w:sz w:val="20"/>
              </w:rPr>
              <w:t>Code</w:t>
            </w:r>
          </w:p>
        </w:tc>
        <w:tc>
          <w:tcPr>
            <w:tcW w:type="dxa" w:w="2351"/>
            <w:shd w:val="clear" w:color="auto" w:fill="1B2A4A"/>
            <w:tcMar>
              <w:top w:w="80" w:type="dxa"/>
              <w:bottom w:w="80" w:type="dxa"/>
              <w:left w:w="100" w:type="dxa"/>
              <w:right w:w="100" w:type="dxa"/>
            </w:tcMar>
          </w:tcPr>
          <w:p>
            <w:r>
              <w:rPr>
                <w:b/>
                <w:color w:val="FFFFFF"/>
                <w:sz w:val="20"/>
              </w:rPr>
              <w:t>Cost Head</w:t>
            </w:r>
          </w:p>
        </w:tc>
        <w:tc>
          <w:tcPr>
            <w:tcW w:type="dxa" w:w="2351"/>
            <w:shd w:val="clear" w:color="auto" w:fill="1B2A4A"/>
            <w:tcMar>
              <w:top w:w="80" w:type="dxa"/>
              <w:bottom w:w="80" w:type="dxa"/>
              <w:left w:w="100" w:type="dxa"/>
              <w:right w:w="100" w:type="dxa"/>
            </w:tcMar>
          </w:tcPr>
          <w:p>
            <w:r>
              <w:rPr>
                <w:b/>
                <w:color w:val="FFFFFF"/>
                <w:sz w:val="20"/>
              </w:rPr>
              <w:t>Annual Budget (INR)</w:t>
            </w:r>
          </w:p>
        </w:tc>
        <w:tc>
          <w:tcPr>
            <w:tcW w:type="dxa" w:w="2351"/>
            <w:shd w:val="clear" w:color="auto" w:fill="1B2A4A"/>
            <w:tcMar>
              <w:top w:w="80" w:type="dxa"/>
              <w:bottom w:w="80" w:type="dxa"/>
              <w:left w:w="100" w:type="dxa"/>
              <w:right w:w="100" w:type="dxa"/>
            </w:tcMar>
          </w:tcPr>
          <w:p>
            <w:r>
              <w:rPr>
                <w:b/>
                <w:color w:val="FFFFFF"/>
                <w:sz w:val="20"/>
              </w:rPr>
              <w:t>% of Total</w:t>
            </w:r>
          </w:p>
        </w:tc>
      </w:tr>
      <w:tr>
        <w:tc>
          <w:tcPr>
            <w:tcW w:type="dxa" w:w="680"/>
            <w:shd w:val="clear" w:color="auto" w:fill="F2F7F6"/>
            <w:tcMar>
              <w:top w:w="70" w:type="dxa"/>
              <w:bottom w:w="70" w:type="dxa"/>
              <w:left w:w="100" w:type="dxa"/>
              <w:right w:w="100" w:type="dxa"/>
            </w:tcMar>
          </w:tcPr>
          <w:p>
            <w:r>
              <w:rPr>
                <w:b/>
                <w:color w:val="1B2A4A"/>
                <w:sz w:val="20"/>
              </w:rPr>
              <w:t>A</w:t>
            </w:r>
          </w:p>
        </w:tc>
        <w:tc>
          <w:tcPr>
            <w:tcW w:type="dxa" w:w="5102"/>
            <w:shd w:val="clear" w:color="auto" w:fill="F2F7F6"/>
            <w:tcMar>
              <w:top w:w="70" w:type="dxa"/>
              <w:bottom w:w="70" w:type="dxa"/>
              <w:left w:w="100" w:type="dxa"/>
              <w:right w:w="100" w:type="dxa"/>
            </w:tcMar>
          </w:tcPr>
          <w:p>
            <w:r>
              <w:rPr>
                <w:color w:val="333333"/>
                <w:sz w:val="20"/>
              </w:rPr>
              <w:t>MRF Operations — Dharamshala</w:t>
            </w:r>
          </w:p>
        </w:tc>
        <w:tc>
          <w:tcPr>
            <w:tcW w:type="dxa" w:w="2268"/>
            <w:shd w:val="clear" w:color="auto" w:fill="F2F7F6"/>
            <w:tcMar>
              <w:top w:w="70" w:type="dxa"/>
              <w:bottom w:w="70" w:type="dxa"/>
              <w:left w:w="100" w:type="dxa"/>
              <w:right w:w="100" w:type="dxa"/>
            </w:tcMar>
          </w:tcPr>
          <w:p>
            <w:r>
              <w:rPr>
                <w:b/>
                <w:color w:val="1B2A4A"/>
                <w:sz w:val="20"/>
              </w:rPr>
              <w:t>₹40,00,000</w:t>
            </w:r>
          </w:p>
        </w:tc>
        <w:tc>
          <w:tcPr>
            <w:tcW w:type="dxa" w:w="1020"/>
            <w:shd w:val="clear" w:color="auto" w:fill="F2F7F6"/>
            <w:tcMar>
              <w:top w:w="70" w:type="dxa"/>
              <w:bottom w:w="70" w:type="dxa"/>
              <w:left w:w="100" w:type="dxa"/>
              <w:right w:w="100" w:type="dxa"/>
            </w:tcMar>
          </w:tcPr>
          <w:p>
            <w:r>
              <w:rPr>
                <w:color w:val="333333"/>
                <w:sz w:val="20"/>
              </w:rPr>
              <w:t>19.0%</w:t>
            </w:r>
          </w:p>
        </w:tc>
      </w:tr>
      <w:tr>
        <w:tc>
          <w:tcPr>
            <w:tcW w:type="dxa" w:w="680"/>
            <w:shd w:val="clear" w:color="auto" w:fill="FFFFFF"/>
            <w:tcMar>
              <w:top w:w="70" w:type="dxa"/>
              <w:bottom w:w="70" w:type="dxa"/>
              <w:left w:w="100" w:type="dxa"/>
              <w:right w:w="100" w:type="dxa"/>
            </w:tcMar>
          </w:tcPr>
          <w:p>
            <w:r>
              <w:rPr>
                <w:b/>
                <w:color w:val="1B2A4A"/>
                <w:sz w:val="20"/>
              </w:rPr>
              <w:t>B</w:t>
            </w:r>
          </w:p>
        </w:tc>
        <w:tc>
          <w:tcPr>
            <w:tcW w:type="dxa" w:w="5102"/>
            <w:shd w:val="clear" w:color="auto" w:fill="FFFFFF"/>
            <w:tcMar>
              <w:top w:w="70" w:type="dxa"/>
              <w:bottom w:w="70" w:type="dxa"/>
              <w:left w:w="100" w:type="dxa"/>
              <w:right w:w="100" w:type="dxa"/>
            </w:tcMar>
          </w:tcPr>
          <w:p>
            <w:r>
              <w:rPr>
                <w:color w:val="333333"/>
                <w:sz w:val="20"/>
              </w:rPr>
              <w:t>MRF Expansion — Dharamshala (Capital &amp; Setup)</w:t>
            </w:r>
          </w:p>
        </w:tc>
        <w:tc>
          <w:tcPr>
            <w:tcW w:type="dxa" w:w="2268"/>
            <w:shd w:val="clear" w:color="auto" w:fill="FFFFFF"/>
            <w:tcMar>
              <w:top w:w="70" w:type="dxa"/>
              <w:bottom w:w="70" w:type="dxa"/>
              <w:left w:w="100" w:type="dxa"/>
              <w:right w:w="100" w:type="dxa"/>
            </w:tcMar>
          </w:tcPr>
          <w:p>
            <w:r>
              <w:rPr>
                <w:b/>
                <w:color w:val="1B2A4A"/>
                <w:sz w:val="20"/>
              </w:rPr>
              <w:t>₹30,00,000</w:t>
            </w:r>
          </w:p>
        </w:tc>
        <w:tc>
          <w:tcPr>
            <w:tcW w:type="dxa" w:w="1020"/>
            <w:shd w:val="clear" w:color="auto" w:fill="FFFFFF"/>
            <w:tcMar>
              <w:top w:w="70" w:type="dxa"/>
              <w:bottom w:w="70" w:type="dxa"/>
              <w:left w:w="100" w:type="dxa"/>
              <w:right w:w="100" w:type="dxa"/>
            </w:tcMar>
          </w:tcPr>
          <w:p>
            <w:r>
              <w:rPr>
                <w:color w:val="333333"/>
                <w:sz w:val="20"/>
              </w:rPr>
              <w:t>14.3%</w:t>
            </w:r>
          </w:p>
        </w:tc>
      </w:tr>
      <w:tr>
        <w:tc>
          <w:tcPr>
            <w:tcW w:type="dxa" w:w="680"/>
            <w:shd w:val="clear" w:color="auto" w:fill="F2F7F6"/>
            <w:tcMar>
              <w:top w:w="70" w:type="dxa"/>
              <w:bottom w:w="70" w:type="dxa"/>
              <w:left w:w="100" w:type="dxa"/>
              <w:right w:w="100" w:type="dxa"/>
            </w:tcMar>
          </w:tcPr>
          <w:p>
            <w:r>
              <w:rPr>
                <w:b/>
                <w:color w:val="1B2A4A"/>
                <w:sz w:val="20"/>
              </w:rPr>
              <w:t>C</w:t>
            </w:r>
          </w:p>
        </w:tc>
        <w:tc>
          <w:tcPr>
            <w:tcW w:type="dxa" w:w="5102"/>
            <w:shd w:val="clear" w:color="auto" w:fill="F2F7F6"/>
            <w:tcMar>
              <w:top w:w="70" w:type="dxa"/>
              <w:bottom w:w="70" w:type="dxa"/>
              <w:left w:w="100" w:type="dxa"/>
              <w:right w:w="100" w:type="dxa"/>
            </w:tcMar>
          </w:tcPr>
          <w:p>
            <w:r>
              <w:rPr>
                <w:color w:val="333333"/>
                <w:sz w:val="20"/>
              </w:rPr>
              <w:t>IEC, Awareness &amp; Community Engagement</w:t>
            </w:r>
          </w:p>
        </w:tc>
        <w:tc>
          <w:tcPr>
            <w:tcW w:type="dxa" w:w="2268"/>
            <w:shd w:val="clear" w:color="auto" w:fill="F2F7F6"/>
            <w:tcMar>
              <w:top w:w="70" w:type="dxa"/>
              <w:bottom w:w="70" w:type="dxa"/>
              <w:left w:w="100" w:type="dxa"/>
              <w:right w:w="100" w:type="dxa"/>
            </w:tcMar>
          </w:tcPr>
          <w:p>
            <w:r>
              <w:rPr>
                <w:b/>
                <w:color w:val="1B2A4A"/>
                <w:sz w:val="20"/>
              </w:rPr>
              <w:t>₹14,00,000</w:t>
            </w:r>
          </w:p>
        </w:tc>
        <w:tc>
          <w:tcPr>
            <w:tcW w:type="dxa" w:w="1020"/>
            <w:shd w:val="clear" w:color="auto" w:fill="F2F7F6"/>
            <w:tcMar>
              <w:top w:w="70" w:type="dxa"/>
              <w:bottom w:w="70" w:type="dxa"/>
              <w:left w:w="100" w:type="dxa"/>
              <w:right w:w="100" w:type="dxa"/>
            </w:tcMar>
          </w:tcPr>
          <w:p>
            <w:r>
              <w:rPr>
                <w:color w:val="333333"/>
                <w:sz w:val="20"/>
              </w:rPr>
              <w:t>6.7%</w:t>
            </w:r>
          </w:p>
        </w:tc>
      </w:tr>
      <w:tr>
        <w:tc>
          <w:tcPr>
            <w:tcW w:type="dxa" w:w="680"/>
            <w:shd w:val="clear" w:color="auto" w:fill="FFFFFF"/>
            <w:tcMar>
              <w:top w:w="70" w:type="dxa"/>
              <w:bottom w:w="70" w:type="dxa"/>
              <w:left w:w="100" w:type="dxa"/>
              <w:right w:w="100" w:type="dxa"/>
            </w:tcMar>
          </w:tcPr>
          <w:p>
            <w:r>
              <w:rPr>
                <w:b/>
                <w:color w:val="1B2A4A"/>
                <w:sz w:val="20"/>
              </w:rPr>
              <w:t>D</w:t>
            </w:r>
          </w:p>
        </w:tc>
        <w:tc>
          <w:tcPr>
            <w:tcW w:type="dxa" w:w="5102"/>
            <w:shd w:val="clear" w:color="auto" w:fill="FFFFFF"/>
            <w:tcMar>
              <w:top w:w="70" w:type="dxa"/>
              <w:bottom w:w="70" w:type="dxa"/>
              <w:left w:w="100" w:type="dxa"/>
              <w:right w:w="100" w:type="dxa"/>
            </w:tcMar>
          </w:tcPr>
          <w:p>
            <w:r>
              <w:rPr>
                <w:color w:val="333333"/>
                <w:sz w:val="20"/>
              </w:rPr>
              <w:t>Employee Wellness &amp; Statutory</w:t>
            </w:r>
          </w:p>
        </w:tc>
        <w:tc>
          <w:tcPr>
            <w:tcW w:type="dxa" w:w="2268"/>
            <w:shd w:val="clear" w:color="auto" w:fill="FFFFFF"/>
            <w:tcMar>
              <w:top w:w="70" w:type="dxa"/>
              <w:bottom w:w="70" w:type="dxa"/>
              <w:left w:w="100" w:type="dxa"/>
              <w:right w:w="100" w:type="dxa"/>
            </w:tcMar>
          </w:tcPr>
          <w:p>
            <w:r>
              <w:rPr>
                <w:b/>
                <w:color w:val="1B2A4A"/>
                <w:sz w:val="20"/>
              </w:rPr>
              <w:t>₹21,00,000</w:t>
            </w:r>
          </w:p>
        </w:tc>
        <w:tc>
          <w:tcPr>
            <w:tcW w:type="dxa" w:w="1020"/>
            <w:shd w:val="clear" w:color="auto" w:fill="FFFFFF"/>
            <w:tcMar>
              <w:top w:w="70" w:type="dxa"/>
              <w:bottom w:w="70" w:type="dxa"/>
              <w:left w:w="100" w:type="dxa"/>
              <w:right w:w="100" w:type="dxa"/>
            </w:tcMar>
          </w:tcPr>
          <w:p>
            <w:r>
              <w:rPr>
                <w:color w:val="333333"/>
                <w:sz w:val="20"/>
              </w:rPr>
              <w:t>10.0%</w:t>
            </w:r>
          </w:p>
        </w:tc>
      </w:tr>
      <w:tr>
        <w:tc>
          <w:tcPr>
            <w:tcW w:type="dxa" w:w="680"/>
            <w:shd w:val="clear" w:color="auto" w:fill="F2F7F6"/>
            <w:tcMar>
              <w:top w:w="70" w:type="dxa"/>
              <w:bottom w:w="70" w:type="dxa"/>
              <w:left w:w="100" w:type="dxa"/>
              <w:right w:w="100" w:type="dxa"/>
            </w:tcMar>
          </w:tcPr>
          <w:p>
            <w:r>
              <w:rPr>
                <w:b/>
                <w:color w:val="1B2A4A"/>
                <w:sz w:val="20"/>
              </w:rPr>
              <w:t>E</w:t>
            </w:r>
          </w:p>
        </w:tc>
        <w:tc>
          <w:tcPr>
            <w:tcW w:type="dxa" w:w="5102"/>
            <w:shd w:val="clear" w:color="auto" w:fill="F2F7F6"/>
            <w:tcMar>
              <w:top w:w="70" w:type="dxa"/>
              <w:bottom w:w="70" w:type="dxa"/>
              <w:left w:w="100" w:type="dxa"/>
              <w:right w:w="100" w:type="dxa"/>
            </w:tcMar>
          </w:tcPr>
          <w:p>
            <w:r>
              <w:rPr>
                <w:color w:val="333333"/>
                <w:sz w:val="20"/>
              </w:rPr>
              <w:t>Human Resource — Project Team Salaries</w:t>
            </w:r>
          </w:p>
        </w:tc>
        <w:tc>
          <w:tcPr>
            <w:tcW w:type="dxa" w:w="2268"/>
            <w:shd w:val="clear" w:color="auto" w:fill="F2F7F6"/>
            <w:tcMar>
              <w:top w:w="70" w:type="dxa"/>
              <w:bottom w:w="70" w:type="dxa"/>
              <w:left w:w="100" w:type="dxa"/>
              <w:right w:w="100" w:type="dxa"/>
            </w:tcMar>
          </w:tcPr>
          <w:p>
            <w:r>
              <w:rPr>
                <w:b/>
                <w:color w:val="1B2A4A"/>
                <w:sz w:val="20"/>
              </w:rPr>
              <w:t>₹84,00,000</w:t>
            </w:r>
          </w:p>
        </w:tc>
        <w:tc>
          <w:tcPr>
            <w:tcW w:type="dxa" w:w="1020"/>
            <w:shd w:val="clear" w:color="auto" w:fill="F2F7F6"/>
            <w:tcMar>
              <w:top w:w="70" w:type="dxa"/>
              <w:bottom w:w="70" w:type="dxa"/>
              <w:left w:w="100" w:type="dxa"/>
              <w:right w:w="100" w:type="dxa"/>
            </w:tcMar>
          </w:tcPr>
          <w:p>
            <w:r>
              <w:rPr>
                <w:color w:val="333333"/>
                <w:sz w:val="20"/>
              </w:rPr>
              <w:t>40.0%</w:t>
            </w:r>
          </w:p>
        </w:tc>
      </w:tr>
      <w:tr>
        <w:tc>
          <w:tcPr>
            <w:tcW w:type="dxa" w:w="680"/>
            <w:shd w:val="clear" w:color="auto" w:fill="FFFFFF"/>
            <w:tcMar>
              <w:top w:w="70" w:type="dxa"/>
              <w:bottom w:w="70" w:type="dxa"/>
              <w:left w:w="100" w:type="dxa"/>
              <w:right w:w="100" w:type="dxa"/>
            </w:tcMar>
          </w:tcPr>
          <w:p>
            <w:r>
              <w:rPr>
                <w:b/>
                <w:color w:val="1B2A4A"/>
                <w:sz w:val="20"/>
              </w:rPr>
              <w:t>F</w:t>
            </w:r>
          </w:p>
        </w:tc>
        <w:tc>
          <w:tcPr>
            <w:tcW w:type="dxa" w:w="5102"/>
            <w:shd w:val="clear" w:color="auto" w:fill="FFFFFF"/>
            <w:tcMar>
              <w:top w:w="70" w:type="dxa"/>
              <w:bottom w:w="70" w:type="dxa"/>
              <w:left w:w="100" w:type="dxa"/>
              <w:right w:w="100" w:type="dxa"/>
            </w:tcMar>
          </w:tcPr>
          <w:p>
            <w:r>
              <w:rPr>
                <w:color w:val="333333"/>
                <w:sz w:val="20"/>
              </w:rPr>
              <w:t>Admin Support &amp; Overhead</w:t>
            </w:r>
          </w:p>
        </w:tc>
        <w:tc>
          <w:tcPr>
            <w:tcW w:type="dxa" w:w="2268"/>
            <w:shd w:val="clear" w:color="auto" w:fill="FFFFFF"/>
            <w:tcMar>
              <w:top w:w="70" w:type="dxa"/>
              <w:bottom w:w="70" w:type="dxa"/>
              <w:left w:w="100" w:type="dxa"/>
              <w:right w:w="100" w:type="dxa"/>
            </w:tcMar>
          </w:tcPr>
          <w:p>
            <w:r>
              <w:rPr>
                <w:b/>
                <w:color w:val="1B2A4A"/>
                <w:sz w:val="20"/>
              </w:rPr>
              <w:t>₹21,00,000</w:t>
            </w:r>
          </w:p>
        </w:tc>
        <w:tc>
          <w:tcPr>
            <w:tcW w:type="dxa" w:w="1020"/>
            <w:shd w:val="clear" w:color="auto" w:fill="FFFFFF"/>
            <w:tcMar>
              <w:top w:w="70" w:type="dxa"/>
              <w:bottom w:w="70" w:type="dxa"/>
              <w:left w:w="100" w:type="dxa"/>
              <w:right w:w="100" w:type="dxa"/>
            </w:tcMar>
          </w:tcPr>
          <w:p>
            <w:r>
              <w:rPr>
                <w:color w:val="333333"/>
                <w:sz w:val="20"/>
              </w:rPr>
              <w:t>10.0%</w:t>
            </w:r>
          </w:p>
        </w:tc>
      </w:tr>
      <w:tr>
        <w:tc>
          <w:tcPr>
            <w:tcW w:type="dxa" w:w="2351"/>
            <w:shd w:val="clear" w:color="auto" w:fill="00877A"/>
            <w:tcMar>
              <w:top w:w="80" w:type="dxa"/>
              <w:bottom w:w="80" w:type="dxa"/>
              <w:left w:w="100" w:type="dxa"/>
              <w:right w:w="100" w:type="dxa"/>
            </w:tcMar>
          </w:tcPr>
          <w:p>
            <w:r>
              <w:rPr>
                <w:b/>
                <w:color w:val="FFFFFF"/>
                <w:sz w:val="20"/>
              </w:rPr>
            </w:r>
          </w:p>
        </w:tc>
        <w:tc>
          <w:tcPr>
            <w:tcW w:type="dxa" w:w="2351"/>
            <w:shd w:val="clear" w:color="auto" w:fill="00877A"/>
            <w:tcMar>
              <w:top w:w="80" w:type="dxa"/>
              <w:bottom w:w="80" w:type="dxa"/>
              <w:left w:w="100" w:type="dxa"/>
              <w:right w:w="100" w:type="dxa"/>
            </w:tcMar>
          </w:tcPr>
          <w:p>
            <w:r>
              <w:rPr>
                <w:b/>
                <w:color w:val="FFFFFF"/>
                <w:sz w:val="20"/>
              </w:rPr>
              <w:t>GRAND TOTAL</w:t>
            </w:r>
          </w:p>
        </w:tc>
        <w:tc>
          <w:tcPr>
            <w:tcW w:type="dxa" w:w="2351"/>
            <w:shd w:val="clear" w:color="auto" w:fill="00877A"/>
            <w:tcMar>
              <w:top w:w="80" w:type="dxa"/>
              <w:bottom w:w="80" w:type="dxa"/>
              <w:left w:w="100" w:type="dxa"/>
              <w:right w:w="100" w:type="dxa"/>
            </w:tcMar>
          </w:tcPr>
          <w:p>
            <w:r>
              <w:rPr>
                <w:b/>
                <w:color w:val="FFFFFF"/>
                <w:sz w:val="20"/>
              </w:rPr>
              <w:t>₹2,10,00,000</w:t>
            </w:r>
          </w:p>
        </w:tc>
        <w:tc>
          <w:tcPr>
            <w:tcW w:type="dxa" w:w="2351"/>
            <w:shd w:val="clear" w:color="auto" w:fill="00877A"/>
            <w:tcMar>
              <w:top w:w="80" w:type="dxa"/>
              <w:bottom w:w="80" w:type="dxa"/>
              <w:left w:w="100" w:type="dxa"/>
              <w:right w:w="100" w:type="dxa"/>
            </w:tcMar>
          </w:tcPr>
          <w:p>
            <w:r>
              <w:rPr>
                <w:b/>
                <w:color w:val="FFFFFF"/>
                <w:sz w:val="20"/>
              </w:rPr>
              <w:t>100%</w:t>
            </w:r>
          </w:p>
        </w:tc>
      </w:tr>
    </w:tbl>
    <w:p>
      <w:pPr>
        <w:spacing w:after="120"/>
      </w:pPr>
    </w:p>
    <w:p>
      <w:pPr>
        <w:spacing w:before="40" w:after="120"/>
      </w:pPr>
      <w:r>
        <w:rPr>
          <w:color w:val="333333"/>
          <w:sz w:val="20"/>
        </w:rPr>
        <w:t>Key allocation ratios: Human Resource (E) 40%  |  Employee Wellness (D) 10%  |  Admin Overhead (F) 10%  |  Programme Activities — Operations + Expansion + IEC (A+B+C) 40%.</w:t>
      </w:r>
    </w:p>
    <w:p>
      <w:pPr>
        <w:spacing w:before="40" w:after="120"/>
      </w:pPr>
      <w:r>
        <w:rPr>
          <w:color w:val="333333"/>
          <w:sz w:val="20"/>
        </w:rPr>
        <w:t>Note: Budget total has been independently verified. All 47 line items compute correctly from stated unit costs, quantities, and months.</w:t>
      </w:r>
    </w:p>
    <w:p>
      <w:pPr>
        <w:spacing w:before="80" w:after="120"/>
        <w:pBdr>
          <w:bottom w:val="single" w:sz="4" w:space="1" w:color="008770"/>
        </w:pBdr>
      </w:pPr>
    </w:p>
    <w:p>
      <w:pPr>
        <w:spacing w:before="320" w:after="80"/>
      </w:pPr>
      <w:r>
        <w:rPr>
          <w:b/>
          <w:color w:val="1B2A4A"/>
          <w:sz w:val="28"/>
        </w:rPr>
        <w:t>10. Beneficiaries &amp; Stakeholders</w:t>
      </w:r>
    </w:p>
    <w:p>
      <w:pPr>
        <w:spacing w:before="80" w:after="120"/>
        <w:pBdr>
          <w:bottom w:val="single" w:sz="4" w:space="1" w:color="008770"/>
        </w:pBdr>
      </w:pP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B2A4A"/>
            <w:tcMar>
              <w:top w:w="80" w:type="dxa"/>
              <w:bottom w:w="80" w:type="dxa"/>
              <w:left w:w="100" w:type="dxa"/>
              <w:right w:w="100" w:type="dxa"/>
            </w:tcMar>
          </w:tcPr>
          <w:p>
            <w:r>
              <w:rPr>
                <w:b/>
                <w:color w:val="FFFFFF"/>
                <w:sz w:val="20"/>
              </w:rPr>
              <w:t>Direct Beneficiaries</w:t>
            </w:r>
          </w:p>
        </w:tc>
        <w:tc>
          <w:tcPr>
            <w:tcW w:type="dxa" w:w="4703"/>
            <w:shd w:val="clear" w:color="auto" w:fill="1B2A4A"/>
            <w:tcMar>
              <w:top w:w="80" w:type="dxa"/>
              <w:bottom w:w="80" w:type="dxa"/>
              <w:left w:w="100" w:type="dxa"/>
              <w:right w:w="100" w:type="dxa"/>
            </w:tcMar>
          </w:tcPr>
          <w:p>
            <w:r>
              <w:rPr>
                <w:b/>
                <w:color w:val="FFFFFF"/>
                <w:sz w:val="20"/>
              </w:rPr>
              <w:t>Key Stakeholders</w:t>
            </w:r>
          </w:p>
        </w:tc>
      </w:tr>
      <w:tr>
        <w:tc>
          <w:tcPr>
            <w:tcW w:type="dxa" w:w="4703"/>
            <w:shd w:val="clear" w:color="auto" w:fill="F2F7F6"/>
            <w:tcMar>
              <w:top w:w="80" w:type="dxa"/>
              <w:bottom w:w="80" w:type="dxa"/>
              <w:left w:w="100" w:type="dxa"/>
              <w:right w:w="100" w:type="dxa"/>
            </w:tcMar>
          </w:tcPr>
          <w:p>
            <w:r>
              <w:rPr>
                <w:color w:val="333333"/>
                <w:sz w:val="18"/>
              </w:rPr>
              <w:t>•  8,000+ households across 10+ wards of Dharamshala</w:t>
              <w:br/>
            </w:r>
            <w:r>
              <w:rPr>
                <w:color w:val="333333"/>
                <w:sz w:val="18"/>
              </w:rPr>
              <w:t>•  15 Green Workers and their families</w:t>
              <w:br/>
            </w:r>
            <w:r>
              <w:rPr>
                <w:color w:val="333333"/>
                <w:sz w:val="18"/>
              </w:rPr>
              <w:t>•  Local community residents</w:t>
              <w:br/>
            </w:r>
            <w:r>
              <w:rPr>
                <w:color w:val="333333"/>
                <w:sz w:val="18"/>
              </w:rPr>
              <w:t>•  Commercial establishments and hospitality sector</w:t>
              <w:br/>
            </w:r>
            <w:r>
              <w:rPr>
                <w:color w:val="333333"/>
                <w:sz w:val="18"/>
              </w:rPr>
              <w:t>•  Tourists and transient populations</w:t>
              <w:br/>
            </w:r>
          </w:p>
        </w:tc>
        <w:tc>
          <w:tcPr>
            <w:tcW w:type="dxa" w:w="4703"/>
            <w:shd w:val="clear" w:color="auto" w:fill="F2F7F6"/>
            <w:tcMar>
              <w:top w:w="80" w:type="dxa"/>
              <w:bottom w:w="80" w:type="dxa"/>
              <w:left w:w="100" w:type="dxa"/>
              <w:right w:w="100" w:type="dxa"/>
            </w:tcMar>
          </w:tcPr>
          <w:p>
            <w:r>
              <w:rPr>
                <w:color w:val="333333"/>
                <w:sz w:val="18"/>
              </w:rPr>
              <w:t>•  Municipal Corporation Dharamshala (DMC)</w:t>
              <w:br/>
            </w:r>
            <w:r>
              <w:rPr>
                <w:color w:val="333333"/>
                <w:sz w:val="18"/>
              </w:rPr>
              <w:t>•  Forest Department, Himachal Pradesh</w:t>
              <w:br/>
            </w:r>
            <w:r>
              <w:rPr>
                <w:color w:val="333333"/>
                <w:sz w:val="18"/>
              </w:rPr>
              <w:t>•  Tourism Department, Himachal Pradesh</w:t>
              <w:br/>
            </w:r>
            <w:r>
              <w:rPr>
                <w:color w:val="333333"/>
                <w:sz w:val="18"/>
              </w:rPr>
              <w:t>•  HP Pollution Control Board</w:t>
              <w:br/>
            </w:r>
            <w:r>
              <w:rPr>
                <w:color w:val="333333"/>
                <w:sz w:val="18"/>
              </w:rPr>
              <w:t>•  Authorised recyclers and biogas partners</w:t>
              <w:br/>
            </w:r>
            <w:r>
              <w:rPr>
                <w:color w:val="333333"/>
                <w:sz w:val="18"/>
              </w:rPr>
              <w:t>•  The Coca-Cola Foundation</w:t>
              <w:br/>
            </w:r>
          </w:p>
        </w:tc>
      </w:tr>
    </w:tbl>
    <w:p>
      <w:pPr>
        <w:spacing w:after="160"/>
      </w:pPr>
    </w:p>
    <w:p>
      <w:pPr>
        <w:spacing w:before="80" w:after="120"/>
        <w:pBdr>
          <w:bottom w:val="single" w:sz="4" w:space="1" w:color="008770"/>
        </w:pBdr>
      </w:pPr>
    </w:p>
    <w:p>
      <w:pPr>
        <w:spacing w:before="320" w:after="80"/>
      </w:pPr>
      <w:r>
        <w:rPr>
          <w:b/>
          <w:color w:val="1B2A4A"/>
          <w:sz w:val="28"/>
        </w:rPr>
        <w:t>11. Contact &amp; Submitted By</w:t>
      </w:r>
    </w:p>
    <w:p>
      <w:pPr>
        <w:spacing w:before="80" w:after="120"/>
        <w:pBdr>
          <w:bottom w:val="single" w:sz="4" w:space="1" w:color="008770"/>
        </w:pBdr>
      </w:pPr>
    </w:p>
    <w:tbl>
      <w:tblPr>
        <w:tblW w:type="auto" w:w="0"/>
        <w:jc w:val="left"/>
        <w:tblLook w:firstColumn="1" w:firstRow="1" w:lastColumn="0" w:lastRow="0" w:noHBand="0" w:noVBand="1" w:val="04A0"/>
      </w:tblPr>
      <w:tblGrid>
        <w:gridCol w:w="4703"/>
        <w:gridCol w:w="4703"/>
      </w:tblGrid>
      <w:tr>
        <w:tc>
          <w:tcPr>
            <w:tcW w:type="dxa" w:w="4703"/>
            <w:shd w:val="clear" w:color="auto" w:fill="F2F7F6"/>
            <w:tcMar>
              <w:top w:w="100" w:type="dxa"/>
              <w:bottom w:w="100" w:type="dxa"/>
              <w:left w:w="120" w:type="dxa"/>
              <w:right w:w="120" w:type="dxa"/>
            </w:tcMar>
          </w:tcPr>
          <w:p>
            <w:r>
              <w:rPr>
                <w:b/>
                <w:color w:val="1B2A4A"/>
                <w:sz w:val="20"/>
              </w:rPr>
              <w:t>Mayank Sharma</w:t>
              <w:br/>
            </w:r>
            <w:r>
              <w:rPr>
                <w:color w:val="00877A"/>
                <w:sz w:val="18"/>
              </w:rPr>
              <w:t>Director, Waste Warriors Society</w:t>
              <w:br/>
            </w:r>
            <w:r>
              <w:rPr>
                <w:color w:val="333333"/>
                <w:sz w:val="18"/>
              </w:rPr>
              <w:t>+91-9568233990</w:t>
              <w:br/>
            </w:r>
            <w:r>
              <w:rPr>
                <w:color w:val="00877A"/>
                <w:sz w:val="18"/>
              </w:rPr>
              <w:t>mayank.sharma@wastewarriors.org</w:t>
            </w:r>
          </w:p>
        </w:tc>
        <w:tc>
          <w:tcPr>
            <w:tcW w:type="dxa" w:w="4703"/>
            <w:shd w:val="clear" w:color="auto" w:fill="F2F7F6"/>
            <w:tcMar>
              <w:top w:w="100" w:type="dxa"/>
              <w:bottom w:w="100" w:type="dxa"/>
              <w:left w:w="120" w:type="dxa"/>
              <w:right w:w="120" w:type="dxa"/>
            </w:tcMar>
          </w:tcPr>
          <w:p>
            <w:r>
              <w:rPr>
                <w:b/>
                <w:color w:val="1B2A4A"/>
                <w:sz w:val="20"/>
              </w:rPr>
              <w:t>Suraj Agarwal</w:t>
              <w:br/>
            </w:r>
            <w:r>
              <w:rPr>
                <w:color w:val="00877A"/>
                <w:sz w:val="18"/>
              </w:rPr>
              <w:t>Senior Manager — Partnerships, Waste Warriors Society</w:t>
              <w:br/>
            </w:r>
            <w:r>
              <w:rPr>
                <w:color w:val="333333"/>
                <w:sz w:val="18"/>
              </w:rPr>
              <w:t>+91-9636327870</w:t>
              <w:br/>
            </w:r>
            <w:r>
              <w:rPr>
                <w:color w:val="00877A"/>
                <w:sz w:val="18"/>
              </w:rPr>
              <w:t>suraj.agarwal@wastewarriors.org</w:t>
            </w:r>
          </w:p>
        </w:tc>
      </w:tr>
    </w:tbl>
    <w:p>
      <w:pPr>
        <w:spacing w:after="280"/>
      </w:pPr>
    </w:p>
    <w:p>
      <w:pPr>
        <w:spacing w:before="200" w:after="60"/>
      </w:pPr>
      <w:r>
        <w:rPr>
          <w:b/>
          <w:color w:val="00877A"/>
          <w:sz w:val="22"/>
        </w:rPr>
        <w:t>Submitted by: Waste Warriors Society (WWS)</w:t>
      </w:r>
    </w:p>
    <w:p>
      <w:pPr>
        <w:spacing w:before="20" w:after="60"/>
        <w:ind w:left="340" w:hanging="170"/>
      </w:pPr>
      <w:r>
        <w:rPr>
          <w:color w:val="333333"/>
          <w:sz w:val="20"/>
        </w:rPr>
        <w:t>•  Registered under: Societies Registration Act 1860 — Number 243/2012-2013</w:t>
      </w:r>
    </w:p>
    <w:p>
      <w:pPr>
        <w:spacing w:before="20" w:after="60"/>
        <w:ind w:left="340" w:hanging="170"/>
      </w:pPr>
      <w:r>
        <w:rPr>
          <w:color w:val="333333"/>
          <w:sz w:val="20"/>
        </w:rPr>
        <w:t>•  Address: 136/2/2, Shivam Vihar, Rajpur Rd, Jakhan, Dehradun, Uttarakhand 248001</w:t>
      </w:r>
    </w:p>
    <w:p>
      <w:pPr>
        <w:spacing w:before="20" w:after="60"/>
        <w:ind w:left="340" w:hanging="170"/>
      </w:pPr>
      <w:r>
        <w:rPr>
          <w:color w:val="333333"/>
          <w:sz w:val="20"/>
        </w:rPr>
        <w:t>•  Phone: +91 7505763049   |   Email: partnerships@wastewarriors.org   |   Website: www.wastewarriors.org</w:t>
      </w:r>
    </w:p>
    <w:p>
      <w:pPr>
        <w:spacing w:before="20" w:after="60"/>
        <w:ind w:left="340" w:hanging="170"/>
      </w:pPr>
      <w:r>
        <w:rPr>
          <w:color w:val="333333"/>
          <w:sz w:val="20"/>
        </w:rPr>
        <w:t>•  CSR-1: CSR00002589   |   80G: AAAAW4566GF20214   |   12A: AAAAW4566GE20214</w:t>
      </w:r>
    </w:p>
    <w:p>
      <w:pPr>
        <w:spacing w:after="360"/>
      </w:pPr>
    </w:p>
    <w:tbl>
      <w:tblPr>
        <w:tblW w:type="auto" w:w="0"/>
        <w:tblLook w:firstColumn="1" w:firstRow="1" w:lastColumn="0" w:lastRow="0" w:noHBand="0" w:noVBand="1" w:val="04A0"/>
      </w:tblPr>
      <w:tblGrid>
        <w:gridCol w:w="9406"/>
      </w:tblGrid>
      <w:tr>
        <w:tc>
          <w:tcPr>
            <w:tcW w:type="dxa" w:w="9406"/>
            <w:shd w:val="clear" w:color="auto" w:fill="00877A"/>
            <w:tcMar>
              <w:top w:w="120" w:type="dxa"/>
              <w:bottom w:w="120" w:type="dxa"/>
              <w:left w:w="150" w:type="dxa"/>
              <w:right w:w="150" w:type="dxa"/>
            </w:tcMar>
          </w:tcPr>
          <w:p>
            <w:pPr>
              <w:jc w:val="center"/>
            </w:pPr>
            <w:r>
              <w:rPr>
                <w:b/>
                <w:color w:val="FFFFFF"/>
                <w:sz w:val="18"/>
              </w:rPr>
              <w:t>Waste Warriors Society   |   partnerships@wastewarriors.org   |   www.wastewarriors.org   |   +91 96363 27870</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