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GOVERNMENT GAZETTE NOTIFICATIONS</w:t>
      </w:r>
    </w:p>
    <w:p>
      <w:pPr>
        <w:jc w:val="center"/>
      </w:pPr>
      <w:r>
        <w:rPr>
          <w:rFonts w:ascii="Calibri" w:hAnsi="Calibri"/>
          <w:b w:val="0"/>
          <w:color w:val="505050"/>
          <w:sz w:val="24"/>
        </w:rPr>
        <w:t>Plain-Language Summary — Three Official Notifications (May 2026)</w:t>
      </w:r>
    </w:p>
    <w:p>
      <w:pPr>
        <w:jc w:val="center"/>
      </w:pPr>
      <w:r>
        <w:rPr>
          <w:rFonts w:ascii="Calibri" w:hAnsi="Calibri"/>
          <w:b w:val="0"/>
          <w:color w:val="787878"/>
          <w:sz w:val="20"/>
        </w:rPr>
        <w:t>Prepared: 03 June 2026</w:t>
      </w:r>
    </w:p>
    <w:p/>
    <w:p>
      <w:pPr>
        <w:pBdr>
          <w:bottom w:val="single" w:sz="6" w:space="1" w:color="4472C4"/>
        </w:pBdr>
        <w:spacing w:before="4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DOCUMENTS COVERED</w:t>
      </w:r>
    </w:p>
    <w:p>
      <w:pPr>
        <w:spacing w:after="80"/>
        <w:ind w:left="283"/>
      </w:pPr>
      <w:r>
        <w:rPr>
          <w:rFonts w:ascii="Calibri" w:hAnsi="Calibri"/>
          <w:b/>
          <w:color w:val="0054A6"/>
          <w:sz w:val="22"/>
        </w:rPr>
        <w:t xml:space="preserve">Document 1  |  </w:t>
      </w:r>
      <w:r>
        <w:rPr>
          <w:rFonts w:ascii="Calibri" w:hAnsi="Calibri"/>
          <w:b/>
          <w:sz w:val="22"/>
        </w:rPr>
        <w:t xml:space="preserve">EPF Wage Ceiling Notification  </w:t>
      </w:r>
      <w:r>
        <w:rPr>
          <w:rFonts w:ascii="Calibri" w:hAnsi="Calibri"/>
          <w:b w:val="0"/>
          <w:color w:val="646464"/>
          <w:sz w:val="20"/>
        </w:rPr>
        <w:t>(S.O. 2702(E) | Ministry of Labour &amp; Employment | 29 May 2026)</w:t>
      </w:r>
    </w:p>
    <w:p>
      <w:pPr>
        <w:spacing w:after="80"/>
        <w:ind w:left="283"/>
      </w:pPr>
      <w:r>
        <w:rPr>
          <w:rFonts w:ascii="Calibri" w:hAnsi="Calibri"/>
          <w:b/>
          <w:color w:val="0054A6"/>
          <w:sz w:val="22"/>
        </w:rPr>
        <w:t xml:space="preserve">Document 2  |  </w:t>
      </w:r>
      <w:r>
        <w:rPr>
          <w:rFonts w:ascii="Calibri" w:hAnsi="Calibri"/>
          <w:b/>
          <w:sz w:val="22"/>
        </w:rPr>
        <w:t xml:space="preserve">CSR – ZCZP Schedule VII Amendment  </w:t>
      </w:r>
      <w:r>
        <w:rPr>
          <w:rFonts w:ascii="Calibri" w:hAnsi="Calibri"/>
          <w:b w:val="0"/>
          <w:color w:val="646464"/>
          <w:sz w:val="20"/>
        </w:rPr>
        <w:t>(G.S.R. 416(E) | Ministry of Corporate Affairs | 27 May 2026)</w:t>
      </w:r>
    </w:p>
    <w:p>
      <w:pPr>
        <w:spacing w:after="80"/>
        <w:ind w:left="283"/>
      </w:pPr>
      <w:r>
        <w:rPr>
          <w:rFonts w:ascii="Calibri" w:hAnsi="Calibri"/>
          <w:b/>
          <w:color w:val="0054A6"/>
          <w:sz w:val="22"/>
        </w:rPr>
        <w:t xml:space="preserve">Document 3  |  </w:t>
      </w:r>
      <w:r>
        <w:rPr>
          <w:rFonts w:ascii="Calibri" w:hAnsi="Calibri"/>
          <w:b/>
          <w:sz w:val="22"/>
        </w:rPr>
        <w:t xml:space="preserve">CSR – ZCZP Policy Amendment Rules  </w:t>
      </w:r>
      <w:r>
        <w:rPr>
          <w:rFonts w:ascii="Calibri" w:hAnsi="Calibri"/>
          <w:b w:val="0"/>
          <w:color w:val="646464"/>
          <w:sz w:val="20"/>
        </w:rPr>
        <w:t>(G.S.R. 415(E) | Ministry of Corporate Affairs | 27 May 2026)</w:t>
      </w:r>
    </w:p>
    <w:p>
      <w:pPr>
        <w:pBdr>
          <w:bottom w:val="single" w:sz="6" w:space="1" w:color="4472C4"/>
        </w:pBdr>
        <w:spacing w:before="4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003366"/>
          <w:sz w:val="32"/>
        </w:rPr>
        <w:t>DOCUMENT 1 — EPF Wage Ceiling Notification</w:t>
      </w:r>
    </w:p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At a Glance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Notification No.: </w:t>
      </w:r>
      <w:r>
        <w:rPr>
          <w:rFonts w:ascii="Calibri" w:hAnsi="Calibri"/>
          <w:b w:val="0"/>
          <w:sz w:val="22"/>
        </w:rPr>
        <w:t>S.O. 2702(E)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Issuing Authority: </w:t>
      </w:r>
      <w:r>
        <w:rPr>
          <w:rFonts w:ascii="Calibri" w:hAnsi="Calibri"/>
          <w:b w:val="0"/>
          <w:sz w:val="22"/>
        </w:rPr>
        <w:t>Ministry of Labour and Employment, Government of India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Date: </w:t>
      </w:r>
      <w:r>
        <w:rPr>
          <w:rFonts w:ascii="Calibri" w:hAnsi="Calibri"/>
          <w:b w:val="0"/>
          <w:sz w:val="22"/>
        </w:rPr>
        <w:t>29 May 2026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Legal Basis: </w:t>
      </w:r>
      <w:r>
        <w:rPr>
          <w:rFonts w:ascii="Calibri" w:hAnsi="Calibri"/>
          <w:b w:val="0"/>
          <w:sz w:val="22"/>
        </w:rPr>
        <w:t>Code on Social Security, 2020 — Section 2, Clause (89)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Signed by: </w:t>
      </w:r>
      <w:r>
        <w:rPr>
          <w:rFonts w:ascii="Calibri" w:hAnsi="Calibri"/>
          <w:b w:val="0"/>
          <w:sz w:val="22"/>
        </w:rPr>
        <w:t>Tejaswi S. Naik, Joint Secretary</w:t>
      </w:r>
    </w:p>
    <w:p/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What Does It Say — In Plain English?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Central Government has officially fixed ₹15,000 per month as the wage ceiling for the purpose of Employees' Provident Fund (EPF) contributions under Chapter III of the Code on Social Security, 2020.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What Is a 'Wage Ceiling'?</w:t>
      </w:r>
    </w:p>
    <w:p>
      <w:pPr>
        <w:spacing w:after="80"/>
      </w:pPr>
      <w:r>
        <w:rPr>
          <w:rFonts w:ascii="Calibri" w:hAnsi="Calibri"/>
          <w:b w:val="0"/>
          <w:sz w:val="22"/>
        </w:rPr>
        <w:t>A wage ceiling is the maximum salary limit used to calculate mandatory EPF contributions. If an employee earns ₹15,000 or less per month, their EPF contribution is calculated on their full salary. If they earn more than ₹15,000, the employer's mandatory EPF contribution is still calculated based on ₹15,000 — even if the employee voluntarily contributes on a higher amount.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Why Does This Matter?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Every employer who has employees earning up to ₹15,000/month MUST enroll them in EPF.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Minimum EPF contribution = 12% of ₹15,000 = ₹1,800/month from the employee.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The employer also contributes 12% of ₹15,000, split between EPF and EPS (Employee Pension Scheme).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This is the threshold that determines who is covered under the mandatory EPF scheme.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Who Is Affected?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All employers with 20 or more employees.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Employees drawing a basic wage up to ₹15,000/month are automatically covered.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Employees earning above ₹15,000 can still join voluntarily, but the employer's statutory liability is capped at the ₹15,000 ceiling.</w:t>
      </w:r>
    </w:p>
    <w:p>
      <w:pPr>
        <w:spacing w:after="120"/>
        <w:ind w:left="283"/>
        <w:shd w:val="clear" w:color="auto" w:fill="D6E4F0"/>
      </w:pPr>
      <w:r>
        <w:rPr>
          <w:rFonts w:ascii="Calibri" w:hAnsi="Calibri"/>
          <w:b/>
          <w:color w:val="FFFFFF"/>
          <w:sz w:val="20"/>
        </w:rPr>
        <w:t xml:space="preserve">  KEY POINT:  </w:t>
      </w:r>
      <w:r>
        <w:rPr>
          <w:rFonts w:ascii="Calibri" w:hAnsi="Calibri"/>
          <w:b w:val="0"/>
          <w:color w:val="3C3C3C"/>
          <w:sz w:val="20"/>
        </w:rPr>
        <w:t xml:space="preserve"> This notification retains the existing ₹15,000 wage ceiling that has been in place since September 2014, now formally renotified under the new Code on Social Security, 2020 framework — replacing the older EPF &amp; MP Act, 1952 reference.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Critical Assessment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wage ceiling of ₹15,000/month has not been revised upward despite significant inflation since 2014. Given that minimum wages in many states now exceed ₹15,000/month, this ceiling has become less effective at expanding EPF coverage. Critics argue it should be revised to ₹21,000–₹25,000 to bring more workers under social security protection. This notification, however, simply migrates the existing ceiling into the new legal framework — it is a housekeeping measure, not a policy change.</w:t>
      </w:r>
    </w:p>
    <w:p>
      <w:pPr>
        <w:pBdr>
          <w:bottom w:val="single" w:sz="6" w:space="1" w:color="4472C4"/>
        </w:pBdr>
        <w:spacing w:before="4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003366"/>
          <w:sz w:val="32"/>
        </w:rPr>
        <w:t>DOCUMENT 2 — CSR: Addition of ZCZP to Schedule VII (Companies Act)</w:t>
      </w:r>
    </w:p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At a Glance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Notification No.: </w:t>
      </w:r>
      <w:r>
        <w:rPr>
          <w:rFonts w:ascii="Calibri" w:hAnsi="Calibri"/>
          <w:b w:val="0"/>
          <w:sz w:val="22"/>
        </w:rPr>
        <w:t>G.S.R. 416(E)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Issuing Authority: </w:t>
      </w:r>
      <w:r>
        <w:rPr>
          <w:rFonts w:ascii="Calibri" w:hAnsi="Calibri"/>
          <w:b w:val="0"/>
          <w:sz w:val="22"/>
        </w:rPr>
        <w:t>Ministry of Corporate Affairs, Government of India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Date: </w:t>
      </w:r>
      <w:r>
        <w:rPr>
          <w:rFonts w:ascii="Calibri" w:hAnsi="Calibri"/>
          <w:b w:val="0"/>
          <w:sz w:val="22"/>
        </w:rPr>
        <w:t>27 May 2026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Legal Basis: </w:t>
      </w:r>
      <w:r>
        <w:rPr>
          <w:rFonts w:ascii="Calibri" w:hAnsi="Calibri"/>
          <w:b w:val="0"/>
          <w:sz w:val="22"/>
        </w:rPr>
        <w:t>Companies Act, 2013 — Section 467(1)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Signed by: </w:t>
      </w:r>
      <w:r>
        <w:rPr>
          <w:rFonts w:ascii="Calibri" w:hAnsi="Calibri"/>
          <w:b w:val="0"/>
          <w:sz w:val="22"/>
        </w:rPr>
        <w:t>Rahul Jain, Joint Secretary</w:t>
      </w:r>
    </w:p>
    <w:p/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What Does It Say — In Plain English?</w:t>
      </w:r>
    </w:p>
    <w:p>
      <w:pPr>
        <w:spacing w:after="80"/>
      </w:pPr>
      <w:r>
        <w:rPr>
          <w:rFonts w:ascii="Calibri" w:hAnsi="Calibri"/>
          <w:b w:val="0"/>
          <w:sz w:val="22"/>
        </w:rPr>
        <w:t>Schedule VII of the Companies Act lists the activities that qualify as valid Corporate Social Responsibility (CSR) spending. This notification adds a brand-new item (xiii) to that list:</w:t>
      </w:r>
    </w:p>
    <w:p>
      <w:pPr>
        <w:ind w:left="567" w:right="567"/>
        <w:jc w:val="center"/>
        <w:shd w:val="clear" w:color="auto" w:fill="EBF5FB"/>
      </w:pPr>
      <w:r>
        <w:rPr>
          <w:rFonts w:ascii="Calibri" w:hAnsi="Calibri"/>
          <w:b/>
          <w:color w:val="0054A6"/>
          <w:sz w:val="22"/>
        </w:rPr>
        <w:t>"Subscription to zero coupon zero principal instruments on Social Stock Exchange."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Background: What is Schedule VII?</w:t>
      </w:r>
    </w:p>
    <w:p>
      <w:pPr>
        <w:spacing w:after="80"/>
      </w:pPr>
      <w:r>
        <w:rPr>
          <w:rFonts w:ascii="Calibri" w:hAnsi="Calibri"/>
          <w:b w:val="0"/>
          <w:sz w:val="22"/>
        </w:rPr>
        <w:t>Under Indian law, certain companies (profitable ones meeting size thresholds) must spend at least 2% of their average net profit on CSR activities. Schedule VII lists the approved categories — health, education, environment, poverty reduction, etc. Only spending on these listed activities counts as valid CSR.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What is a Zero Coupon Zero Principal (ZCZP) Instrument?</w:t>
      </w:r>
    </w:p>
    <w:p>
      <w:pPr>
        <w:spacing w:after="80"/>
      </w:pPr>
      <w:r>
        <w:rPr>
          <w:rFonts w:ascii="Calibri" w:hAnsi="Calibri"/>
          <w:b w:val="0"/>
          <w:sz w:val="22"/>
        </w:rPr>
        <w:t>A ZCZP instrument is a unique financial security issued by a Non-Profit Organisation (NPO) registered with India's Social Stock Exchange (SSE). Here's what makes it unusual: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Zero Coupon: The investor receives NO interest / returns.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Zero Principal: The investor gets NO money back at maturity.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It is essentially a donation packaged as a financial instrument, giving it SEBI-regulated structure and transparency.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The money raised is used entirely for social impact projects.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What Does This Change Mean Practically?</w:t>
      </w:r>
    </w:p>
    <w:p>
      <w:pPr>
        <w:spacing w:after="80"/>
      </w:pPr>
      <w:r>
        <w:rPr>
          <w:rFonts w:ascii="Calibri" w:hAnsi="Calibri"/>
          <w:b w:val="0"/>
          <w:sz w:val="22"/>
        </w:rPr>
        <w:t>Previously, companies investing in ZCZP instruments were in a grey area regarding CSR credit. Now, buying ZCZP instruments is officially recognised as a valid CSR activity. Companies can count this spending toward their mandatory 2% CSR obligation.</w:t>
      </w:r>
    </w:p>
    <w:p>
      <w:pPr>
        <w:spacing w:after="120"/>
        <w:ind w:left="283"/>
        <w:shd w:val="clear" w:color="auto" w:fill="D6E4F0"/>
      </w:pPr>
      <w:r>
        <w:rPr>
          <w:rFonts w:ascii="Calibri" w:hAnsi="Calibri"/>
          <w:b/>
          <w:color w:val="FFFFFF"/>
          <w:sz w:val="20"/>
        </w:rPr>
        <w:t xml:space="preserve">  SIGNIFICANCE:  </w:t>
      </w:r>
      <w:r>
        <w:rPr>
          <w:rFonts w:ascii="Calibri" w:hAnsi="Calibri"/>
          <w:b w:val="0"/>
          <w:color w:val="3C3C3C"/>
          <w:sz w:val="20"/>
        </w:rPr>
        <w:t xml:space="preserve"> This amendment effectively opens a formal funding channel between corporate India's CSR budgets and social-sector non-profits operating on the Social Stock Exchange.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Critical Assessment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is a positive, enabling amendment. It creates a regulated, transparent pathway for CSR funds to flow into social enterprises. However, the Social Stock Exchange is still nascent in India — very few NPOs are listed, and market liquidity is minimal. The real-world impact depends heavily on how quickly the SSE ecosystem matures. There is also a risk of 'impact washing' if companies treat ZCZP investments as an easy CSR checkbox without verifying actual social outcomes.</w:t>
      </w:r>
    </w:p>
    <w:p>
      <w:pPr>
        <w:pBdr>
          <w:bottom w:val="single" w:sz="6" w:space="1" w:color="4472C4"/>
        </w:pBdr>
        <w:spacing w:before="4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003366"/>
          <w:sz w:val="32"/>
        </w:rPr>
        <w:t>DOCUMENT 3 — CSR Policy Amendment Rules: ZCZP Implementation Framework</w:t>
      </w:r>
    </w:p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At a Glance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Notification No.: </w:t>
      </w:r>
      <w:r>
        <w:rPr>
          <w:rFonts w:ascii="Calibri" w:hAnsi="Calibri"/>
          <w:b w:val="0"/>
          <w:sz w:val="22"/>
        </w:rPr>
        <w:t>G.S.R. 415(E)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Issuing Authority: </w:t>
      </w:r>
      <w:r>
        <w:rPr>
          <w:rFonts w:ascii="Calibri" w:hAnsi="Calibri"/>
          <w:b w:val="0"/>
          <w:sz w:val="22"/>
        </w:rPr>
        <w:t>Ministry of Corporate Affairs, Government of India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Date: </w:t>
      </w:r>
      <w:r>
        <w:rPr>
          <w:rFonts w:ascii="Calibri" w:hAnsi="Calibri"/>
          <w:b w:val="0"/>
          <w:sz w:val="22"/>
        </w:rPr>
        <w:t>27 May 2026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Legal Basis: </w:t>
      </w:r>
      <w:r>
        <w:rPr>
          <w:rFonts w:ascii="Calibri" w:hAnsi="Calibri"/>
          <w:b w:val="0"/>
          <w:sz w:val="22"/>
        </w:rPr>
        <w:t>Companies Act, 2013 — Section 135 and Section 469(1)(2)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Full Name: </w:t>
      </w:r>
      <w:r>
        <w:rPr>
          <w:rFonts w:ascii="Calibri" w:hAnsi="Calibri"/>
          <w:b w:val="0"/>
          <w:sz w:val="22"/>
        </w:rPr>
        <w:t>Companies (Corporate Social Responsibility Policy) Amendment Rules, 2026</w:t>
      </w:r>
    </w:p>
    <w:p>
      <w:pPr>
        <w:spacing w:after="60"/>
      </w:pPr>
      <w:r>
        <w:rPr>
          <w:rFonts w:ascii="Calibri" w:hAnsi="Calibri"/>
          <w:b/>
          <w:color w:val="003366"/>
          <w:sz w:val="22"/>
        </w:rPr>
        <w:t xml:space="preserve">Signed by: </w:t>
      </w:r>
      <w:r>
        <w:rPr>
          <w:rFonts w:ascii="Calibri" w:hAnsi="Calibri"/>
          <w:b w:val="0"/>
          <w:sz w:val="22"/>
        </w:rPr>
        <w:t>Rahul Jain, Joint Secretary</w:t>
      </w:r>
    </w:p>
    <w:p/>
    <w:p>
      <w:pPr>
        <w:spacing w:before="280" w:after="80"/>
        <w:jc w:val="left"/>
      </w:pPr>
      <w:r>
        <w:rPr>
          <w:rFonts w:ascii="Calibri" w:hAnsi="Calibri"/>
          <w:b/>
          <w:color w:val="0054A6"/>
          <w:sz w:val="26"/>
        </w:rPr>
        <w:t>What Does It Say — In Plain English?</w:t>
      </w:r>
    </w:p>
    <w:p>
      <w:pPr>
        <w:spacing w:after="80"/>
      </w:pPr>
      <w:r>
        <w:rPr>
          <w:rFonts w:ascii="Calibri" w:hAnsi="Calibri"/>
          <w:b w:val="0"/>
          <w:sz w:val="22"/>
        </w:rPr>
        <w:t>While Document 2 added ZCZP to the list of valid CSR activities, this document provides the detailed rules — the 'how-to guide' — for companies and NPOs wanting to use ZCZP instruments for CSR. It amends the CSR Policy Rules, 2014.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New Definitions Added</w:t>
      </w:r>
    </w:p>
    <w:p>
      <w:pPr>
        <w:spacing w:after="80"/>
      </w:pPr>
      <w:r>
        <w:rPr>
          <w:rFonts w:ascii="Calibri" w:hAnsi="Calibri"/>
          <w:b w:val="0"/>
          <w:sz w:val="22"/>
        </w:rPr>
        <w:t>Two key terms are now formally defined in law: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Not for Profit Organization (NPO): An entity with the same meaning as defined in SEBI's ICDR Regulations 2018, Regulation 292A(e). In simple terms: a registered organisation that reinvests all surplus into its social mission.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Zero Coupon Zero Principal (ZCZP) Instrument: A SEBI-declared security issued by an NPO registered with the Social Stock Exchange segment of a recognised stock exchange — offering no coupon (interest) and no return of principal.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New Rule 4A — The ZCZP Implementation Framework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is the heart of the notification. Rule 4A introduces a complete framework: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For Companies (Investors in ZCZP):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 company CAN use CSR funds to subscribe to (buy) ZCZP instruments.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CAP: ZCZP spending cannot exceed 10% of the company's total CSR expenditure for that financial year. Example: If a company's total CSR budget is ₹1 crore, a maximum of ₹10 lakh can go into ZCZP instruments.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EXEMPTION from Impact Assessment: Companies investing in ZCZP do NOT have to conduct an independent impact assessment of ZCZP-funded projects. (Normally required for projects above ₹1 crore.) This reduces compliance burden.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For Non-Profit Organisations (Issuers of ZCZP):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Project Duration Limit: The NPO must complete the funded project within 3 financial years from the date of issuance of the ZCZP instrument. No open-ended commitments allowed.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Unspent Funds: On termination of the listing of the ZCZP instrument, any unspent funds MUST be transferred to an approved fund listed in Schedule VII of the Companies Act — the money cannot be retained or used for other purposes.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SEBI Compliance Report: The NPO must submit a compliance report to SEBI when the listing ends.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Applicability of Existing CSR Rules:</w:t>
      </w:r>
    </w:p>
    <w:p>
      <w:pPr>
        <w:spacing w:after="80"/>
      </w:pPr>
      <w:r>
        <w:rPr>
          <w:rFonts w:ascii="Calibri" w:hAnsi="Calibri"/>
          <w:b w:val="0"/>
          <w:sz w:val="22"/>
        </w:rPr>
        <w:t>Most of the existing Rule 4 (general CSR implementation rules) applies to ZCZP-based CSR — EXCEPT sub-rules (5) and (6). This ensures the specific ZCZP unspent-fund and compliance mechanism in Rule 4A(3) takes precedence over those two sub-rules.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Quick Reference: Key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366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3135"/>
            <w:shd w:val="clear" w:color="auto" w:fill="003366"/>
          </w:tcPr>
          <w:p>
            <w:r>
              <w:rPr>
                <w:b/>
                <w:color w:val="FFFFFF"/>
              </w:rPr>
              <w:t>What It Says</w:t>
            </w:r>
          </w:p>
        </w:tc>
        <w:tc>
          <w:tcPr>
            <w:tcW w:type="dxa" w:w="3135"/>
            <w:shd w:val="clear" w:color="auto" w:fill="003366"/>
          </w:tcPr>
          <w:p>
            <w:r>
              <w:rPr>
                <w:b/>
                <w:color w:val="FFFFFF"/>
              </w:rPr>
              <w:t>Limit / Requirement</w:t>
            </w:r>
          </w:p>
        </w:tc>
      </w:tr>
      <w:tr>
        <w:tc>
          <w:tcPr>
            <w:tcW w:type="dxa" w:w="3135"/>
          </w:tcPr>
          <w:p>
            <w:r>
              <w:t>ZCZP Spending Cap</w:t>
            </w:r>
          </w:p>
        </w:tc>
        <w:tc>
          <w:tcPr>
            <w:tcW w:type="dxa" w:w="3135"/>
          </w:tcPr>
          <w:p>
            <w:r>
              <w:t>Max % of CSR budget for ZCZP instruments</w:t>
            </w:r>
          </w:p>
        </w:tc>
        <w:tc>
          <w:tcPr>
            <w:tcW w:type="dxa" w:w="3135"/>
          </w:tcPr>
          <w:p>
            <w:r>
              <w:t>10% per financial year</w:t>
            </w:r>
          </w:p>
        </w:tc>
      </w:tr>
      <w:tr>
        <w:tc>
          <w:tcPr>
            <w:tcW w:type="dxa" w:w="3135"/>
          </w:tcPr>
          <w:p>
            <w:r>
              <w:t>Project Duration</w:t>
            </w:r>
          </w:p>
        </w:tc>
        <w:tc>
          <w:tcPr>
            <w:tcW w:type="dxa" w:w="3135"/>
          </w:tcPr>
          <w:p>
            <w:r>
              <w:t>Max project length for NPO using ZCZP funds</w:t>
            </w:r>
          </w:p>
        </w:tc>
        <w:tc>
          <w:tcPr>
            <w:tcW w:type="dxa" w:w="3135"/>
          </w:tcPr>
          <w:p>
            <w:r>
              <w:t>3 financial years from issuance</w:t>
            </w:r>
          </w:p>
        </w:tc>
      </w:tr>
      <w:tr>
        <w:tc>
          <w:tcPr>
            <w:tcW w:type="dxa" w:w="3135"/>
          </w:tcPr>
          <w:p>
            <w:r>
              <w:t>Unspent Funds</w:t>
            </w:r>
          </w:p>
        </w:tc>
        <w:tc>
          <w:tcPr>
            <w:tcW w:type="dxa" w:w="3135"/>
          </w:tcPr>
          <w:p>
            <w:r>
              <w:t>What NPO must do with leftover money on delisting</w:t>
            </w:r>
          </w:p>
        </w:tc>
        <w:tc>
          <w:tcPr>
            <w:tcW w:type="dxa" w:w="3135"/>
          </w:tcPr>
          <w:p>
            <w:r>
              <w:t>Transfer to Schedule VII fund + SEBI report</w:t>
            </w:r>
          </w:p>
        </w:tc>
      </w:tr>
    </w:tbl>
    <w:p/>
    <w:p>
      <w:pPr>
        <w:spacing w:after="120"/>
        <w:ind w:left="283"/>
        <w:shd w:val="clear" w:color="auto" w:fill="D6E4F0"/>
      </w:pPr>
      <w:r>
        <w:rPr>
          <w:rFonts w:ascii="Calibri" w:hAnsi="Calibri"/>
          <w:b/>
          <w:color w:val="FFFFFF"/>
          <w:sz w:val="20"/>
        </w:rPr>
        <w:t xml:space="preserve">  NOTE:  </w:t>
      </w:r>
      <w:r>
        <w:rPr>
          <w:rFonts w:ascii="Calibri" w:hAnsi="Calibri"/>
          <w:b w:val="0"/>
          <w:color w:val="3C3C3C"/>
          <w:sz w:val="20"/>
        </w:rPr>
        <w:t xml:space="preserve"> Documents 2 and 3 work together as a package: Document 2 gives legal recognition, Document 3 provides the operational rules. Both were notified on the same day (27 May 2026) and take effect from the date of publication in the Gazette.</w:t>
      </w:r>
    </w:p>
    <w:p>
      <w:pPr>
        <w:spacing w:before="280" w:after="80"/>
        <w:jc w:val="left"/>
      </w:pPr>
      <w:r>
        <w:rPr>
          <w:rFonts w:ascii="Calibri" w:hAnsi="Calibri"/>
          <w:b/>
          <w:color w:val="282828"/>
          <w:sz w:val="22"/>
        </w:rPr>
        <w:t>Critical Assessment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10% cap on ZCZP spending is a prudent safeguard — it prevents companies from routing excessive CSR funds through instruments where accountability is lower. The 3-year project duration limit prevents NPOs from holding funds indefinitely. The SEBI compliance report requirement adds regulatory oversight. However, the exemption from impact assessment is a double-edged sword: it reduces company burden but also reduces accountability for outcomes. The framework is well-structured for a first iteration but will need monitoring to ensure genuine social impact is delivered.</w:t>
      </w:r>
    </w:p>
    <w:p>
      <w:pPr>
        <w:pBdr>
          <w:bottom w:val="single" w:sz="6" w:space="1" w:color="4472C4"/>
        </w:pBdr>
        <w:spacing w:before="4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003366"/>
          <w:sz w:val="32"/>
        </w:rPr>
        <w:t>OVERALL CONCLUSION</w:t>
      </w:r>
    </w:p>
    <w:p>
      <w:pPr>
        <w:spacing w:after="80"/>
      </w:pPr>
      <w:r>
        <w:rPr>
          <w:rFonts w:ascii="Calibri" w:hAnsi="Calibri"/>
          <w:b w:val="0"/>
          <w:sz w:val="22"/>
        </w:rPr>
        <w:t>These three notifications represent two distinct policy actions from two ministries, both published in the Gazette of India in late May 2026: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EPF Wage Ceiling (Labour Ministry): A housekeeping measure that reaffirms the existing ₹15,000/month threshold under the new Social Security Code. No practical change for employers or employees — the ceiling stays the same.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CSR + ZCZP Framework (Corporate Affairs Ministry): A significant policy innovation that allows companies to fund social-sector NPOs through SEBI-regulated instruments on the Social Stock Exchange — with clear caps, timelines, and oversight rules. This is a meaningful step toward institutionalising social-impact investing within India's mandatory CSR framework.</w:t>
      </w:r>
    </w:p>
    <w:p/>
    <w:p>
      <w:pPr>
        <w:jc w:val="right"/>
      </w:pPr>
      <w:r>
        <w:rPr>
          <w:rFonts w:ascii="Calibri" w:hAnsi="Calibri"/>
          <w:b w:val="0"/>
          <w:color w:val="787878"/>
          <w:sz w:val="20"/>
        </w:rPr>
        <w:t>— End of Summary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