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color w:val="00877A"/>
          <w:sz w:val="68"/>
        </w:rPr>
        <w:t>WASTE WISE WARD</w:t>
      </w:r>
    </w:p>
    <w:p>
      <w:pPr>
        <w:spacing w:before="0" w:after="120"/>
        <w:jc w:val="center"/>
      </w:pPr>
      <w:r>
        <w:rPr>
          <w:i/>
          <w:color w:val="1B2A4A"/>
          <w:sz w:val="28"/>
        </w:rPr>
        <w:t>Building Community Wellness Through Inclusive Waste Management</w:t>
      </w:r>
    </w:p>
    <w:p>
      <w:pPr>
        <w:spacing w:before="0" w:after="600"/>
        <w:jc w:val="center"/>
      </w:pPr>
      <w:r>
        <w:rPr>
          <w:color w:val="333333"/>
          <w:sz w:val="24"/>
        </w:rPr>
        <w:t>Ward 97, Harrawala, Dehradun, Uttarakhand</w:t>
      </w:r>
    </w:p>
    <w:p>
      <w:pPr>
        <w:spacing w:before="80" w:after="80"/>
      </w:pPr>
      <w:r>
        <w:rPr>
          <w:color w:val="CCCCCC"/>
          <w:sz w:val="16"/>
        </w:rPr>
        <w:t>────────────────────────────────────────────────────────────────────────────────</w:t>
      </w:r>
    </w:p>
    <w:p>
      <w:pPr>
        <w:spacing w:before="120" w:after="80"/>
        <w:jc w:val="center"/>
      </w:pPr>
      <w:r>
        <w:rPr>
          <w:color w:val="333333"/>
          <w:sz w:val="22"/>
        </w:rPr>
        <w:t xml:space="preserve">Proposal:  </w:t>
      </w:r>
      <w:r>
        <w:rPr>
          <w:b/>
          <w:color w:val="1B2A4A"/>
          <w:sz w:val="22"/>
        </w:rPr>
        <w:t>FY 2026–27</w:t>
      </w:r>
    </w:p>
    <w:p>
      <w:pPr>
        <w:spacing w:before="120" w:after="80"/>
        <w:jc w:val="center"/>
      </w:pPr>
      <w:r>
        <w:rPr>
          <w:color w:val="333333"/>
          <w:sz w:val="22"/>
        </w:rPr>
        <w:t xml:space="preserve">Shared by:  </w:t>
      </w:r>
      <w:r>
        <w:rPr>
          <w:b/>
          <w:color w:val="1B2A4A"/>
          <w:sz w:val="22"/>
        </w:rPr>
        <w:t>Waste Warriors Society  |  www.wastewarriors.org</w:t>
      </w:r>
    </w:p>
    <w:p>
      <w:pPr>
        <w:spacing w:before="120" w:after="80"/>
        <w:jc w:val="center"/>
      </w:pPr>
      <w:r>
        <w:rPr>
          <w:color w:val="333333"/>
          <w:sz w:val="22"/>
        </w:rPr>
        <w:t xml:space="preserve">Submitted to:  </w:t>
      </w:r>
      <w:r>
        <w:rPr>
          <w:b/>
          <w:color w:val="1B2A4A"/>
          <w:sz w:val="22"/>
        </w:rPr>
        <w:t>Canada Fund for Local Initiatives (CFLI)</w:t>
      </w:r>
    </w:p>
    <w:p>
      <w:r>
        <w:br w:type="page"/>
      </w:r>
    </w:p>
    <w:p>
      <w:pPr>
        <w:spacing w:before="280" w:after="80"/>
      </w:pPr>
      <w:r>
        <w:rPr>
          <w:b/>
          <w:color w:val="00877A"/>
          <w:sz w:val="30"/>
        </w:rPr>
        <w:t>Table of Contents</w:t>
      </w:r>
    </w:p>
    <w:tbl>
      <w:tblPr>
        <w:tblStyle w:val="TableGrid"/>
        <w:tblW w:type="auto" w:w="0"/>
        <w:jc w:val="left"/>
        <w:tblLook w:firstColumn="1" w:firstRow="1" w:lastColumn="0" w:lastRow="0" w:noHBand="0" w:noVBand="1" w:val="04A0"/>
      </w:tblPr>
      <w:tblGrid>
        <w:gridCol w:w="4703"/>
        <w:gridCol w:w="4703"/>
      </w:tblGrid>
      <w:tr>
        <w:tc>
          <w:tcPr>
            <w:tcW w:type="dxa" w:w="7370"/>
            <w:shd w:val="clear" w:color="auto" w:fill="F2F7F6"/>
          </w:tcPr>
          <w:p>
            <w:r>
              <w:rPr>
                <w:color w:val="333333"/>
                <w:sz w:val="22"/>
              </w:rPr>
              <w:t>Setting the Scene</w:t>
            </w:r>
          </w:p>
        </w:tc>
        <w:tc>
          <w:tcPr>
            <w:tcW w:type="dxa" w:w="1134"/>
            <w:shd w:val="clear" w:color="auto" w:fill="F2F7F6"/>
          </w:tcPr>
          <w:p>
            <w:pPr>
              <w:jc w:val="right"/>
            </w:pPr>
            <w:r>
              <w:rPr>
                <w:b/>
                <w:color w:val="00877A"/>
                <w:sz w:val="22"/>
              </w:rPr>
              <w:t>3</w:t>
            </w:r>
          </w:p>
        </w:tc>
      </w:tr>
      <w:tr>
        <w:tc>
          <w:tcPr>
            <w:tcW w:type="dxa" w:w="7370"/>
          </w:tcPr>
          <w:p>
            <w:r>
              <w:rPr>
                <w:color w:val="333333"/>
                <w:sz w:val="22"/>
              </w:rPr>
              <w:t>About Waste Warriors</w:t>
            </w:r>
          </w:p>
        </w:tc>
        <w:tc>
          <w:tcPr>
            <w:tcW w:type="dxa" w:w="1134"/>
          </w:tcPr>
          <w:p>
            <w:pPr>
              <w:jc w:val="right"/>
            </w:pPr>
            <w:r>
              <w:rPr>
                <w:b/>
                <w:color w:val="00877A"/>
                <w:sz w:val="22"/>
              </w:rPr>
              <w:t>4</w:t>
            </w:r>
          </w:p>
        </w:tc>
      </w:tr>
      <w:tr>
        <w:tc>
          <w:tcPr>
            <w:tcW w:type="dxa" w:w="7370"/>
            <w:shd w:val="clear" w:color="auto" w:fill="F2F7F6"/>
          </w:tcPr>
          <w:p>
            <w:r>
              <w:rPr>
                <w:color w:val="333333"/>
                <w:sz w:val="22"/>
              </w:rPr>
              <w:t>The Challenge: Dehradun’s Waste &amp; Wellness Crisis</w:t>
            </w:r>
          </w:p>
        </w:tc>
        <w:tc>
          <w:tcPr>
            <w:tcW w:type="dxa" w:w="1134"/>
            <w:shd w:val="clear" w:color="auto" w:fill="F2F7F6"/>
          </w:tcPr>
          <w:p>
            <w:pPr>
              <w:jc w:val="right"/>
            </w:pPr>
            <w:r>
              <w:rPr>
                <w:b/>
                <w:color w:val="00877A"/>
                <w:sz w:val="22"/>
              </w:rPr>
              <w:t>5</w:t>
            </w:r>
          </w:p>
        </w:tc>
      </w:tr>
      <w:tr>
        <w:tc>
          <w:tcPr>
            <w:tcW w:type="dxa" w:w="7370"/>
          </w:tcPr>
          <w:p>
            <w:r>
              <w:rPr>
                <w:color w:val="333333"/>
                <w:sz w:val="22"/>
              </w:rPr>
              <w:t>Ward 97: A Government-Endorsed Model</w:t>
            </w:r>
          </w:p>
        </w:tc>
        <w:tc>
          <w:tcPr>
            <w:tcW w:type="dxa" w:w="1134"/>
          </w:tcPr>
          <w:p>
            <w:pPr>
              <w:jc w:val="right"/>
            </w:pPr>
            <w:r>
              <w:rPr>
                <w:b/>
                <w:color w:val="00877A"/>
                <w:sz w:val="22"/>
              </w:rPr>
              <w:t>6</w:t>
            </w:r>
          </w:p>
        </w:tc>
      </w:tr>
      <w:tr>
        <w:tc>
          <w:tcPr>
            <w:tcW w:type="dxa" w:w="7370"/>
            <w:shd w:val="clear" w:color="auto" w:fill="F2F7F6"/>
          </w:tcPr>
          <w:p>
            <w:r>
              <w:rPr>
                <w:color w:val="333333"/>
                <w:sz w:val="22"/>
              </w:rPr>
              <w:t>The Project: Waste Wise Ward</w:t>
            </w:r>
          </w:p>
        </w:tc>
        <w:tc>
          <w:tcPr>
            <w:tcW w:type="dxa" w:w="1134"/>
            <w:shd w:val="clear" w:color="auto" w:fill="F2F7F6"/>
          </w:tcPr>
          <w:p>
            <w:pPr>
              <w:jc w:val="right"/>
            </w:pPr>
            <w:r>
              <w:rPr>
                <w:b/>
                <w:color w:val="00877A"/>
                <w:sz w:val="22"/>
              </w:rPr>
              <w:t>7</w:t>
            </w:r>
          </w:p>
        </w:tc>
      </w:tr>
      <w:tr>
        <w:tc>
          <w:tcPr>
            <w:tcW w:type="dxa" w:w="7370"/>
          </w:tcPr>
          <w:p>
            <w:r>
              <w:rPr>
                <w:color w:val="333333"/>
                <w:sz w:val="22"/>
              </w:rPr>
              <w:t>Our Activities</w:t>
            </w:r>
          </w:p>
        </w:tc>
        <w:tc>
          <w:tcPr>
            <w:tcW w:type="dxa" w:w="1134"/>
          </w:tcPr>
          <w:p>
            <w:pPr>
              <w:jc w:val="right"/>
            </w:pPr>
            <w:r>
              <w:rPr>
                <w:b/>
                <w:color w:val="00877A"/>
                <w:sz w:val="22"/>
              </w:rPr>
              <w:t>8–10</w:t>
            </w:r>
          </w:p>
        </w:tc>
      </w:tr>
      <w:tr>
        <w:tc>
          <w:tcPr>
            <w:tcW w:type="dxa" w:w="7370"/>
            <w:shd w:val="clear" w:color="auto" w:fill="F2F7F6"/>
          </w:tcPr>
          <w:p>
            <w:r>
              <w:rPr>
                <w:color w:val="333333"/>
                <w:sz w:val="22"/>
              </w:rPr>
              <w:t>What Success Looks Like</w:t>
            </w:r>
          </w:p>
        </w:tc>
        <w:tc>
          <w:tcPr>
            <w:tcW w:type="dxa" w:w="1134"/>
            <w:shd w:val="clear" w:color="auto" w:fill="F2F7F6"/>
          </w:tcPr>
          <w:p>
            <w:pPr>
              <w:jc w:val="right"/>
            </w:pPr>
            <w:r>
              <w:rPr>
                <w:b/>
                <w:color w:val="00877A"/>
                <w:sz w:val="22"/>
              </w:rPr>
              <w:t>11</w:t>
            </w:r>
          </w:p>
        </w:tc>
      </w:tr>
      <w:tr>
        <w:tc>
          <w:tcPr>
            <w:tcW w:type="dxa" w:w="7370"/>
          </w:tcPr>
          <w:p>
            <w:r>
              <w:rPr>
                <w:color w:val="333333"/>
                <w:sz w:val="22"/>
              </w:rPr>
              <w:t>Budget Summary</w:t>
            </w:r>
          </w:p>
        </w:tc>
        <w:tc>
          <w:tcPr>
            <w:tcW w:type="dxa" w:w="1134"/>
          </w:tcPr>
          <w:p>
            <w:pPr>
              <w:jc w:val="right"/>
            </w:pPr>
            <w:r>
              <w:rPr>
                <w:b/>
                <w:color w:val="00877A"/>
                <w:sz w:val="22"/>
              </w:rPr>
              <w:t>12</w:t>
            </w:r>
          </w:p>
        </w:tc>
      </w:tr>
      <w:tr>
        <w:tc>
          <w:tcPr>
            <w:tcW w:type="dxa" w:w="7370"/>
            <w:shd w:val="clear" w:color="auto" w:fill="F2F7F6"/>
          </w:tcPr>
          <w:p>
            <w:r>
              <w:rPr>
                <w:color w:val="333333"/>
                <w:sz w:val="22"/>
              </w:rPr>
              <w:t>Organisational Due Diligence</w:t>
            </w:r>
          </w:p>
        </w:tc>
        <w:tc>
          <w:tcPr>
            <w:tcW w:type="dxa" w:w="1134"/>
            <w:shd w:val="clear" w:color="auto" w:fill="F2F7F6"/>
          </w:tcPr>
          <w:p>
            <w:pPr>
              <w:jc w:val="right"/>
            </w:pPr>
            <w:r>
              <w:rPr>
                <w:b/>
                <w:color w:val="00877A"/>
                <w:sz w:val="22"/>
              </w:rPr>
              <w:t>13</w:t>
            </w:r>
          </w:p>
        </w:tc>
      </w:tr>
      <w:tr>
        <w:tc>
          <w:tcPr>
            <w:tcW w:type="dxa" w:w="7370"/>
          </w:tcPr>
          <w:p>
            <w:r>
              <w:rPr>
                <w:color w:val="333333"/>
                <w:sz w:val="22"/>
              </w:rPr>
              <w:t>For Queries &amp; Next Steps</w:t>
            </w:r>
          </w:p>
        </w:tc>
        <w:tc>
          <w:tcPr>
            <w:tcW w:type="dxa" w:w="1134"/>
          </w:tcPr>
          <w:p>
            <w:pPr>
              <w:jc w:val="right"/>
            </w:pPr>
            <w:r>
              <w:rPr>
                <w:b/>
                <w:color w:val="00877A"/>
                <w:sz w:val="22"/>
              </w:rPr>
              <w:t>14</w:t>
            </w:r>
          </w:p>
        </w:tc>
      </w:tr>
    </w:tbl>
    <w:p>
      <w:r>
        <w:br w:type="page"/>
      </w:r>
    </w:p>
    <w:p>
      <w:pPr>
        <w:spacing w:before="280" w:after="80"/>
      </w:pPr>
      <w:r>
        <w:rPr>
          <w:b/>
          <w:color w:val="00877A"/>
          <w:sz w:val="30"/>
        </w:rPr>
        <w:t>Setting the Scene</w:t>
      </w:r>
    </w:p>
    <w:p>
      <w:pPr>
        <w:spacing w:before="200" w:after="60"/>
      </w:pPr>
      <w:r>
        <w:rPr>
          <w:b/>
          <w:color w:val="1B2A4A"/>
          <w:sz w:val="24"/>
        </w:rPr>
        <w:t>A Morning in Ward 97, Harrawala</w:t>
      </w:r>
    </w:p>
    <w:p>
      <w:pPr>
        <w:spacing w:before="0" w:after="120"/>
      </w:pPr>
      <w:r>
        <w:rPr>
          <w:i/>
          <w:color w:val="333333"/>
          <w:sz w:val="22"/>
        </w:rPr>
        <w:t>Before most of Dehradun stirs, the Ward 97 team is already moving.</w:t>
      </w:r>
    </w:p>
    <w:p>
      <w:pPr>
        <w:spacing w:before="0" w:after="120"/>
      </w:pPr>
      <w:r>
        <w:rPr>
          <w:i/>
          <w:color w:val="333333"/>
          <w:sz w:val="22"/>
        </w:rPr>
        <w:t>Green Workers pull on gloves, load collection vehicles, and begin making their rounds through Harrawala's lanes. Wet waste here, dry waste there — the rhythm of the morning as familiar as the faces at each door. Some residents hand over neatly sorted bins; others still need a nudge. The team gives it, patiently, as they do every single day.</w:t>
      </w:r>
    </w:p>
    <w:p>
      <w:pPr>
        <w:spacing w:before="0" w:after="120"/>
      </w:pPr>
      <w:r>
        <w:rPr>
          <w:i/>
          <w:color w:val="333333"/>
          <w:sz w:val="22"/>
        </w:rPr>
        <w:t>Behind this quiet, essential work is a reality that rarely makes headlines. These workers breathe the same air that carries what they collect. Their lungs absorb the risks that the city does not see. Their bodies carry the weight of a system that depends on them, yet rarely asks how they are.</w:t>
      </w:r>
    </w:p>
    <w:p>
      <w:pPr>
        <w:spacing w:before="0" w:after="120"/>
      </w:pPr>
      <w:r>
        <w:rPr>
          <w:i/>
          <w:color w:val="333333"/>
          <w:sz w:val="22"/>
        </w:rPr>
        <w:t>At the same time, something remarkable has happened in this ward. Neighbours who once tossed mixed waste into the lane now separate their kitchen scraps from their plastics. Shopkeepers who once ignored the bin outside now know which colour sack is for which waste. Children who once watched waste pile up now take it home instead of leaving it on the road. This did not happen by accident — it happened because a system showed up, consistently, and earned the community's trust.</w:t>
      </w:r>
    </w:p>
    <w:p>
      <w:pPr>
        <w:spacing w:before="0" w:after="120"/>
      </w:pPr>
      <w:r>
        <w:rPr>
          <w:i/>
          <w:color w:val="333333"/>
          <w:sz w:val="22"/>
        </w:rPr>
        <w:t>This proposal is about sustaining and deepening that system. It is about the 2,000 households whose environment Waste Warriors helps protect. It is about the workers whose health and dignity deserve the same attention as the waste they manage. And it is about the quiet but powerful connection between a cleaner neighbourhood and a healthier one — a connection that CFLI's support can help us prove at scale.</w:t>
      </w:r>
    </w:p>
    <w:p>
      <w:r>
        <w:br w:type="page"/>
      </w:r>
    </w:p>
    <w:p>
      <w:pPr>
        <w:spacing w:before="280" w:after="80"/>
      </w:pPr>
      <w:r>
        <w:rPr>
          <w:b/>
          <w:color w:val="00877A"/>
          <w:sz w:val="30"/>
        </w:rPr>
        <w:t>About Waste Warriors</w:t>
      </w:r>
    </w:p>
    <w:p>
      <w:pPr>
        <w:spacing w:before="0" w:after="120"/>
      </w:pPr>
      <w:r>
        <w:rPr>
          <w:color w:val="333333"/>
          <w:sz w:val="22"/>
        </w:rPr>
        <w:t>Waste Warriors Society is a non-profit organisation catalysing systemic change to solve the waste management crisis of the Indian Himalayan Region. Our work lies at the intersection of Climate Change, Biodiversity Habitat Conservation, and Informal Livelihoods — through bringing behavioural change in communities and building the infrastructure that makes change stick.</w:t>
      </w:r>
    </w:p>
    <w:p>
      <w:pPr>
        <w:spacing w:before="0" w:after="120"/>
      </w:pPr>
      <w:r>
        <w:rPr>
          <w:color w:val="333333"/>
          <w:sz w:val="22"/>
        </w:rPr>
        <w:t>With a team of 240+ Warriors spread across Uttarakhand and Himachal Pradesh, we focus on enabling better governance, addressing infrastructure and policy gaps, and activating communities to co-create lasting solutions. We promote local entrepreneurship and ignite urgency among women and youth to earn their identity through dignified, meaningful work.</w:t>
      </w:r>
    </w:p>
    <w:p>
      <w:pPr>
        <w:spacing w:before="0" w:after="240"/>
      </w:pPr>
      <w:r>
        <w:rPr>
          <w:color w:val="333333"/>
          <w:sz w:val="22"/>
        </w:rPr>
        <w:t>Our project locations span 12 sites across both states — from Shimla, Manali, Kasauli, Dharamshala, and Bir-Billing in Himachal Pradesh, to Kempty (Mussoorie), Dehradun City, Sahastradhara, Govind Wildlife Sanctuary, and Corbett Tiger Reserve in Uttarakhand.</w:t>
      </w:r>
    </w:p>
    <w:p>
      <w:pPr>
        <w:spacing w:before="200" w:after="60"/>
      </w:pPr>
      <w:r>
        <w:rPr>
          <w:b/>
          <w:color w:val="1B2A4A"/>
          <w:sz w:val="24"/>
        </w:rPr>
        <w:t>Our Three Programme Pillars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2A4A"/>
          </w:tcPr>
          <w:p>
            <w:pPr>
              <w:jc w:val="center"/>
            </w:pPr>
            <w:r>
              <w:rPr>
                <w:b/>
                <w:color w:val="FFFFFF"/>
                <w:sz w:val="22"/>
              </w:rPr>
              <w:t>Zero Waste Programme</w:t>
            </w:r>
          </w:p>
        </w:tc>
        <w:tc>
          <w:tcPr>
            <w:tcW w:type="dxa" w:w="3135"/>
            <w:shd w:val="clear" w:color="auto" w:fill="1B2A4A"/>
          </w:tcPr>
          <w:p>
            <w:pPr>
              <w:jc w:val="center"/>
            </w:pPr>
            <w:r>
              <w:rPr>
                <w:b/>
                <w:color w:val="FFFFFF"/>
                <w:sz w:val="22"/>
              </w:rPr>
              <w:t>Community Activation</w:t>
            </w:r>
          </w:p>
        </w:tc>
        <w:tc>
          <w:tcPr>
            <w:tcW w:type="dxa" w:w="3135"/>
            <w:shd w:val="clear" w:color="auto" w:fill="1B2A4A"/>
          </w:tcPr>
          <w:p>
            <w:pPr>
              <w:jc w:val="center"/>
            </w:pPr>
            <w:r>
              <w:rPr>
                <w:b/>
                <w:color w:val="FFFFFF"/>
                <w:sz w:val="22"/>
              </w:rPr>
              <w:t>Livelihood Development</w:t>
            </w:r>
          </w:p>
        </w:tc>
      </w:tr>
      <w:tr>
        <w:tc>
          <w:tcPr>
            <w:tcW w:type="dxa" w:w="3135"/>
            <w:shd w:val="clear" w:color="auto" w:fill="F2F7F6"/>
          </w:tcPr>
          <w:p>
            <w:pPr>
              <w:jc w:val="center"/>
            </w:pPr>
            <w:r>
              <w:rPr>
                <w:color w:val="333333"/>
                <w:sz w:val="20"/>
              </w:rPr>
              <w:t>Systems-level change in urban and rural waste chains, from source segregation to verified downstream recycling and processing.</w:t>
            </w:r>
          </w:p>
        </w:tc>
        <w:tc>
          <w:tcPr>
            <w:tcW w:type="dxa" w:w="3135"/>
            <w:shd w:val="clear" w:color="auto" w:fill="F2F7F6"/>
          </w:tcPr>
          <w:p>
            <w:pPr>
              <w:jc w:val="center"/>
            </w:pPr>
            <w:r>
              <w:rPr>
                <w:color w:val="333333"/>
                <w:sz w:val="20"/>
              </w:rPr>
              <w:t>Mobilising youth as environmental champions, building community ownership of clean landscapes and civic responsibility.</w:t>
            </w:r>
          </w:p>
        </w:tc>
        <w:tc>
          <w:tcPr>
            <w:tcW w:type="dxa" w:w="3135"/>
            <w:shd w:val="clear" w:color="auto" w:fill="F2F7F6"/>
          </w:tcPr>
          <w:p>
            <w:pPr>
              <w:jc w:val="center"/>
            </w:pPr>
            <w:r>
              <w:rPr>
                <w:color w:val="333333"/>
                <w:sz w:val="20"/>
              </w:rPr>
              <w:t>Creating dignified employment through waste entrepreneurship — turning an environmental crisis into an economic opportunity for the most marginalised.</w:t>
            </w:r>
          </w:p>
        </w:tc>
      </w:tr>
    </w:tbl>
    <w:p>
      <w:r>
        <w:br w:type="page"/>
      </w:r>
    </w:p>
    <w:p>
      <w:pPr>
        <w:spacing w:before="280" w:after="80"/>
      </w:pPr>
      <w:r>
        <w:rPr>
          <w:b/>
          <w:color w:val="00877A"/>
          <w:sz w:val="30"/>
        </w:rPr>
        <w:t>The Challenge: Dehradun's Waste &amp; Wellness Crisis</w:t>
      </w:r>
    </w:p>
    <w:p>
      <w:pPr>
        <w:spacing w:before="0" w:after="120"/>
      </w:pPr>
      <w:r>
        <w:rPr>
          <w:color w:val="333333"/>
          <w:sz w:val="22"/>
        </w:rPr>
        <w:t>Dehradun — Uttarakhand's capital — is home to approximately 1.7 million residents and growing. It is a city of institutions, of education, of natural beauty. It is also a city under serious and worsening environmental pressure.</w:t>
      </w:r>
    </w:p>
    <w:p>
      <w:pPr>
        <w:spacing w:before="0" w:after="120"/>
      </w:pPr>
      <w:r>
        <w:rPr>
          <w:color w:val="333333"/>
          <w:sz w:val="22"/>
        </w:rPr>
        <w:t>Across its 100 municipal wards, Dehradun generates hundreds of metric tons of solid waste every single day. Only a small fraction of this is treated scientifically. The rest is dumped in open spaces, burned on roadsides, or sent to overflowing, unscientific landfills. The air, the soil, the waterways — each bears the consequence.</w:t>
      </w:r>
    </w:p>
    <w:p>
      <w:pPr>
        <w:spacing w:before="0" w:after="120"/>
      </w:pPr>
      <w:r>
        <w:rPr>
          <w:color w:val="333333"/>
          <w:sz w:val="22"/>
        </w:rPr>
        <w:t>But the consequences are not shared equally.</w:t>
      </w:r>
    </w:p>
    <w:p>
      <w:pPr>
        <w:spacing w:before="0" w:after="120"/>
      </w:pPr>
      <w:r>
        <w:rPr>
          <w:color w:val="333333"/>
          <w:sz w:val="22"/>
        </w:rPr>
        <w:t>For residents of lower-income and peri-urban neighbourhoods, a broken waste system means living next to open dumps, breathing air thickened with burning plastic, and watching monsoon rains convert plastic-choked drains into floodwater that enters homes and businesses.</w:t>
      </w:r>
    </w:p>
    <w:p>
      <w:pPr>
        <w:spacing w:before="0" w:after="120"/>
      </w:pPr>
      <w:r>
        <w:rPr>
          <w:color w:val="333333"/>
          <w:sz w:val="22"/>
        </w:rPr>
        <w:t>For informal waste workers, it means handling hazardous materials without protective gear, earning irregular incomes with no job security, and living with occupational health risks that accumulate silently over years of physical labour.</w:t>
      </w:r>
    </w:p>
    <w:p>
      <w:pPr>
        <w:spacing w:before="0" w:after="200"/>
      </w:pPr>
      <w:r>
        <w:rPr>
          <w:color w:val="333333"/>
          <w:sz w:val="22"/>
        </w:rPr>
        <w:t>For the city's ecology, it means contaminated groundwater, degraded soil, and a creeping toxic load in streams that feed into the Himalayan watershed — waterways on which billions of lives, far beyond Dehradun, ultimately depend.</w:t>
      </w:r>
    </w:p>
    <w:p>
      <w:pPr>
        <w:spacing w:before="200" w:after="60"/>
      </w:pPr>
      <w:r>
        <w:rPr>
          <w:b/>
          <w:color w:val="1B2A4A"/>
          <w:sz w:val="24"/>
        </w:rPr>
        <w:t>The wellness cost is measurable and immediate:</w:t>
      </w:r>
    </w:p>
    <w:p>
      <w:pPr>
        <w:pStyle w:val="ListBullet"/>
        <w:spacing w:after="80"/>
      </w:pPr>
      <w:r>
        <w:rPr>
          <w:color w:val="333333"/>
          <w:sz w:val="22"/>
        </w:rPr>
        <w:t>Open burning of municipal waste releases black carbon and fine particulate matter — primary contributors to respiratory disease among children, the elderly, and frontline workers.</w:t>
      </w:r>
    </w:p>
    <w:p>
      <w:pPr>
        <w:pStyle w:val="ListBullet"/>
        <w:spacing w:after="80"/>
      </w:pPr>
      <w:r>
        <w:rPr>
          <w:color w:val="333333"/>
          <w:sz w:val="22"/>
        </w:rPr>
        <w:t>Poorly managed wet waste breeds vectors for dengue, typhoid, and cholera — diseases that disproportionately affect communities already stretched thin.</w:t>
      </w:r>
    </w:p>
    <w:p>
      <w:pPr>
        <w:pStyle w:val="ListBullet"/>
        <w:spacing w:after="80"/>
      </w:pPr>
      <w:r>
        <w:rPr>
          <w:color w:val="333333"/>
          <w:sz w:val="22"/>
        </w:rPr>
        <w:t>Informal waste workers who lack medical coverage, nutritional support, and occupational safety protections carry health vulnerabilities that compound over time.</w:t>
      </w:r>
    </w:p>
    <w:p>
      <w:pPr>
        <w:pStyle w:val="ListBullet"/>
        <w:spacing w:after="80"/>
      </w:pPr>
      <w:r>
        <w:rPr>
          <w:color w:val="333333"/>
          <w:sz w:val="22"/>
        </w:rPr>
        <w:t>Neighbourhoods trapped in cycles of waste accumulation lose civic confidence — the belief that collective action can produce collective change.</w:t>
      </w:r>
    </w:p>
    <w:p>
      <w:pPr>
        <w:spacing w:before="0" w:after="0"/>
      </w:pPr>
      <w:r>
        <w:rPr>
          <w:color w:val="333333"/>
          <w:sz w:val="22"/>
        </w:rPr>
        <w:t>Waste management in Dehradun, then, is not simply a sanitation question. It is a public wellness challenge. And it requires an intervention that treats it as such — addressing not just the waste, but the people embedded in the system that manages it.</w:t>
      </w:r>
    </w:p>
    <w:p>
      <w:r>
        <w:br w:type="page"/>
      </w:r>
    </w:p>
    <w:p>
      <w:pPr>
        <w:spacing w:before="280" w:after="80"/>
      </w:pPr>
      <w:r>
        <w:rPr>
          <w:b/>
          <w:color w:val="00877A"/>
          <w:sz w:val="30"/>
        </w:rPr>
        <w:t>Ward 97: A Government-Endorsed Proof of Concept</w:t>
      </w:r>
    </w:p>
    <w:p>
      <w:pPr>
        <w:spacing w:before="200" w:after="60"/>
      </w:pPr>
      <w:r>
        <w:rPr>
          <w:b/>
          <w:color w:val="1B2A4A"/>
          <w:sz w:val="24"/>
        </w:rPr>
        <w:t>A Partnership Built on Trust</w:t>
      </w:r>
    </w:p>
    <w:p>
      <w:pPr>
        <w:spacing w:before="0" w:after="120"/>
      </w:pPr>
      <w:r>
        <w:rPr>
          <w:color w:val="333333"/>
          <w:sz w:val="22"/>
        </w:rPr>
        <w:t>In 2020, the Municipal Corporation of Dehradun (Nagar Nigam) took an unusual step: it formally entrusted Ward 97, Harrawala, to Waste Warriors Society — with a mandate to develop it into Dehradun's model ward for scientific, decentralised solid waste management. Alongside this, the government provided the land at Harrawala for the establishment of what is now Uttarakhand's first and largest Material Recovery Facility (MRF) of this scale.</w:t>
      </w:r>
    </w:p>
    <w:p>
      <w:pPr>
        <w:spacing w:before="0" w:after="120"/>
      </w:pPr>
      <w:r>
        <w:rPr>
          <w:color w:val="333333"/>
          <w:sz w:val="22"/>
        </w:rPr>
        <w:t>This is not a project that started on paper and found its feet slowly. It is a model that a municipal government recognised, invested land in, and handed over — because the evidence pointed to a better way. The Forest Research Institute (FRI) and the Lal Bahadur Shastri National Academy of Administration (LBSNAA) have since validated the model through exposure visits and ongoing institutional engagement.</w:t>
      </w:r>
    </w:p>
    <w:p>
      <w:pPr>
        <w:spacing w:before="120" w:after="200"/>
      </w:pPr>
      <w:r>
        <w:rPr>
          <w:b/>
          <w:i/>
          <w:color w:val="00877A"/>
          <w:sz w:val="24"/>
        </w:rPr>
        <w:t>The government gave us the mandate. The community gave us their trust. This project asks for CFLI's support to build on both.</w:t>
      </w:r>
    </w:p>
    <w:p>
      <w:pPr>
        <w:spacing w:before="200" w:after="60"/>
      </w:pPr>
      <w:r>
        <w:rPr>
          <w:b/>
          <w:color w:val="1B2A4A"/>
          <w:sz w:val="24"/>
        </w:rPr>
        <w:t>What Has Been Built</w:t>
      </w:r>
    </w:p>
    <w:p>
      <w:pPr>
        <w:spacing w:before="0" w:after="120"/>
      </w:pPr>
      <w:r>
        <w:rPr>
          <w:color w:val="333333"/>
          <w:sz w:val="22"/>
        </w:rPr>
        <w:t>Over five years of operations, the Ward 97 programme has developed into a full-stack, decentralised waste management system serving over 2,000 households, commercial establishments, and residential welfare associations in Harrawala. It brings together:</w:t>
      </w:r>
    </w:p>
    <w:p>
      <w:pPr>
        <w:pStyle w:val="ListBullet"/>
        <w:spacing w:after="80"/>
      </w:pPr>
      <w:r>
        <w:rPr>
          <w:b/>
          <w:color w:val="1B2A4A"/>
          <w:sz w:val="22"/>
        </w:rPr>
        <w:t>Door-to-door segregated collection</w:t>
      </w:r>
      <w:r>
        <w:rPr>
          <w:color w:val="333333"/>
          <w:sz w:val="22"/>
        </w:rPr>
        <w:t xml:space="preserve"> of dry, wet, and sanitary waste — a twice-daily service managed by trained Green Workers who accompany the vehicle and actively support households in maintaining segregation at source.</w:t>
      </w:r>
    </w:p>
    <w:p>
      <w:pPr>
        <w:pStyle w:val="ListBullet"/>
        <w:spacing w:after="80"/>
      </w:pPr>
      <w:r>
        <w:rPr>
          <w:b/>
          <w:color w:val="1B2A4A"/>
          <w:sz w:val="22"/>
        </w:rPr>
        <w:t>The Harrawala Material Recovery Facility (MRF)</w:t>
      </w:r>
      <w:r>
        <w:rPr>
          <w:color w:val="333333"/>
          <w:sz w:val="22"/>
        </w:rPr>
        <w:t xml:space="preserve"> — where all collected waste undergoes secondary segregation into 30+ material categories. Recyclables are baled for downstream recyclers. Wet waste enters a composting stream. Reject waste is co-processed. Hazardous streams are managed separately.</w:t>
      </w:r>
    </w:p>
    <w:p>
      <w:pPr>
        <w:pStyle w:val="ListBullet"/>
        <w:spacing w:after="80"/>
      </w:pPr>
      <w:r>
        <w:rPr>
          <w:b/>
          <w:color w:val="1B2A4A"/>
          <w:sz w:val="22"/>
        </w:rPr>
        <w:t>A sustained behaviour change programme</w:t>
      </w:r>
      <w:r>
        <w:rPr>
          <w:color w:val="333333"/>
          <w:sz w:val="22"/>
        </w:rPr>
        <w:t xml:space="preserve"> that has moved Ward 97 from near-zero source segregation to a rate among the highest of any ward in Dehradun — achieved through consistent community engagement and peer advocacy.</w:t>
      </w:r>
    </w:p>
    <w:p>
      <w:pPr>
        <w:pStyle w:val="ListBullet"/>
        <w:spacing w:after="80"/>
      </w:pPr>
      <w:r>
        <w:rPr>
          <w:b/>
          <w:color w:val="1B2A4A"/>
          <w:sz w:val="22"/>
        </w:rPr>
        <w:t>A growing community of civic champions</w:t>
      </w:r>
      <w:r>
        <w:rPr>
          <w:color w:val="333333"/>
          <w:sz w:val="22"/>
        </w:rPr>
        <w:t xml:space="preserve"> — residents operating as Swachhta Ambassadors, commercial establishments that segregate routinely, and institutions that treat the ward's cleanliness as a shared responsibility.</w:t>
      </w:r>
    </w:p>
    <w:p>
      <w:pPr>
        <w:spacing w:before="0" w:after="120"/>
      </w:pPr>
      <w:r>
        <w:rPr>
          <w:color w:val="333333"/>
          <w:sz w:val="22"/>
        </w:rPr>
        <w:t>The Harrawala MRF today receives visits from Indian Forest Service officers, urban development officials from across Uttarakhand, LBSNAA trainees, civil society partners, and municipal delegations — not as a showcase, but as a working demonstration of a model ready to be replicated.</w:t>
      </w:r>
    </w:p>
    <w:p>
      <w:r>
        <w:br w:type="page"/>
      </w:r>
    </w:p>
    <w:p>
      <w:pPr>
        <w:spacing w:before="280" w:after="80"/>
      </w:pPr>
      <w:r>
        <w:rPr>
          <w:b/>
          <w:color w:val="00877A"/>
          <w:sz w:val="30"/>
        </w:rPr>
        <w:t>The Project: Waste Wise Ward</w:t>
      </w:r>
    </w:p>
    <w:p>
      <w:pPr>
        <w:spacing w:before="200" w:after="60"/>
      </w:pPr>
      <w:r>
        <w:rPr>
          <w:b/>
          <w:color w:val="1B2A4A"/>
          <w:sz w:val="24"/>
        </w:rPr>
        <w:t>Our Focus</w:t>
      </w:r>
    </w:p>
    <w:p>
      <w:pPr>
        <w:spacing w:before="0" w:after="120"/>
      </w:pPr>
      <w:r>
        <w:rPr>
          <w:color w:val="333333"/>
          <w:sz w:val="22"/>
        </w:rPr>
        <w:t>The Waste Wise Ward programme deepens and expands the impact of Waste Warriors' ongoing operations in Ward 97, Harrawala — with a specific, deliberate focus on community wellness and Green Worker health and dignity.</w:t>
      </w:r>
    </w:p>
    <w:p>
      <w:pPr>
        <w:spacing w:before="0" w:after="120"/>
      </w:pPr>
      <w:r>
        <w:rPr>
          <w:color w:val="333333"/>
          <w:sz w:val="22"/>
        </w:rPr>
        <w:t>This is a six-month intervention. It does not build a new system from the ground up — it strengthens a system that a municipal government has already endorsed, a community has already invested trust in, and five years of consistent operations have already proven. What CFLI's support enables is the layer of the work that is too often left underfunded: the wellness dimension.</w:t>
      </w:r>
    </w:p>
    <w:p>
      <w:pPr>
        <w:spacing w:before="0" w:after="40"/>
      </w:pPr>
      <w:r>
        <w:rPr>
          <w:b w:val="0"/>
          <w:i w:val="0"/>
          <w:color w:val="333333"/>
          <w:sz w:val="22"/>
        </w:rPr>
        <w:t>We are asking CFLI to invest in three interconnected dimensions of wellness:</w:t>
        <w:br/>
      </w:r>
    </w:p>
    <w:p>
      <w:pPr>
        <w:pStyle w:val="ListBullet"/>
        <w:spacing w:after="80"/>
      </w:pPr>
      <w:r>
        <w:rPr>
          <w:b/>
          <w:color w:val="00877A"/>
          <w:sz w:val="22"/>
        </w:rPr>
        <w:t>Community wellness</w:t>
      </w:r>
      <w:r>
        <w:rPr>
          <w:color w:val="333333"/>
          <w:sz w:val="22"/>
        </w:rPr>
        <w:t xml:space="preserve"> — through cleaner environments, sustained behaviour change, and reduced exposure to the health hazards of poorly managed waste.</w:t>
      </w:r>
    </w:p>
    <w:p>
      <w:pPr>
        <w:pStyle w:val="ListBullet"/>
        <w:spacing w:after="80"/>
      </w:pPr>
      <w:r>
        <w:rPr>
          <w:b/>
          <w:color w:val="00877A"/>
          <w:sz w:val="22"/>
        </w:rPr>
        <w:t>Worker wellness</w:t>
      </w:r>
      <w:r>
        <w:rPr>
          <w:color w:val="333333"/>
          <w:sz w:val="22"/>
        </w:rPr>
        <w:t xml:space="preserve"> — through structured health, nutrition, and livelihood support for the Green Workers whose daily labour makes this system possible.</w:t>
      </w:r>
    </w:p>
    <w:p>
      <w:pPr>
        <w:pStyle w:val="ListBullet"/>
        <w:spacing w:after="80"/>
      </w:pPr>
      <w:r>
        <w:rPr>
          <w:b/>
          <w:color w:val="00877A"/>
          <w:sz w:val="22"/>
        </w:rPr>
        <w:t>Civic wellness</w:t>
      </w:r>
      <w:r>
        <w:rPr>
          <w:color w:val="333333"/>
          <w:sz w:val="22"/>
        </w:rPr>
        <w:t xml:space="preserve"> — through youth engagement, government partnership, and the dissemination of a working model that Dehradun's other wards can learn from and adopt.</w:t>
      </w:r>
    </w:p>
    <w:p>
      <w:pPr>
        <w:spacing w:before="200" w:after="60"/>
      </w:pPr>
      <w:r>
        <w:rPr>
          <w:b/>
          <w:color w:val="1B2A4A"/>
          <w:sz w:val="24"/>
        </w:rPr>
        <w:t>The Processing Backbone</w:t>
      </w:r>
    </w:p>
    <w:p>
      <w:pPr>
        <w:spacing w:before="0" w:after="120"/>
      </w:pPr>
      <w:r>
        <w:rPr>
          <w:color w:val="333333"/>
          <w:sz w:val="22"/>
        </w:rPr>
        <w:t>At the heart of the Ward 97 system is the Harrawala MRF — where the waste collected every day undergoes a rigorous processing journey. Dry waste is sorted into 30+ material categories and baled for downstream recyclers. Multi-layered plastics — the hardest-to-manage waste stream — are handled through specialised processing that converts a cost burden into a revenue stream. Wet waste is composted, turning organic refuse into nutrient-rich material that reduces landfill dependency and creates a product with real agricultural value.</w:t>
      </w:r>
    </w:p>
    <w:p>
      <w:pPr>
        <w:spacing w:before="0" w:after="120"/>
      </w:pPr>
      <w:r>
        <w:rPr>
          <w:color w:val="333333"/>
          <w:sz w:val="22"/>
        </w:rPr>
        <w:t>Sanitary waste — often the most overlooked stream in urban waste systems — is segregated and diverted from landfills through dedicated processing, preventing soil and groundwater contamination.</w:t>
      </w:r>
    </w:p>
    <w:p>
      <w:pPr>
        <w:spacing w:before="0" w:after="120"/>
      </w:pPr>
      <w:r>
        <w:rPr>
          <w:color w:val="333333"/>
          <w:sz w:val="22"/>
        </w:rPr>
        <w:t>The MRF is not just a processing facility. It is a livelihood hub for the Green Workers who operate it, a learning centre for the officials and trainees who visit it, and the anchor of the entire circular waste chain in Ward 97. Without the MRF, collection has nowhere to go. Without the collection system, the MRF has no feedstock. The two are fully interdependent — and this proposal funds both.</w:t>
      </w:r>
    </w:p>
    <w:p>
      <w:r>
        <w:br w:type="page"/>
      </w:r>
    </w:p>
    <w:p>
      <w:pPr>
        <w:spacing w:before="280" w:after="80"/>
      </w:pPr>
      <w:r>
        <w:rPr>
          <w:b/>
          <w:color w:val="00877A"/>
          <w:sz w:val="30"/>
        </w:rPr>
        <w:t>Our Activities</w:t>
      </w:r>
    </w:p>
    <w:p>
      <w:pPr>
        <w:spacing w:before="0" w:after="200"/>
      </w:pPr>
      <w:r>
        <w:rPr>
          <w:color w:val="333333"/>
          <w:sz w:val="22"/>
        </w:rPr>
        <w:t>The Waste Wise Ward programme is organised around five thematic pillars, each addressing a distinct dimension of community and worker wellness.</w:t>
      </w:r>
    </w:p>
    <w:p>
      <w:pPr>
        <w:spacing w:before="80" w:after="80"/>
      </w:pPr>
      <w:r>
        <w:rPr>
          <w:color w:val="CCCCCC"/>
          <w:sz w:val="16"/>
        </w:rPr>
        <w:t>────────────────────────────────────────────────────────────────────────────────</w:t>
      </w:r>
    </w:p>
    <w:p>
      <w:pPr>
        <w:spacing w:before="240" w:after="40"/>
      </w:pPr>
      <w:r>
        <w:rPr>
          <w:b/>
          <w:color w:val="1B2A4A"/>
          <w:sz w:val="24"/>
        </w:rPr>
        <w:t>Pillar 1: Clean Environments, Healthy Lives</w:t>
      </w:r>
    </w:p>
    <w:p>
      <w:pPr>
        <w:spacing w:before="0" w:after="80"/>
      </w:pPr>
      <w:r>
        <w:rPr>
          <w:i/>
          <w:color w:val="00877A"/>
          <w:sz w:val="22"/>
        </w:rPr>
        <w:t>Theme: Behaviour Change &amp; Community IEC</w:t>
      </w:r>
    </w:p>
    <w:p>
      <w:pPr>
        <w:spacing w:before="0" w:after="120"/>
      </w:pPr>
      <w:r>
        <w:rPr>
          <w:color w:val="333333"/>
          <w:sz w:val="22"/>
        </w:rPr>
        <w:t>The foundation of a clean, healthy neighbourhood is a community that understands why waste management matters — and has the tools, knowledge, and peer support to act on that understanding.</w:t>
      </w:r>
    </w:p>
    <w:p>
      <w:pPr>
        <w:pStyle w:val="ListBullet"/>
        <w:spacing w:after="100"/>
      </w:pPr>
      <w:r>
        <w:rPr>
          <w:b/>
          <w:color w:val="1B2A4A"/>
          <w:sz w:val="22"/>
        </w:rPr>
        <w:t>Chai pe Charcha</w:t>
      </w:r>
      <w:r>
        <w:rPr>
          <w:color w:val="333333"/>
          <w:sz w:val="22"/>
        </w:rPr>
        <w:t xml:space="preserve"> — Waste Warriors' signature neighbourhood dialogue programme — brings residents together over tea to surface local waste concerns, share simple solutions, and build the everyday accountability that outlasts any campaign. These sessions are not lectures; they are conversations between neighbours. Each session focuses on a specific theme: source segregation, wet waste management, safe disposal of sanitary waste, or responsible consumption during festivals.</w:t>
      </w:r>
    </w:p>
    <w:p>
      <w:pPr>
        <w:pStyle w:val="ListBullet"/>
        <w:spacing w:after="100"/>
      </w:pPr>
      <w:r>
        <w:rPr>
          <w:b/>
          <w:color w:val="1B2A4A"/>
          <w:sz w:val="22"/>
        </w:rPr>
        <w:t>Cleanup Drives</w:t>
      </w:r>
      <w:r>
        <w:rPr>
          <w:color w:val="333333"/>
          <w:sz w:val="22"/>
        </w:rPr>
        <w:t xml:space="preserve"> serve a dual purpose: they remove accumulated waste from public spaces while creating a platform for youth to step forward as civic actors. Every cleanup is a community conversation — an opportunity to talk, in an accessible and action-oriented context, about why waste should not be here in the first place. Youth who participate become our most effective word-of-mouth ambassadors for segregation at home.</w:t>
      </w:r>
    </w:p>
    <w:p>
      <w:pPr>
        <w:pStyle w:val="ListBullet"/>
        <w:spacing w:after="100"/>
      </w:pPr>
      <w:r>
        <w:rPr>
          <w:b/>
          <w:color w:val="1B2A4A"/>
          <w:sz w:val="22"/>
        </w:rPr>
        <w:t>Visual Communication</w:t>
      </w:r>
      <w:r>
        <w:rPr>
          <w:color w:val="333333"/>
          <w:sz w:val="22"/>
        </w:rPr>
        <w:t xml:space="preserve"> — signboards, murals, and IEC material at high-footfall points across Ward 97 — ensure that the message of responsible waste management is visible even when the team is not present. These installations create a permanent visual grammar of accountability in the neighbourhood.</w:t>
      </w:r>
    </w:p>
    <w:p>
      <w:pPr>
        <w:pStyle w:val="ListBullet"/>
        <w:spacing w:after="100"/>
      </w:pPr>
      <w:r>
        <w:rPr>
          <w:b/>
          <w:color w:val="1B2A4A"/>
          <w:sz w:val="22"/>
        </w:rPr>
        <w:t>Wet Waste Awareness</w:t>
      </w:r>
      <w:r>
        <w:rPr>
          <w:color w:val="333333"/>
          <w:sz w:val="22"/>
        </w:rPr>
        <w:t xml:space="preserve"> is a specific programme thread: helping households understand that kitchen and garden waste, managed correctly, need not end up in a plastic bag at the street corner. Through door-to-door engagement and community sessions, we promote home composting as a wellness practice — good for the household, good for the neighbourhood, good for the soil.</w:t>
      </w:r>
    </w:p>
    <w:p>
      <w:pPr>
        <w:spacing w:before="80" w:after="80"/>
      </w:pPr>
      <w:r>
        <w:rPr>
          <w:color w:val="CCCCCC"/>
          <w:sz w:val="16"/>
        </w:rPr>
        <w:t>────────────────────────────────────────────────────────────────────────────────</w:t>
      </w:r>
    </w:p>
    <w:p>
      <w:pPr>
        <w:spacing w:before="240" w:after="40"/>
      </w:pPr>
      <w:r>
        <w:rPr>
          <w:b/>
          <w:color w:val="1B2A4A"/>
          <w:sz w:val="24"/>
        </w:rPr>
        <w:t>Pillar 2: Waste to Resource — The Processing Chain</w:t>
      </w:r>
    </w:p>
    <w:p>
      <w:pPr>
        <w:spacing w:before="0" w:after="80"/>
      </w:pPr>
      <w:r>
        <w:rPr>
          <w:i/>
          <w:color w:val="00877A"/>
          <w:sz w:val="22"/>
        </w:rPr>
        <w:t>Theme: MRF Operations &amp; Circular Economy</w:t>
      </w:r>
    </w:p>
    <w:p>
      <w:pPr>
        <w:spacing w:before="0" w:after="120"/>
      </w:pPr>
      <w:r>
        <w:rPr>
          <w:color w:val="333333"/>
          <w:sz w:val="22"/>
        </w:rPr>
        <w:t>Every piece of waste that leaves a household in Ward 97 is destined for the Harrawala MRF — where the real work of resource recovery happens. Green Workers perform the skilled, labour-intensive task of secondary segregation, sorting materials into 30+ categories before they move downstream to verified recyclers, co-processors, and composters.</w:t>
      </w:r>
    </w:p>
    <w:p>
      <w:pPr>
        <w:spacing w:before="0" w:after="120"/>
      </w:pPr>
      <w:r>
        <w:rPr>
          <w:color w:val="333333"/>
          <w:sz w:val="22"/>
        </w:rPr>
        <w:t>The processing chain is where environmental impact becomes concrete. Recyclables that reach a verified recycler do not reach a landfill. Organic matter that enters a composting system does not rot in the open, releasing methane. Multi-layered plastics that find a co-processing route do not burn on a roadside. Each decision made at the MRF has a downstream consequence — environmental and economic.</w:t>
      </w:r>
    </w:p>
    <w:p>
      <w:pPr>
        <w:spacing w:before="0" w:after="120"/>
      </w:pPr>
      <w:r>
        <w:rPr>
          <w:color w:val="333333"/>
          <w:sz w:val="22"/>
        </w:rPr>
        <w:t>The MRF also generates revenue through the sale of recovered materials, which is reinvested into operational continuity and Green Worker livelihoods. Vehicle operations — fuel, maintenance, and logistics — sustain the collection-to-processing chain without interruption throughout the six months of the programme.</w:t>
      </w:r>
    </w:p>
    <w:p>
      <w:pPr>
        <w:spacing w:before="80" w:after="80"/>
      </w:pPr>
      <w:r>
        <w:rPr>
          <w:color w:val="CCCCCC"/>
          <w:sz w:val="16"/>
        </w:rPr>
        <w:t>────────────────────────────────────────────────────────────────────────────────</w:t>
      </w:r>
    </w:p>
    <w:p>
      <w:r>
        <w:br w:type="page"/>
      </w:r>
    </w:p>
    <w:p>
      <w:pPr>
        <w:spacing w:before="240" w:after="40"/>
      </w:pPr>
      <w:r>
        <w:rPr>
          <w:b/>
          <w:color w:val="1B2A4A"/>
          <w:sz w:val="24"/>
        </w:rPr>
        <w:t>Pillar 3: Dignity at Work — Green Worker Wellness</w:t>
      </w:r>
    </w:p>
    <w:p>
      <w:pPr>
        <w:spacing w:before="0" w:after="80"/>
      </w:pPr>
      <w:r>
        <w:rPr>
          <w:i/>
          <w:color w:val="00877A"/>
          <w:sz w:val="22"/>
        </w:rPr>
        <w:t>Theme: Occupational Health, Nutrition &amp; Worker Support</w:t>
      </w:r>
    </w:p>
    <w:p>
      <w:pPr>
        <w:spacing w:before="0" w:after="120"/>
      </w:pPr>
      <w:r>
        <w:rPr>
          <w:color w:val="333333"/>
          <w:sz w:val="22"/>
        </w:rPr>
        <w:t>A waste management system is only as strong as the people who run it. Yet in most of India's cities, the workers who sort and process waste daily are among the least protected, least recognised, and most medically vulnerable members of the urban workforce. Their bodies carry risks that accumulate silently over years of physical labour.</w:t>
      </w:r>
    </w:p>
    <w:p>
      <w:pPr>
        <w:spacing w:before="0" w:after="120"/>
      </w:pPr>
      <w:r>
        <w:rPr>
          <w:color w:val="333333"/>
          <w:sz w:val="22"/>
        </w:rPr>
        <w:t>Waste Warriors has consistently refused to treat worker welfare as an afterthought. In Ward 97, all Green Workers are formally employed with fair wages, safe conditions, and a structured wellness programme. CFLI's support will sustain and strengthen every element of this commitment:</w:t>
      </w:r>
    </w:p>
    <w:p>
      <w:pPr>
        <w:pStyle w:val="ListBullet"/>
        <w:spacing w:after="100"/>
      </w:pPr>
      <w:r>
        <w:rPr>
          <w:b/>
          <w:color w:val="1B2A4A"/>
          <w:sz w:val="22"/>
        </w:rPr>
        <w:t>Annual Medical Screening:</w:t>
      </w:r>
      <w:r>
        <w:rPr>
          <w:color w:val="333333"/>
          <w:sz w:val="22"/>
        </w:rPr>
        <w:t xml:space="preserve"> All Green Workers and team members receive a full annual health check-up covering routine bloodwork and vitamin screenings. For workers whose hands, lungs, and bodies absorb the daily risks of waste handling, early detection is not a luxury — it is an occupational obligation.</w:t>
      </w:r>
    </w:p>
    <w:p>
      <w:pPr>
        <w:pStyle w:val="ListBullet"/>
        <w:spacing w:after="100"/>
      </w:pPr>
      <w:r>
        <w:rPr>
          <w:b/>
          <w:color w:val="1B2A4A"/>
          <w:sz w:val="22"/>
        </w:rPr>
        <w:t>Wellness &amp; Medical Allowances:</w:t>
      </w:r>
      <w:r>
        <w:rPr>
          <w:color w:val="333333"/>
          <w:sz w:val="22"/>
        </w:rPr>
        <w:t xml:space="preserve"> A structured allowance covers ad-hoc medical expenses and treatments that arise outside the annual screening. An additional Hobby Fund — recognising that wellbeing does not end at the MRF gate — supports Green Workers and team members in pursuing personal interests and recreational activities for balance and mental wellness beyond the workplace.</w:t>
      </w:r>
    </w:p>
    <w:p>
      <w:pPr>
        <w:pStyle w:val="ListBullet"/>
        <w:spacing w:after="100"/>
      </w:pPr>
      <w:r>
        <w:rPr>
          <w:b/>
          <w:color w:val="1B2A4A"/>
          <w:sz w:val="22"/>
        </w:rPr>
        <w:t>Meal Programme:</w:t>
      </w:r>
      <w:r>
        <w:rPr>
          <w:color w:val="333333"/>
          <w:sz w:val="22"/>
        </w:rPr>
        <w:t xml:space="preserve"> Daily nutritional support ensures that workers performing strenuous, outdoor physical labour are adequately nourished throughout their shift. This is a direct wellness investment.</w:t>
      </w:r>
    </w:p>
    <w:p>
      <w:pPr>
        <w:pStyle w:val="ListBullet"/>
        <w:spacing w:after="100"/>
      </w:pPr>
      <w:r>
        <w:rPr>
          <w:b/>
          <w:color w:val="1B2A4A"/>
          <w:sz w:val="22"/>
        </w:rPr>
        <w:t>Insurance &amp; Gratuity:</w:t>
      </w:r>
      <w:r>
        <w:rPr>
          <w:color w:val="333333"/>
          <w:sz w:val="22"/>
        </w:rPr>
        <w:t xml:space="preserve"> Formal employment protections — insurance coverage and gratuity provisions — give Green Workers the baseline security and legal standing that workers in more visible sectors take for granted.</w:t>
      </w:r>
    </w:p>
    <w:p>
      <w:pPr>
        <w:pStyle w:val="ListBullet"/>
        <w:spacing w:after="100"/>
      </w:pPr>
      <w:r>
        <w:rPr>
          <w:b/>
          <w:color w:val="1B2A4A"/>
          <w:sz w:val="22"/>
        </w:rPr>
        <w:t>Plastic Lao, Rashan Pao — A Past Innovation Worth Noting:</w:t>
      </w:r>
      <w:r>
        <w:rPr>
          <w:color w:val="333333"/>
          <w:sz w:val="22"/>
        </w:rPr>
        <w:t xml:space="preserve"> As an example of the creative, welfare-oriented thinking that defines Waste Warriors' approach, the organisation previously ran the Plastic Lao, Rashan Pao initiative — where informal waste pickers who brought in low-value plastic received ration provisions in return. The initiative addressed two problems at once: it created an economic incentive for diverting a difficult-to-manage waste stream, and it provided direct nutritional support to some of Dehradun's most economically precarious workers. It is the kind of intervention that demonstrates how waste infrastructure can also function as a social safety net.</w:t>
      </w:r>
    </w:p>
    <w:p>
      <w:pPr>
        <w:spacing w:before="80" w:after="80"/>
      </w:pPr>
      <w:r>
        <w:rPr>
          <w:color w:val="CCCCCC"/>
          <w:sz w:val="16"/>
        </w:rPr>
        <w:t>────────────────────────────────────────────────────────────────────────────────</w:t>
      </w:r>
    </w:p>
    <w:p>
      <w:pPr>
        <w:spacing w:before="240" w:after="40"/>
      </w:pPr>
      <w:r>
        <w:rPr>
          <w:b/>
          <w:color w:val="1B2A4A"/>
          <w:sz w:val="24"/>
        </w:rPr>
        <w:t>Pillar 4: Growing People — Vocational Training &amp; Capacity Building</w:t>
      </w:r>
    </w:p>
    <w:p>
      <w:pPr>
        <w:spacing w:before="0" w:after="80"/>
      </w:pPr>
      <w:r>
        <w:rPr>
          <w:i/>
          <w:color w:val="00877A"/>
          <w:sz w:val="22"/>
        </w:rPr>
        <w:t>Theme: Skills, Literacy &amp; Learning</w:t>
      </w:r>
    </w:p>
    <w:p>
      <w:pPr>
        <w:spacing w:before="0" w:after="120"/>
      </w:pPr>
      <w:r>
        <w:rPr>
          <w:color w:val="333333"/>
          <w:sz w:val="22"/>
        </w:rPr>
        <w:t>A frontline waste worker's skill set is, of necessity, practical. But the barriers to economic mobility do not end at the MRF gate. For many Green Workers, language and digital literacy are the invisible walls that keep economic opportunity out of reach.</w:t>
      </w:r>
    </w:p>
    <w:p>
      <w:pPr>
        <w:pStyle w:val="ListBullet"/>
        <w:spacing w:after="100"/>
      </w:pPr>
      <w:r>
        <w:rPr>
          <w:b/>
          <w:color w:val="1B2A4A"/>
          <w:sz w:val="22"/>
        </w:rPr>
        <w:t>Weekly Spoken English Sessions</w:t>
      </w:r>
      <w:r>
        <w:rPr>
          <w:color w:val="333333"/>
          <w:sz w:val="22"/>
        </w:rPr>
        <w:t xml:space="preserve"> for Green Workers build communication confidence and practical language skills. These are not fluency courses. They are dignity investments — sessions that help workers engage more effectively with the government officials, LBSNAA trainees, and institutional visitors who regularly come to the Harrawala MRF. A Green Worker who can explain their work, in English, to an IAS officer is a worker whose dignity is visible. These sessions open pathways to better-paying employment and improved self-advocacy.</w:t>
      </w:r>
    </w:p>
    <w:p>
      <w:pPr>
        <w:pStyle w:val="ListBullet"/>
        <w:spacing w:after="100"/>
      </w:pPr>
      <w:r>
        <w:rPr>
          <w:b/>
          <w:color w:val="1B2A4A"/>
          <w:sz w:val="22"/>
        </w:rPr>
        <w:t>Digital Literacy</w:t>
      </w:r>
      <w:r>
        <w:rPr>
          <w:color w:val="333333"/>
          <w:sz w:val="22"/>
        </w:rPr>
        <w:t xml:space="preserve"> is equally important as Waste Warriors deepens its internal digital infrastructure — from procurement and inventory management to WhatsApp-based community communication and real-time waste issue reporting. Ensuring frontline team members can navigate these tools confidently is both an operational necessity and an equity commitment.</w:t>
      </w:r>
    </w:p>
    <w:p>
      <w:pPr>
        <w:pStyle w:val="ListBullet"/>
        <w:spacing w:after="100"/>
      </w:pPr>
      <w:r>
        <w:rPr>
          <w:b/>
          <w:color w:val="1B2A4A"/>
          <w:sz w:val="22"/>
        </w:rPr>
        <w:t>Cross-Learning Exposure Visit:</w:t>
      </w:r>
      <w:r>
        <w:rPr>
          <w:color w:val="333333"/>
          <w:sz w:val="22"/>
        </w:rPr>
        <w:t xml:space="preserve"> A structured learning exchange gives project staff the opportunity to visit a high-performing waste management model at another site, observe different approaches, and bring insights back to strengthen Ward 97. In waste management, as in most fields, the most powerful teacher is a system that works somewhere else, seen with your own eyes.</w:t>
      </w:r>
    </w:p>
    <w:p>
      <w:pPr>
        <w:spacing w:before="80" w:after="80"/>
      </w:pPr>
      <w:r>
        <w:rPr>
          <w:color w:val="CCCCCC"/>
          <w:sz w:val="16"/>
        </w:rPr>
        <w:t>────────────────────────────────────────────────────────────────────────────────</w:t>
      </w:r>
    </w:p>
    <w:p>
      <w:pPr>
        <w:spacing w:before="240" w:after="40"/>
      </w:pPr>
      <w:r>
        <w:rPr>
          <w:b/>
          <w:color w:val="1B2A4A"/>
          <w:sz w:val="24"/>
        </w:rPr>
        <w:t>Pillar 5: Systemic Change — Government Partnership &amp; Dissemination</w:t>
      </w:r>
    </w:p>
    <w:p>
      <w:pPr>
        <w:spacing w:before="0" w:after="80"/>
      </w:pPr>
      <w:r>
        <w:rPr>
          <w:i/>
          <w:color w:val="00877A"/>
          <w:sz w:val="22"/>
        </w:rPr>
        <w:t>Theme: Civic Engagement, Policy Influence &amp; Model Replication</w:t>
      </w:r>
    </w:p>
    <w:p>
      <w:pPr>
        <w:spacing w:before="0" w:after="120"/>
      </w:pPr>
      <w:r>
        <w:rPr>
          <w:color w:val="333333"/>
          <w:sz w:val="22"/>
        </w:rPr>
        <w:t>The Ward 97 model was designed, from the beginning, to be borrowed. Its documentation, its processes, and its results have always been oriented toward one goal beyond Harrawala itself: giving Dehradun's other wards — and urban local bodies across Uttarakhand — a working template that can be adapted and adopted.</w:t>
      </w:r>
    </w:p>
    <w:p>
      <w:pPr>
        <w:pStyle w:val="ListBullet"/>
        <w:spacing w:after="100"/>
      </w:pPr>
      <w:r>
        <w:rPr>
          <w:b/>
          <w:color w:val="1B2A4A"/>
          <w:sz w:val="22"/>
        </w:rPr>
        <w:t>Municipal Engagement &amp; Enforcement:</w:t>
      </w:r>
      <w:r>
        <w:rPr>
          <w:color w:val="333333"/>
          <w:sz w:val="22"/>
        </w:rPr>
        <w:t xml:space="preserve"> Active, ongoing collaboration with Dehradun Nagar Nigam ensures that the Ward 97 model has institutional backing beyond Waste Warriors' own capacity. This includes capacity-building for ward-level officials, joint segregation awareness drives, and sustained dialogue with municipal decision-makers about expanding the model to additional wards. The goal is not to run Ward 97 indefinitely — it is to hand over an increasingly self-sufficient model to the city that commissioned it.</w:t>
      </w:r>
    </w:p>
    <w:p>
      <w:pPr>
        <w:pStyle w:val="ListBullet"/>
        <w:spacing w:after="100"/>
      </w:pPr>
      <w:r>
        <w:rPr>
          <w:b/>
          <w:color w:val="1B2A4A"/>
          <w:sz w:val="22"/>
        </w:rPr>
        <w:t>Dissemination &amp; Networking Event at the MRF:</w:t>
      </w:r>
      <w:r>
        <w:rPr>
          <w:color w:val="333333"/>
          <w:sz w:val="22"/>
        </w:rPr>
        <w:t xml:space="preserve"> As the programme matures, Waste Warriors will host a landmark event at the Harrawala MRF itself — bringing together municipal officials, government representatives, institutional partners, donor community members, and civic leaders in the same space where the work happens every day. This is not a conference room presentation. Guests walk the facility, see the processing lines, meet the Green Workers who run them, and leave with a first-hand understanding of what decentralised waste management looks like in operation. The event will include panel discussions on urban SWM policy, networking between government and civil society actors, and a recognition moment for the Green Workers and community members whose sustained effort has made Ward 97 what it is. This event will coincide with Waste Warriors' Foundation Day — marking 14 years of work in the Indian Himalayan Region.</w:t>
      </w:r>
    </w:p>
    <w:p>
      <w:r>
        <w:br w:type="page"/>
      </w:r>
    </w:p>
    <w:p>
      <w:pPr>
        <w:spacing w:before="280" w:after="80"/>
      </w:pPr>
      <w:r>
        <w:rPr>
          <w:b/>
          <w:color w:val="00877A"/>
          <w:sz w:val="30"/>
        </w:rPr>
        <w:t>What Success Looks Like</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B2A4A"/>
          </w:tcPr>
          <w:p>
            <w:pPr>
              <w:jc w:val="center"/>
            </w:pPr>
            <w:r>
              <w:rPr>
                <w:b/>
                <w:color w:val="FFFFFF"/>
                <w:sz w:val="20"/>
              </w:rPr>
              <w:t>Environmental</w:t>
            </w:r>
          </w:p>
        </w:tc>
        <w:tc>
          <w:tcPr>
            <w:tcW w:type="dxa" w:w="6236"/>
            <w:shd w:val="clear" w:color="auto" w:fill="F2F7F6"/>
          </w:tcPr>
          <w:p>
            <w:r>
              <w:rPr>
                <w:color w:val="333333"/>
                <w:sz w:val="20"/>
              </w:rPr>
              <w:t>A measurable reduction in waste from Ward 97 reaching Dehradun's landfill; organic waste consistently diverted through composting; multi-layered plastics routed to co-processing rather than open burning.</w:t>
            </w:r>
          </w:p>
        </w:tc>
      </w:tr>
      <w:tr>
        <w:tc>
          <w:tcPr>
            <w:tcW w:type="dxa" w:w="2551"/>
            <w:shd w:val="clear" w:color="auto" w:fill="00877A"/>
          </w:tcPr>
          <w:p>
            <w:pPr>
              <w:jc w:val="center"/>
            </w:pPr>
            <w:r>
              <w:rPr>
                <w:b/>
                <w:color w:val="FFFFFF"/>
                <w:sz w:val="20"/>
              </w:rPr>
              <w:t>Community Wellness</w:t>
            </w:r>
          </w:p>
        </w:tc>
        <w:tc>
          <w:tcPr>
            <w:tcW w:type="dxa" w:w="6236"/>
          </w:tcPr>
          <w:p>
            <w:r>
              <w:rPr>
                <w:color w:val="333333"/>
                <w:sz w:val="20"/>
              </w:rPr>
              <w:t>Residents of Ward 97 living in demonstrably cleaner, healthier surroundings — with reduced exposure to open burning, waterlogging, and the disease vectors that follow unmanaged waste.</w:t>
            </w:r>
          </w:p>
        </w:tc>
      </w:tr>
      <w:tr>
        <w:tc>
          <w:tcPr>
            <w:tcW w:type="dxa" w:w="2551"/>
            <w:shd w:val="clear" w:color="auto" w:fill="1B2A4A"/>
          </w:tcPr>
          <w:p>
            <w:pPr>
              <w:jc w:val="center"/>
            </w:pPr>
            <w:r>
              <w:rPr>
                <w:b/>
                <w:color w:val="FFFFFF"/>
                <w:sz w:val="20"/>
              </w:rPr>
              <w:t>Worker Health</w:t>
            </w:r>
          </w:p>
        </w:tc>
        <w:tc>
          <w:tcPr>
            <w:tcW w:type="dxa" w:w="6236"/>
            <w:shd w:val="clear" w:color="auto" w:fill="F2F7F6"/>
          </w:tcPr>
          <w:p>
            <w:r>
              <w:rPr>
                <w:color w:val="333333"/>
                <w:sz w:val="20"/>
              </w:rPr>
              <w:t>All Green Workers covered by annual medical screening, wellness allowances, meal support, insurance, and gratuity — with documented improvements in health indicators and worker-reported wellbeing.</w:t>
            </w:r>
          </w:p>
        </w:tc>
      </w:tr>
      <w:tr>
        <w:tc>
          <w:tcPr>
            <w:tcW w:type="dxa" w:w="2551"/>
            <w:shd w:val="clear" w:color="auto" w:fill="00877A"/>
          </w:tcPr>
          <w:p>
            <w:pPr>
              <w:jc w:val="center"/>
            </w:pPr>
            <w:r>
              <w:rPr>
                <w:b/>
                <w:color w:val="FFFFFF"/>
                <w:sz w:val="20"/>
              </w:rPr>
              <w:t>Worker Capability</w:t>
            </w:r>
          </w:p>
        </w:tc>
        <w:tc>
          <w:tcPr>
            <w:tcW w:type="dxa" w:w="6236"/>
          </w:tcPr>
          <w:p>
            <w:r>
              <w:rPr>
                <w:color w:val="333333"/>
                <w:sz w:val="20"/>
              </w:rPr>
              <w:t>Green Workers with measurably improved English communication confidence and functional digital literacy — enabling economic mobility and social recognition beyond the MRF.</w:t>
            </w:r>
          </w:p>
        </w:tc>
      </w:tr>
      <w:tr>
        <w:tc>
          <w:tcPr>
            <w:tcW w:type="dxa" w:w="2551"/>
            <w:shd w:val="clear" w:color="auto" w:fill="1B2A4A"/>
          </w:tcPr>
          <w:p>
            <w:pPr>
              <w:jc w:val="center"/>
            </w:pPr>
            <w:r>
              <w:rPr>
                <w:b/>
                <w:color w:val="FFFFFF"/>
                <w:sz w:val="20"/>
              </w:rPr>
              <w:t>Civic Ownership</w:t>
            </w:r>
          </w:p>
        </w:tc>
        <w:tc>
          <w:tcPr>
            <w:tcW w:type="dxa" w:w="6236"/>
            <w:shd w:val="clear" w:color="auto" w:fill="F2F7F6"/>
          </w:tcPr>
          <w:p>
            <w:r>
              <w:rPr>
                <w:color w:val="333333"/>
                <w:sz w:val="20"/>
              </w:rPr>
              <w:t>Youth engaged as active cleanup leaders; residents functioning as Swachhta Ambassadors; commercial establishments treating waste segregation as routine operational practice.</w:t>
            </w:r>
          </w:p>
        </w:tc>
      </w:tr>
      <w:tr>
        <w:tc>
          <w:tcPr>
            <w:tcW w:type="dxa" w:w="2551"/>
            <w:shd w:val="clear" w:color="auto" w:fill="00877A"/>
          </w:tcPr>
          <w:p>
            <w:pPr>
              <w:jc w:val="center"/>
            </w:pPr>
            <w:r>
              <w:rPr>
                <w:b/>
                <w:color w:val="FFFFFF"/>
                <w:sz w:val="20"/>
              </w:rPr>
              <w:t>Government Replication</w:t>
            </w:r>
          </w:p>
        </w:tc>
        <w:tc>
          <w:tcPr>
            <w:tcW w:type="dxa" w:w="6236"/>
          </w:tcPr>
          <w:p>
            <w:r>
              <w:rPr>
                <w:color w:val="333333"/>
                <w:sz w:val="20"/>
              </w:rPr>
              <w:t>Nagar Nigam and ULB officials, having visited Ward 97 and attended the dissemination event, actively progressing conversations about adoption of this model in additional wards.</w:t>
            </w:r>
          </w:p>
        </w:tc>
      </w:tr>
      <w:tr>
        <w:tc>
          <w:tcPr>
            <w:tcW w:type="dxa" w:w="2551"/>
            <w:shd w:val="clear" w:color="auto" w:fill="1B2A4A"/>
          </w:tcPr>
          <w:p>
            <w:pPr>
              <w:jc w:val="center"/>
            </w:pPr>
            <w:r>
              <w:rPr>
                <w:b/>
                <w:color w:val="FFFFFF"/>
                <w:sz w:val="20"/>
              </w:rPr>
              <w:t>Livelihoods</w:t>
            </w:r>
          </w:p>
        </w:tc>
        <w:tc>
          <w:tcPr>
            <w:tcW w:type="dxa" w:w="6236"/>
            <w:shd w:val="clear" w:color="auto" w:fill="F2F7F6"/>
          </w:tcPr>
          <w:p>
            <w:r>
              <w:rPr>
                <w:color w:val="333333"/>
                <w:sz w:val="20"/>
              </w:rPr>
              <w:t>Dignified, sustained, formally protected employment for all Green Workers and team members throughout the programme, with documented livelihood and welfare metrics.</w:t>
            </w:r>
          </w:p>
        </w:tc>
      </w:tr>
    </w:tbl>
    <w:p>
      <w:r>
        <w:br w:type="page"/>
      </w:r>
    </w:p>
    <w:p>
      <w:pPr>
        <w:spacing w:before="280" w:after="80"/>
      </w:pPr>
      <w:r>
        <w:rPr>
          <w:b/>
          <w:color w:val="00877A"/>
          <w:sz w:val="30"/>
        </w:rPr>
        <w:t>Budget Summary</w:t>
      </w:r>
    </w:p>
    <w:p>
      <w:pPr>
        <w:spacing w:after="200"/>
      </w:pPr>
      <w:r>
        <w:rPr>
          <w:color w:val="333333"/>
          <w:sz w:val="22"/>
        </w:rPr>
        <w:t xml:space="preserve">The estimated budget for the Waste Wise Ward programme — a six-month intervention in FY 2026–27 — is </w:t>
      </w:r>
      <w:r>
        <w:rPr>
          <w:b/>
          <w:color w:val="1B2A4A"/>
          <w:sz w:val="22"/>
        </w:rPr>
        <w:t>INR ₹24,42,000 (Twenty-Four Lakh, Forty-Two Thousand Rupees only), approximately CAD $34,188.</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850"/>
            <w:shd w:val="clear" w:color="auto" w:fill="1B2A4A"/>
          </w:tcPr>
          <w:p>
            <w:pPr>
              <w:jc w:val="center"/>
            </w:pPr>
            <w:r>
              <w:rPr>
                <w:b/>
                <w:color w:val="FFFFFF"/>
                <w:sz w:val="20"/>
              </w:rPr>
              <w:t>Code</w:t>
            </w:r>
          </w:p>
        </w:tc>
        <w:tc>
          <w:tcPr>
            <w:tcW w:type="dxa" w:w="2551"/>
            <w:shd w:val="clear" w:color="auto" w:fill="1B2A4A"/>
          </w:tcPr>
          <w:p>
            <w:pPr>
              <w:jc w:val="center"/>
            </w:pPr>
            <w:r>
              <w:rPr>
                <w:b/>
                <w:color w:val="FFFFFF"/>
                <w:sz w:val="20"/>
              </w:rPr>
              <w:t>Head / Activity</w:t>
            </w:r>
          </w:p>
        </w:tc>
        <w:tc>
          <w:tcPr>
            <w:tcW w:type="dxa" w:w="3402"/>
            <w:shd w:val="clear" w:color="auto" w:fill="1B2A4A"/>
          </w:tcPr>
          <w:p>
            <w:pPr>
              <w:jc w:val="center"/>
            </w:pPr>
            <w:r>
              <w:rPr>
                <w:b/>
                <w:color w:val="FFFFFF"/>
                <w:sz w:val="20"/>
              </w:rPr>
              <w:t>Details</w:t>
            </w:r>
          </w:p>
        </w:tc>
        <w:tc>
          <w:tcPr>
            <w:tcW w:type="dxa" w:w="1417"/>
            <w:shd w:val="clear" w:color="auto" w:fill="1B2A4A"/>
          </w:tcPr>
          <w:p>
            <w:pPr>
              <w:jc w:val="center"/>
            </w:pPr>
            <w:r>
              <w:rPr>
                <w:b/>
                <w:color w:val="FFFFFF"/>
                <w:sz w:val="20"/>
              </w:rPr>
              <w:t>Amount (INR)</w:t>
            </w:r>
          </w:p>
        </w:tc>
        <w:tc>
          <w:tcPr>
            <w:tcW w:type="dxa" w:w="1134"/>
            <w:shd w:val="clear" w:color="auto" w:fill="1B2A4A"/>
          </w:tcPr>
          <w:p>
            <w:pPr>
              <w:jc w:val="center"/>
            </w:pPr>
            <w:r>
              <w:rPr>
                <w:b/>
                <w:color w:val="FFFFFF"/>
                <w:sz w:val="20"/>
              </w:rPr>
              <w:t>Amount (CAD)</w:t>
            </w:r>
          </w:p>
        </w:tc>
      </w:tr>
      <w:tr>
        <w:tc>
          <w:tcPr>
            <w:tcW w:type="dxa" w:w="850"/>
            <w:shd w:val="clear" w:color="auto" w:fill="00877A"/>
          </w:tcPr>
          <w:p>
            <w:pPr>
              <w:jc w:val="center"/>
            </w:pPr>
            <w:r>
              <w:rPr>
                <w:b/>
                <w:color w:val="FFFFFF"/>
                <w:sz w:val="20"/>
              </w:rPr>
              <w:t>A</w:t>
            </w:r>
          </w:p>
        </w:tc>
        <w:tc>
          <w:tcPr>
            <w:tcW w:type="dxa" w:w="2551"/>
            <w:shd w:val="clear" w:color="auto" w:fill="00877A"/>
          </w:tcPr>
          <w:p>
            <w:pPr>
              <w:jc w:val="left"/>
            </w:pPr>
            <w:r>
              <w:rPr>
                <w:b/>
                <w:color w:val="FFFFFF"/>
                <w:sz w:val="20"/>
              </w:rPr>
              <w:t>DIRECT COSTS</w:t>
            </w:r>
          </w:p>
        </w:tc>
        <w:tc>
          <w:tcPr>
            <w:tcW w:type="dxa" w:w="3402"/>
            <w:shd w:val="clear" w:color="auto" w:fill="00877A"/>
          </w:tcPr>
          <w:p>
            <w:pPr>
              <w:jc w:val="left"/>
            </w:pPr>
            <w:r>
              <w:rPr>
                <w:b/>
                <w:color w:val="FFFFFF"/>
                <w:sz w:val="20"/>
              </w:rPr>
            </w:r>
          </w:p>
        </w:tc>
        <w:tc>
          <w:tcPr>
            <w:tcW w:type="dxa" w:w="1417"/>
            <w:shd w:val="clear" w:color="auto" w:fill="00877A"/>
          </w:tcPr>
          <w:p>
            <w:pPr>
              <w:jc w:val="right"/>
            </w:pPr>
            <w:r>
              <w:rPr>
                <w:b/>
                <w:color w:val="FFFFFF"/>
                <w:sz w:val="20"/>
              </w:rPr>
            </w:r>
          </w:p>
        </w:tc>
        <w:tc>
          <w:tcPr>
            <w:tcW w:type="dxa" w:w="1134"/>
            <w:shd w:val="clear" w:color="auto" w:fill="00877A"/>
          </w:tcPr>
          <w:p>
            <w:pPr>
              <w:jc w:val="right"/>
            </w:pPr>
            <w:r>
              <w:rPr>
                <w:b/>
                <w:color w:val="FFFFFF"/>
                <w:sz w:val="20"/>
              </w:rPr>
            </w:r>
          </w:p>
        </w:tc>
      </w:tr>
      <w:tr>
        <w:tc>
          <w:tcPr>
            <w:tcW w:type="dxa" w:w="850"/>
          </w:tcPr>
          <w:p>
            <w:pPr>
              <w:jc w:val="center"/>
            </w:pPr>
            <w:r>
              <w:rPr>
                <w:color w:val="333333"/>
                <w:sz w:val="20"/>
              </w:rPr>
              <w:t>A1</w:t>
            </w:r>
          </w:p>
        </w:tc>
        <w:tc>
          <w:tcPr>
            <w:tcW w:type="dxa" w:w="2551"/>
          </w:tcPr>
          <w:p>
            <w:pPr>
              <w:jc w:val="left"/>
            </w:pPr>
            <w:r>
              <w:rPr>
                <w:color w:val="333333"/>
                <w:sz w:val="20"/>
              </w:rPr>
              <w:t>Vehicle fuel &amp; repair</w:t>
            </w:r>
          </w:p>
        </w:tc>
        <w:tc>
          <w:tcPr>
            <w:tcW w:type="dxa" w:w="3402"/>
          </w:tcPr>
          <w:p>
            <w:pPr>
              <w:jc w:val="left"/>
            </w:pPr>
            <w:r>
              <w:rPr>
                <w:color w:val="333333"/>
                <w:sz w:val="20"/>
              </w:rPr>
              <w:t>2 collection vehicles × 6 months</w:t>
            </w:r>
          </w:p>
        </w:tc>
        <w:tc>
          <w:tcPr>
            <w:tcW w:type="dxa" w:w="1417"/>
          </w:tcPr>
          <w:p>
            <w:pPr>
              <w:jc w:val="right"/>
            </w:pPr>
            <w:r>
              <w:rPr>
                <w:color w:val="333333"/>
                <w:sz w:val="20"/>
              </w:rPr>
              <w:t>₹1,20,000</w:t>
            </w:r>
          </w:p>
        </w:tc>
        <w:tc>
          <w:tcPr>
            <w:tcW w:type="dxa" w:w="1134"/>
          </w:tcPr>
          <w:p>
            <w:pPr>
              <w:jc w:val="right"/>
            </w:pPr>
            <w:r>
              <w:rPr>
                <w:color w:val="333333"/>
                <w:sz w:val="20"/>
              </w:rPr>
              <w:t>$1,680</w:t>
            </w:r>
          </w:p>
        </w:tc>
      </w:tr>
      <w:tr>
        <w:tc>
          <w:tcPr>
            <w:tcW w:type="dxa" w:w="850"/>
          </w:tcPr>
          <w:p>
            <w:pPr>
              <w:jc w:val="center"/>
            </w:pPr>
            <w:r>
              <w:rPr>
                <w:color w:val="333333"/>
                <w:sz w:val="20"/>
              </w:rPr>
              <w:t>A2</w:t>
            </w:r>
          </w:p>
        </w:tc>
        <w:tc>
          <w:tcPr>
            <w:tcW w:type="dxa" w:w="2551"/>
          </w:tcPr>
          <w:p>
            <w:pPr>
              <w:jc w:val="left"/>
            </w:pPr>
            <w:r>
              <w:rPr>
                <w:color w:val="333333"/>
                <w:sz w:val="20"/>
              </w:rPr>
              <w:t>Green Workers (Safai Saathis)</w:t>
            </w:r>
          </w:p>
        </w:tc>
        <w:tc>
          <w:tcPr>
            <w:tcW w:type="dxa" w:w="3402"/>
          </w:tcPr>
          <w:p>
            <w:pPr>
              <w:jc w:val="left"/>
            </w:pPr>
            <w:r>
              <w:rPr>
                <w:color w:val="333333"/>
                <w:sz w:val="20"/>
              </w:rPr>
              <w:t>Salaries for 5 frontline workers × 6 months</w:t>
            </w:r>
          </w:p>
        </w:tc>
        <w:tc>
          <w:tcPr>
            <w:tcW w:type="dxa" w:w="1417"/>
          </w:tcPr>
          <w:p>
            <w:pPr>
              <w:jc w:val="right"/>
            </w:pPr>
            <w:r>
              <w:rPr>
                <w:color w:val="333333"/>
                <w:sz w:val="20"/>
              </w:rPr>
              <w:t>₹5,55,000</w:t>
            </w:r>
          </w:p>
        </w:tc>
        <w:tc>
          <w:tcPr>
            <w:tcW w:type="dxa" w:w="1134"/>
          </w:tcPr>
          <w:p>
            <w:pPr>
              <w:jc w:val="right"/>
            </w:pPr>
            <w:r>
              <w:rPr>
                <w:color w:val="333333"/>
                <w:sz w:val="20"/>
              </w:rPr>
              <w:t>$7,770</w:t>
            </w:r>
          </w:p>
        </w:tc>
      </w:tr>
      <w:tr>
        <w:tc>
          <w:tcPr>
            <w:tcW w:type="dxa" w:w="850"/>
          </w:tcPr>
          <w:p>
            <w:pPr>
              <w:jc w:val="center"/>
            </w:pPr>
            <w:r>
              <w:rPr>
                <w:color w:val="333333"/>
                <w:sz w:val="20"/>
              </w:rPr>
              <w:t>A3</w:t>
            </w:r>
          </w:p>
        </w:tc>
        <w:tc>
          <w:tcPr>
            <w:tcW w:type="dxa" w:w="2551"/>
          </w:tcPr>
          <w:p>
            <w:pPr>
              <w:jc w:val="left"/>
            </w:pPr>
            <w:r>
              <w:rPr>
                <w:color w:val="333333"/>
                <w:sz w:val="20"/>
              </w:rPr>
              <w:t>Awareness Sessions</w:t>
            </w:r>
          </w:p>
        </w:tc>
        <w:tc>
          <w:tcPr>
            <w:tcW w:type="dxa" w:w="3402"/>
          </w:tcPr>
          <w:p>
            <w:pPr>
              <w:jc w:val="left"/>
            </w:pPr>
            <w:r>
              <w:rPr>
                <w:color w:val="333333"/>
                <w:sz w:val="20"/>
              </w:rPr>
              <w:t>Segregation &amp; home composting workshops × 3 sessions</w:t>
            </w:r>
          </w:p>
        </w:tc>
        <w:tc>
          <w:tcPr>
            <w:tcW w:type="dxa" w:w="1417"/>
          </w:tcPr>
          <w:p>
            <w:pPr>
              <w:jc w:val="right"/>
            </w:pPr>
            <w:r>
              <w:rPr>
                <w:color w:val="333333"/>
                <w:sz w:val="20"/>
              </w:rPr>
              <w:t>₹3,600</w:t>
            </w:r>
          </w:p>
        </w:tc>
        <w:tc>
          <w:tcPr>
            <w:tcW w:type="dxa" w:w="1134"/>
          </w:tcPr>
          <w:p>
            <w:pPr>
              <w:jc w:val="right"/>
            </w:pPr>
            <w:r>
              <w:rPr>
                <w:color w:val="333333"/>
                <w:sz w:val="20"/>
              </w:rPr>
              <w:t>$50</w:t>
            </w:r>
          </w:p>
        </w:tc>
      </w:tr>
      <w:tr>
        <w:tc>
          <w:tcPr>
            <w:tcW w:type="dxa" w:w="850"/>
          </w:tcPr>
          <w:p>
            <w:pPr>
              <w:jc w:val="center"/>
            </w:pPr>
            <w:r>
              <w:rPr>
                <w:color w:val="333333"/>
                <w:sz w:val="20"/>
              </w:rPr>
              <w:t>A4</w:t>
            </w:r>
          </w:p>
        </w:tc>
        <w:tc>
          <w:tcPr>
            <w:tcW w:type="dxa" w:w="2551"/>
          </w:tcPr>
          <w:p>
            <w:pPr>
              <w:jc w:val="left"/>
            </w:pPr>
            <w:r>
              <w:rPr>
                <w:color w:val="333333"/>
                <w:sz w:val="20"/>
              </w:rPr>
              <w:t>Communications Consultant</w:t>
            </w:r>
          </w:p>
        </w:tc>
        <w:tc>
          <w:tcPr>
            <w:tcW w:type="dxa" w:w="3402"/>
          </w:tcPr>
          <w:p>
            <w:pPr>
              <w:jc w:val="left"/>
            </w:pPr>
            <w:r>
              <w:rPr>
                <w:color w:val="333333"/>
                <w:sz w:val="20"/>
              </w:rPr>
              <w:t>Social media engagement, IEC design, campaign support</w:t>
            </w:r>
          </w:p>
        </w:tc>
        <w:tc>
          <w:tcPr>
            <w:tcW w:type="dxa" w:w="1417"/>
          </w:tcPr>
          <w:p>
            <w:pPr>
              <w:jc w:val="right"/>
            </w:pPr>
            <w:r>
              <w:rPr>
                <w:color w:val="333333"/>
                <w:sz w:val="20"/>
              </w:rPr>
              <w:t>₹75,000</w:t>
            </w:r>
          </w:p>
        </w:tc>
        <w:tc>
          <w:tcPr>
            <w:tcW w:type="dxa" w:w="1134"/>
          </w:tcPr>
          <w:p>
            <w:pPr>
              <w:jc w:val="right"/>
            </w:pPr>
            <w:r>
              <w:rPr>
                <w:color w:val="333333"/>
                <w:sz w:val="20"/>
              </w:rPr>
              <w:t>$1,050</w:t>
            </w:r>
          </w:p>
        </w:tc>
      </w:tr>
      <w:tr>
        <w:tc>
          <w:tcPr>
            <w:tcW w:type="dxa" w:w="850"/>
          </w:tcPr>
          <w:p>
            <w:pPr>
              <w:jc w:val="center"/>
            </w:pPr>
            <w:r>
              <w:rPr>
                <w:color w:val="333333"/>
                <w:sz w:val="20"/>
              </w:rPr>
              <w:t>A5</w:t>
            </w:r>
          </w:p>
        </w:tc>
        <w:tc>
          <w:tcPr>
            <w:tcW w:type="dxa" w:w="2551"/>
          </w:tcPr>
          <w:p>
            <w:pPr>
              <w:jc w:val="left"/>
            </w:pPr>
            <w:r>
              <w:rPr>
                <w:color w:val="333333"/>
                <w:sz w:val="20"/>
              </w:rPr>
              <w:t>Signboards &amp; Visual Communication</w:t>
            </w:r>
          </w:p>
        </w:tc>
        <w:tc>
          <w:tcPr>
            <w:tcW w:type="dxa" w:w="3402"/>
          </w:tcPr>
          <w:p>
            <w:pPr>
              <w:jc w:val="left"/>
            </w:pPr>
            <w:r>
              <w:rPr>
                <w:color w:val="333333"/>
                <w:sz w:val="20"/>
              </w:rPr>
              <w:t>High-footfall installations across Ward 97</w:t>
            </w:r>
          </w:p>
        </w:tc>
        <w:tc>
          <w:tcPr>
            <w:tcW w:type="dxa" w:w="1417"/>
          </w:tcPr>
          <w:p>
            <w:pPr>
              <w:jc w:val="right"/>
            </w:pPr>
            <w:r>
              <w:rPr>
                <w:color w:val="333333"/>
                <w:sz w:val="20"/>
              </w:rPr>
              <w:t>₹20,000</w:t>
            </w:r>
          </w:p>
        </w:tc>
        <w:tc>
          <w:tcPr>
            <w:tcW w:type="dxa" w:w="1134"/>
          </w:tcPr>
          <w:p>
            <w:pPr>
              <w:jc w:val="right"/>
            </w:pPr>
            <w:r>
              <w:rPr>
                <w:color w:val="333333"/>
                <w:sz w:val="20"/>
              </w:rPr>
              <w:t>$280</w:t>
            </w:r>
          </w:p>
        </w:tc>
      </w:tr>
      <w:tr>
        <w:tc>
          <w:tcPr>
            <w:tcW w:type="dxa" w:w="850"/>
          </w:tcPr>
          <w:p>
            <w:pPr>
              <w:jc w:val="center"/>
            </w:pPr>
            <w:r>
              <w:rPr>
                <w:color w:val="333333"/>
                <w:sz w:val="20"/>
              </w:rPr>
              <w:t>A6</w:t>
            </w:r>
          </w:p>
        </w:tc>
        <w:tc>
          <w:tcPr>
            <w:tcW w:type="dxa" w:w="2551"/>
          </w:tcPr>
          <w:p>
            <w:pPr>
              <w:jc w:val="left"/>
            </w:pPr>
            <w:r>
              <w:rPr>
                <w:color w:val="333333"/>
                <w:sz w:val="20"/>
              </w:rPr>
              <w:t>Cleanup Drives</w:t>
            </w:r>
          </w:p>
        </w:tc>
        <w:tc>
          <w:tcPr>
            <w:tcW w:type="dxa" w:w="3402"/>
          </w:tcPr>
          <w:p>
            <w:pPr>
              <w:jc w:val="left"/>
            </w:pPr>
            <w:r>
              <w:rPr>
                <w:color w:val="333333"/>
                <w:sz w:val="20"/>
              </w:rPr>
              <w:t>Refreshments and logistics for 3 community drives</w:t>
            </w:r>
          </w:p>
        </w:tc>
        <w:tc>
          <w:tcPr>
            <w:tcW w:type="dxa" w:w="1417"/>
          </w:tcPr>
          <w:p>
            <w:pPr>
              <w:jc w:val="right"/>
            </w:pPr>
            <w:r>
              <w:rPr>
                <w:color w:val="333333"/>
                <w:sz w:val="20"/>
              </w:rPr>
              <w:t>₹6,000</w:t>
            </w:r>
          </w:p>
        </w:tc>
        <w:tc>
          <w:tcPr>
            <w:tcW w:type="dxa" w:w="1134"/>
          </w:tcPr>
          <w:p>
            <w:pPr>
              <w:jc w:val="right"/>
            </w:pPr>
            <w:r>
              <w:rPr>
                <w:color w:val="333333"/>
                <w:sz w:val="20"/>
              </w:rPr>
              <w:t>$84</w:t>
            </w:r>
          </w:p>
        </w:tc>
      </w:tr>
      <w:tr>
        <w:tc>
          <w:tcPr>
            <w:tcW w:type="dxa" w:w="850"/>
            <w:shd w:val="clear" w:color="auto" w:fill="E0F0EE"/>
          </w:tcPr>
          <w:p>
            <w:pPr>
              <w:jc w:val="center"/>
            </w:pPr>
            <w:r>
              <w:rPr>
                <w:b/>
                <w:color w:val="1B2A4A"/>
                <w:sz w:val="20"/>
              </w:rPr>
            </w:r>
          </w:p>
        </w:tc>
        <w:tc>
          <w:tcPr>
            <w:tcW w:type="dxa" w:w="2551"/>
            <w:shd w:val="clear" w:color="auto" w:fill="E0F0EE"/>
          </w:tcPr>
          <w:p>
            <w:pPr>
              <w:jc w:val="left"/>
            </w:pPr>
            <w:r>
              <w:rPr>
                <w:b/>
                <w:color w:val="1B2A4A"/>
                <w:sz w:val="20"/>
              </w:rPr>
              <w:t>Total — Direct Costs</w:t>
            </w:r>
          </w:p>
        </w:tc>
        <w:tc>
          <w:tcPr>
            <w:tcW w:type="dxa" w:w="3402"/>
            <w:shd w:val="clear" w:color="auto" w:fill="E0F0EE"/>
          </w:tcPr>
          <w:p>
            <w:pPr>
              <w:jc w:val="left"/>
            </w:pPr>
            <w:r>
              <w:rPr>
                <w:b/>
                <w:color w:val="1B2A4A"/>
                <w:sz w:val="20"/>
              </w:rPr>
            </w:r>
          </w:p>
        </w:tc>
        <w:tc>
          <w:tcPr>
            <w:tcW w:type="dxa" w:w="1417"/>
            <w:shd w:val="clear" w:color="auto" w:fill="E0F0EE"/>
          </w:tcPr>
          <w:p>
            <w:pPr>
              <w:jc w:val="right"/>
            </w:pPr>
            <w:r>
              <w:rPr>
                <w:b/>
                <w:color w:val="1B2A4A"/>
                <w:sz w:val="20"/>
              </w:rPr>
              <w:t>₹7,79,600</w:t>
            </w:r>
          </w:p>
        </w:tc>
        <w:tc>
          <w:tcPr>
            <w:tcW w:type="dxa" w:w="1134"/>
            <w:shd w:val="clear" w:color="auto" w:fill="E0F0EE"/>
          </w:tcPr>
          <w:p>
            <w:pPr>
              <w:jc w:val="right"/>
            </w:pPr>
            <w:r>
              <w:rPr>
                <w:b/>
                <w:color w:val="1B2A4A"/>
                <w:sz w:val="20"/>
              </w:rPr>
              <w:t>$10,914</w:t>
            </w:r>
          </w:p>
        </w:tc>
      </w:tr>
      <w:tr>
        <w:tc>
          <w:tcPr>
            <w:tcW w:type="dxa" w:w="850"/>
            <w:shd w:val="clear" w:color="auto" w:fill="00877A"/>
          </w:tcPr>
          <w:p>
            <w:pPr>
              <w:jc w:val="center"/>
            </w:pPr>
            <w:r>
              <w:rPr>
                <w:b/>
                <w:color w:val="FFFFFF"/>
                <w:sz w:val="20"/>
              </w:rPr>
              <w:t>B</w:t>
            </w:r>
          </w:p>
        </w:tc>
        <w:tc>
          <w:tcPr>
            <w:tcW w:type="dxa" w:w="2551"/>
            <w:shd w:val="clear" w:color="auto" w:fill="00877A"/>
          </w:tcPr>
          <w:p>
            <w:pPr>
              <w:jc w:val="left"/>
            </w:pPr>
            <w:r>
              <w:rPr>
                <w:b/>
                <w:color w:val="FFFFFF"/>
                <w:sz w:val="20"/>
              </w:rPr>
              <w:t>PROJECT SUPPORT COSTS</w:t>
            </w:r>
          </w:p>
        </w:tc>
        <w:tc>
          <w:tcPr>
            <w:tcW w:type="dxa" w:w="3402"/>
            <w:shd w:val="clear" w:color="auto" w:fill="00877A"/>
          </w:tcPr>
          <w:p>
            <w:pPr>
              <w:jc w:val="left"/>
            </w:pPr>
            <w:r>
              <w:rPr>
                <w:b/>
                <w:color w:val="FFFFFF"/>
                <w:sz w:val="20"/>
              </w:rPr>
            </w:r>
          </w:p>
        </w:tc>
        <w:tc>
          <w:tcPr>
            <w:tcW w:type="dxa" w:w="1417"/>
            <w:shd w:val="clear" w:color="auto" w:fill="00877A"/>
          </w:tcPr>
          <w:p>
            <w:pPr>
              <w:jc w:val="right"/>
            </w:pPr>
            <w:r>
              <w:rPr>
                <w:b/>
                <w:color w:val="FFFFFF"/>
                <w:sz w:val="20"/>
              </w:rPr>
            </w:r>
          </w:p>
        </w:tc>
        <w:tc>
          <w:tcPr>
            <w:tcW w:type="dxa" w:w="1134"/>
            <w:shd w:val="clear" w:color="auto" w:fill="00877A"/>
          </w:tcPr>
          <w:p>
            <w:pPr>
              <w:jc w:val="right"/>
            </w:pPr>
            <w:r>
              <w:rPr>
                <w:b/>
                <w:color w:val="FFFFFF"/>
                <w:sz w:val="20"/>
              </w:rPr>
            </w:r>
          </w:p>
        </w:tc>
      </w:tr>
      <w:tr>
        <w:tc>
          <w:tcPr>
            <w:tcW w:type="dxa" w:w="850"/>
          </w:tcPr>
          <w:p>
            <w:pPr>
              <w:jc w:val="center"/>
            </w:pPr>
            <w:r>
              <w:rPr>
                <w:color w:val="333333"/>
                <w:sz w:val="20"/>
              </w:rPr>
              <w:t>B1</w:t>
            </w:r>
          </w:p>
        </w:tc>
        <w:tc>
          <w:tcPr>
            <w:tcW w:type="dxa" w:w="2551"/>
          </w:tcPr>
          <w:p>
            <w:pPr>
              <w:jc w:val="left"/>
            </w:pPr>
            <w:r>
              <w:rPr>
                <w:color w:val="333333"/>
                <w:sz w:val="20"/>
              </w:rPr>
              <w:t>Office Expenses</w:t>
            </w:r>
          </w:p>
        </w:tc>
        <w:tc>
          <w:tcPr>
            <w:tcW w:type="dxa" w:w="3402"/>
          </w:tcPr>
          <w:p>
            <w:pPr>
              <w:jc w:val="left"/>
            </w:pPr>
            <w:r>
              <w:rPr>
                <w:color w:val="333333"/>
                <w:sz w:val="20"/>
              </w:rPr>
              <w:t>Documents, stationery, printing, office support</w:t>
            </w:r>
          </w:p>
        </w:tc>
        <w:tc>
          <w:tcPr>
            <w:tcW w:type="dxa" w:w="1417"/>
          </w:tcPr>
          <w:p>
            <w:pPr>
              <w:jc w:val="right"/>
            </w:pPr>
            <w:r>
              <w:rPr>
                <w:color w:val="333333"/>
                <w:sz w:val="20"/>
              </w:rPr>
              <w:t>₹18,000</w:t>
            </w:r>
          </w:p>
        </w:tc>
        <w:tc>
          <w:tcPr>
            <w:tcW w:type="dxa" w:w="1134"/>
          </w:tcPr>
          <w:p>
            <w:pPr>
              <w:jc w:val="right"/>
            </w:pPr>
            <w:r>
              <w:rPr>
                <w:color w:val="333333"/>
                <w:sz w:val="20"/>
              </w:rPr>
              <w:t>$252</w:t>
            </w:r>
          </w:p>
        </w:tc>
      </w:tr>
      <w:tr>
        <w:tc>
          <w:tcPr>
            <w:tcW w:type="dxa" w:w="850"/>
          </w:tcPr>
          <w:p>
            <w:pPr>
              <w:jc w:val="center"/>
            </w:pPr>
            <w:r>
              <w:rPr>
                <w:color w:val="333333"/>
                <w:sz w:val="20"/>
              </w:rPr>
              <w:t>B2</w:t>
            </w:r>
          </w:p>
        </w:tc>
        <w:tc>
          <w:tcPr>
            <w:tcW w:type="dxa" w:w="2551"/>
          </w:tcPr>
          <w:p>
            <w:pPr>
              <w:jc w:val="left"/>
            </w:pPr>
            <w:r>
              <w:rPr>
                <w:color w:val="333333"/>
                <w:sz w:val="20"/>
              </w:rPr>
              <w:t>Meal Programme</w:t>
            </w:r>
          </w:p>
        </w:tc>
        <w:tc>
          <w:tcPr>
            <w:tcW w:type="dxa" w:w="3402"/>
          </w:tcPr>
          <w:p>
            <w:pPr>
              <w:jc w:val="left"/>
            </w:pPr>
            <w:r>
              <w:rPr>
                <w:color w:val="333333"/>
                <w:sz w:val="20"/>
              </w:rPr>
              <w:t>Daily nutritional support for 9 team members × 6 months</w:t>
            </w:r>
          </w:p>
        </w:tc>
        <w:tc>
          <w:tcPr>
            <w:tcW w:type="dxa" w:w="1417"/>
          </w:tcPr>
          <w:p>
            <w:pPr>
              <w:jc w:val="right"/>
            </w:pPr>
            <w:r>
              <w:rPr>
                <w:color w:val="333333"/>
                <w:sz w:val="20"/>
              </w:rPr>
              <w:t>₹86,400</w:t>
            </w:r>
          </w:p>
        </w:tc>
        <w:tc>
          <w:tcPr>
            <w:tcW w:type="dxa" w:w="1134"/>
          </w:tcPr>
          <w:p>
            <w:pPr>
              <w:jc w:val="right"/>
            </w:pPr>
            <w:r>
              <w:rPr>
                <w:color w:val="333333"/>
                <w:sz w:val="20"/>
              </w:rPr>
              <w:t>$1,210</w:t>
            </w:r>
          </w:p>
        </w:tc>
      </w:tr>
      <w:tr>
        <w:tc>
          <w:tcPr>
            <w:tcW w:type="dxa" w:w="850"/>
          </w:tcPr>
          <w:p>
            <w:pPr>
              <w:jc w:val="center"/>
            </w:pPr>
            <w:r>
              <w:rPr>
                <w:color w:val="333333"/>
                <w:sz w:val="20"/>
              </w:rPr>
              <w:t>B3</w:t>
            </w:r>
          </w:p>
        </w:tc>
        <w:tc>
          <w:tcPr>
            <w:tcW w:type="dxa" w:w="2551"/>
          </w:tcPr>
          <w:p>
            <w:pPr>
              <w:jc w:val="left"/>
            </w:pPr>
            <w:r>
              <w:rPr>
                <w:color w:val="333333"/>
                <w:sz w:val="20"/>
              </w:rPr>
              <w:t>Cross-Learning Exposure Visit</w:t>
            </w:r>
          </w:p>
        </w:tc>
        <w:tc>
          <w:tcPr>
            <w:tcW w:type="dxa" w:w="3402"/>
          </w:tcPr>
          <w:p>
            <w:pPr>
              <w:jc w:val="left"/>
            </w:pPr>
            <w:r>
              <w:rPr>
                <w:color w:val="333333"/>
                <w:sz w:val="20"/>
              </w:rPr>
              <w:t>Structured learning exchange for project staff</w:t>
            </w:r>
          </w:p>
        </w:tc>
        <w:tc>
          <w:tcPr>
            <w:tcW w:type="dxa" w:w="1417"/>
          </w:tcPr>
          <w:p>
            <w:pPr>
              <w:jc w:val="right"/>
            </w:pPr>
            <w:r>
              <w:rPr>
                <w:color w:val="333333"/>
                <w:sz w:val="20"/>
              </w:rPr>
              <w:t>₹3,00,000</w:t>
            </w:r>
          </w:p>
        </w:tc>
        <w:tc>
          <w:tcPr>
            <w:tcW w:type="dxa" w:w="1134"/>
          </w:tcPr>
          <w:p>
            <w:pPr>
              <w:jc w:val="right"/>
            </w:pPr>
            <w:r>
              <w:rPr>
                <w:color w:val="333333"/>
                <w:sz w:val="20"/>
              </w:rPr>
              <w:t>$4,200</w:t>
            </w:r>
          </w:p>
        </w:tc>
      </w:tr>
      <w:tr>
        <w:tc>
          <w:tcPr>
            <w:tcW w:type="dxa" w:w="850"/>
          </w:tcPr>
          <w:p>
            <w:pPr>
              <w:jc w:val="center"/>
            </w:pPr>
            <w:r>
              <w:rPr>
                <w:color w:val="333333"/>
                <w:sz w:val="20"/>
              </w:rPr>
              <w:t>B4</w:t>
            </w:r>
          </w:p>
        </w:tc>
        <w:tc>
          <w:tcPr>
            <w:tcW w:type="dxa" w:w="2551"/>
          </w:tcPr>
          <w:p>
            <w:pPr>
              <w:jc w:val="left"/>
            </w:pPr>
            <w:r>
              <w:rPr>
                <w:color w:val="333333"/>
                <w:sz w:val="20"/>
              </w:rPr>
              <w:t>Wellness &amp; Medical Allowances</w:t>
            </w:r>
          </w:p>
        </w:tc>
        <w:tc>
          <w:tcPr>
            <w:tcW w:type="dxa" w:w="3402"/>
          </w:tcPr>
          <w:p>
            <w:pPr>
              <w:jc w:val="left"/>
            </w:pPr>
            <w:r>
              <w:rPr>
                <w:color w:val="333333"/>
                <w:sz w:val="20"/>
              </w:rPr>
              <w:t>Ad-hoc medical support + hobby fund for 9 members</w:t>
            </w:r>
          </w:p>
        </w:tc>
        <w:tc>
          <w:tcPr>
            <w:tcW w:type="dxa" w:w="1417"/>
          </w:tcPr>
          <w:p>
            <w:pPr>
              <w:jc w:val="right"/>
            </w:pPr>
            <w:r>
              <w:rPr>
                <w:color w:val="333333"/>
                <w:sz w:val="20"/>
              </w:rPr>
              <w:t>₹81,000</w:t>
            </w:r>
          </w:p>
        </w:tc>
        <w:tc>
          <w:tcPr>
            <w:tcW w:type="dxa" w:w="1134"/>
          </w:tcPr>
          <w:p>
            <w:pPr>
              <w:jc w:val="right"/>
            </w:pPr>
            <w:r>
              <w:rPr>
                <w:color w:val="333333"/>
                <w:sz w:val="20"/>
              </w:rPr>
              <w:t>$1,134</w:t>
            </w:r>
          </w:p>
        </w:tc>
      </w:tr>
      <w:tr>
        <w:tc>
          <w:tcPr>
            <w:tcW w:type="dxa" w:w="850"/>
          </w:tcPr>
          <w:p>
            <w:pPr>
              <w:jc w:val="center"/>
            </w:pPr>
            <w:r>
              <w:rPr>
                <w:color w:val="333333"/>
                <w:sz w:val="20"/>
              </w:rPr>
              <w:t>B5</w:t>
            </w:r>
          </w:p>
        </w:tc>
        <w:tc>
          <w:tcPr>
            <w:tcW w:type="dxa" w:w="2551"/>
          </w:tcPr>
          <w:p>
            <w:pPr>
              <w:jc w:val="left"/>
            </w:pPr>
            <w:r>
              <w:rPr>
                <w:color w:val="333333"/>
                <w:sz w:val="20"/>
              </w:rPr>
              <w:t>Annual Medical Screening</w:t>
            </w:r>
          </w:p>
        </w:tc>
        <w:tc>
          <w:tcPr>
            <w:tcW w:type="dxa" w:w="3402"/>
          </w:tcPr>
          <w:p>
            <w:pPr>
              <w:jc w:val="left"/>
            </w:pPr>
            <w:r>
              <w:rPr>
                <w:color w:val="333333"/>
                <w:sz w:val="20"/>
              </w:rPr>
              <w:t>Full health check-up for 9 Green Workers &amp; team members</w:t>
            </w:r>
          </w:p>
        </w:tc>
        <w:tc>
          <w:tcPr>
            <w:tcW w:type="dxa" w:w="1417"/>
          </w:tcPr>
          <w:p>
            <w:pPr>
              <w:jc w:val="right"/>
            </w:pPr>
            <w:r>
              <w:rPr>
                <w:color w:val="333333"/>
                <w:sz w:val="20"/>
              </w:rPr>
              <w:t>₹27,000</w:t>
            </w:r>
          </w:p>
        </w:tc>
        <w:tc>
          <w:tcPr>
            <w:tcW w:type="dxa" w:w="1134"/>
          </w:tcPr>
          <w:p>
            <w:pPr>
              <w:jc w:val="right"/>
            </w:pPr>
            <w:r>
              <w:rPr>
                <w:color w:val="333333"/>
                <w:sz w:val="20"/>
              </w:rPr>
              <w:t>$378</w:t>
            </w:r>
          </w:p>
        </w:tc>
      </w:tr>
      <w:tr>
        <w:tc>
          <w:tcPr>
            <w:tcW w:type="dxa" w:w="850"/>
          </w:tcPr>
          <w:p>
            <w:pPr>
              <w:jc w:val="center"/>
            </w:pPr>
            <w:r>
              <w:rPr>
                <w:color w:val="333333"/>
                <w:sz w:val="20"/>
              </w:rPr>
              <w:t>B6</w:t>
            </w:r>
          </w:p>
        </w:tc>
        <w:tc>
          <w:tcPr>
            <w:tcW w:type="dxa" w:w="2551"/>
          </w:tcPr>
          <w:p>
            <w:pPr>
              <w:jc w:val="left"/>
            </w:pPr>
            <w:r>
              <w:rPr>
                <w:color w:val="333333"/>
                <w:sz w:val="20"/>
              </w:rPr>
              <w:t>Insurance &amp; Gratuity</w:t>
            </w:r>
          </w:p>
        </w:tc>
        <w:tc>
          <w:tcPr>
            <w:tcW w:type="dxa" w:w="3402"/>
          </w:tcPr>
          <w:p>
            <w:pPr>
              <w:jc w:val="left"/>
            </w:pPr>
            <w:r>
              <w:rPr>
                <w:color w:val="333333"/>
                <w:sz w:val="20"/>
              </w:rPr>
              <w:t>Formal employment protections for 9 members × 6 months</w:t>
            </w:r>
          </w:p>
        </w:tc>
        <w:tc>
          <w:tcPr>
            <w:tcW w:type="dxa" w:w="1417"/>
          </w:tcPr>
          <w:p>
            <w:pPr>
              <w:jc w:val="right"/>
            </w:pPr>
            <w:r>
              <w:rPr>
                <w:color w:val="333333"/>
                <w:sz w:val="20"/>
              </w:rPr>
              <w:t>₹1,62,000</w:t>
            </w:r>
          </w:p>
        </w:tc>
        <w:tc>
          <w:tcPr>
            <w:tcW w:type="dxa" w:w="1134"/>
          </w:tcPr>
          <w:p>
            <w:pPr>
              <w:jc w:val="right"/>
            </w:pPr>
            <w:r>
              <w:rPr>
                <w:color w:val="333333"/>
                <w:sz w:val="20"/>
              </w:rPr>
              <w:t>$2,268</w:t>
            </w:r>
          </w:p>
        </w:tc>
      </w:tr>
      <w:tr>
        <w:tc>
          <w:tcPr>
            <w:tcW w:type="dxa" w:w="850"/>
            <w:shd w:val="clear" w:color="auto" w:fill="E0F0EE"/>
          </w:tcPr>
          <w:p>
            <w:pPr>
              <w:jc w:val="center"/>
            </w:pPr>
            <w:r>
              <w:rPr>
                <w:b/>
                <w:color w:val="1B2A4A"/>
                <w:sz w:val="20"/>
              </w:rPr>
            </w:r>
          </w:p>
        </w:tc>
        <w:tc>
          <w:tcPr>
            <w:tcW w:type="dxa" w:w="2551"/>
            <w:shd w:val="clear" w:color="auto" w:fill="E0F0EE"/>
          </w:tcPr>
          <w:p>
            <w:pPr>
              <w:jc w:val="left"/>
            </w:pPr>
            <w:r>
              <w:rPr>
                <w:b/>
                <w:color w:val="1B2A4A"/>
                <w:sz w:val="20"/>
              </w:rPr>
              <w:t>Total — Project Support Costs</w:t>
            </w:r>
          </w:p>
        </w:tc>
        <w:tc>
          <w:tcPr>
            <w:tcW w:type="dxa" w:w="3402"/>
            <w:shd w:val="clear" w:color="auto" w:fill="E0F0EE"/>
          </w:tcPr>
          <w:p>
            <w:pPr>
              <w:jc w:val="left"/>
            </w:pPr>
            <w:r>
              <w:rPr>
                <w:b/>
                <w:color w:val="1B2A4A"/>
                <w:sz w:val="20"/>
              </w:rPr>
            </w:r>
          </w:p>
        </w:tc>
        <w:tc>
          <w:tcPr>
            <w:tcW w:type="dxa" w:w="1417"/>
            <w:shd w:val="clear" w:color="auto" w:fill="E0F0EE"/>
          </w:tcPr>
          <w:p>
            <w:pPr>
              <w:jc w:val="right"/>
            </w:pPr>
            <w:r>
              <w:rPr>
                <w:b/>
                <w:color w:val="1B2A4A"/>
                <w:sz w:val="20"/>
              </w:rPr>
              <w:t>₹6,74,400</w:t>
            </w:r>
          </w:p>
        </w:tc>
        <w:tc>
          <w:tcPr>
            <w:tcW w:type="dxa" w:w="1134"/>
            <w:shd w:val="clear" w:color="auto" w:fill="E0F0EE"/>
          </w:tcPr>
          <w:p>
            <w:pPr>
              <w:jc w:val="right"/>
            </w:pPr>
            <w:r>
              <w:rPr>
                <w:b/>
                <w:color w:val="1B2A4A"/>
                <w:sz w:val="20"/>
              </w:rPr>
              <w:t>$9,442</w:t>
            </w:r>
          </w:p>
        </w:tc>
      </w:tr>
      <w:tr>
        <w:tc>
          <w:tcPr>
            <w:tcW w:type="dxa" w:w="850"/>
            <w:shd w:val="clear" w:color="auto" w:fill="00877A"/>
          </w:tcPr>
          <w:p>
            <w:pPr>
              <w:jc w:val="center"/>
            </w:pPr>
            <w:r>
              <w:rPr>
                <w:b/>
                <w:color w:val="FFFFFF"/>
                <w:sz w:val="20"/>
              </w:rPr>
              <w:t>C</w:t>
            </w:r>
          </w:p>
        </w:tc>
        <w:tc>
          <w:tcPr>
            <w:tcW w:type="dxa" w:w="2551"/>
            <w:shd w:val="clear" w:color="auto" w:fill="00877A"/>
          </w:tcPr>
          <w:p>
            <w:pPr>
              <w:jc w:val="left"/>
            </w:pPr>
            <w:r>
              <w:rPr>
                <w:b/>
                <w:color w:val="FFFFFF"/>
                <w:sz w:val="20"/>
              </w:rPr>
              <w:t>PERSONNEL</w:t>
            </w:r>
          </w:p>
        </w:tc>
        <w:tc>
          <w:tcPr>
            <w:tcW w:type="dxa" w:w="3402"/>
            <w:shd w:val="clear" w:color="auto" w:fill="00877A"/>
          </w:tcPr>
          <w:p>
            <w:pPr>
              <w:jc w:val="left"/>
            </w:pPr>
            <w:r>
              <w:rPr>
                <w:b/>
                <w:color w:val="FFFFFF"/>
                <w:sz w:val="20"/>
              </w:rPr>
            </w:r>
          </w:p>
        </w:tc>
        <w:tc>
          <w:tcPr>
            <w:tcW w:type="dxa" w:w="1417"/>
            <w:shd w:val="clear" w:color="auto" w:fill="00877A"/>
          </w:tcPr>
          <w:p>
            <w:pPr>
              <w:jc w:val="right"/>
            </w:pPr>
            <w:r>
              <w:rPr>
                <w:b/>
                <w:color w:val="FFFFFF"/>
                <w:sz w:val="20"/>
              </w:rPr>
            </w:r>
          </w:p>
        </w:tc>
        <w:tc>
          <w:tcPr>
            <w:tcW w:type="dxa" w:w="1134"/>
            <w:shd w:val="clear" w:color="auto" w:fill="00877A"/>
          </w:tcPr>
          <w:p>
            <w:pPr>
              <w:jc w:val="right"/>
            </w:pPr>
            <w:r>
              <w:rPr>
                <w:b/>
                <w:color w:val="FFFFFF"/>
                <w:sz w:val="20"/>
              </w:rPr>
            </w:r>
          </w:p>
        </w:tc>
      </w:tr>
      <w:tr>
        <w:tc>
          <w:tcPr>
            <w:tcW w:type="dxa" w:w="850"/>
          </w:tcPr>
          <w:p>
            <w:pPr>
              <w:jc w:val="center"/>
            </w:pPr>
            <w:r>
              <w:rPr>
                <w:color w:val="333333"/>
                <w:sz w:val="20"/>
              </w:rPr>
              <w:t>C1</w:t>
            </w:r>
          </w:p>
        </w:tc>
        <w:tc>
          <w:tcPr>
            <w:tcW w:type="dxa" w:w="2551"/>
          </w:tcPr>
          <w:p>
            <w:pPr>
              <w:jc w:val="left"/>
            </w:pPr>
            <w:r>
              <w:rPr>
                <w:color w:val="333333"/>
                <w:sz w:val="20"/>
              </w:rPr>
              <w:t>Project Manager</w:t>
            </w:r>
          </w:p>
        </w:tc>
        <w:tc>
          <w:tcPr>
            <w:tcW w:type="dxa" w:w="3402"/>
          </w:tcPr>
          <w:p>
            <w:pPr>
              <w:jc w:val="left"/>
            </w:pPr>
            <w:r>
              <w:rPr>
                <w:color w:val="333333"/>
                <w:sz w:val="20"/>
              </w:rPr>
              <w:t>Project oversight, donor reporting, coordination (50% FTE)</w:t>
            </w:r>
          </w:p>
        </w:tc>
        <w:tc>
          <w:tcPr>
            <w:tcW w:type="dxa" w:w="1417"/>
          </w:tcPr>
          <w:p>
            <w:pPr>
              <w:jc w:val="right"/>
            </w:pPr>
            <w:r>
              <w:rPr>
                <w:color w:val="333333"/>
                <w:sz w:val="20"/>
              </w:rPr>
              <w:t>₹2,55,000</w:t>
            </w:r>
          </w:p>
        </w:tc>
        <w:tc>
          <w:tcPr>
            <w:tcW w:type="dxa" w:w="1134"/>
          </w:tcPr>
          <w:p>
            <w:pPr>
              <w:jc w:val="right"/>
            </w:pPr>
            <w:r>
              <w:rPr>
                <w:color w:val="333333"/>
                <w:sz w:val="20"/>
              </w:rPr>
              <w:t>$3,570</w:t>
            </w:r>
          </w:p>
        </w:tc>
      </w:tr>
      <w:tr>
        <w:tc>
          <w:tcPr>
            <w:tcW w:type="dxa" w:w="850"/>
          </w:tcPr>
          <w:p>
            <w:pPr>
              <w:jc w:val="center"/>
            </w:pPr>
            <w:r>
              <w:rPr>
                <w:color w:val="333333"/>
                <w:sz w:val="20"/>
              </w:rPr>
              <w:t>C2</w:t>
            </w:r>
          </w:p>
        </w:tc>
        <w:tc>
          <w:tcPr>
            <w:tcW w:type="dxa" w:w="2551"/>
          </w:tcPr>
          <w:p>
            <w:pPr>
              <w:jc w:val="left"/>
            </w:pPr>
            <w:r>
              <w:rPr>
                <w:color w:val="333333"/>
                <w:sz w:val="20"/>
              </w:rPr>
              <w:t>Project Coordinator</w:t>
            </w:r>
          </w:p>
        </w:tc>
        <w:tc>
          <w:tcPr>
            <w:tcW w:type="dxa" w:w="3402"/>
          </w:tcPr>
          <w:p>
            <w:pPr>
              <w:jc w:val="left"/>
            </w:pPr>
            <w:r>
              <w:rPr>
                <w:color w:val="333333"/>
                <w:sz w:val="20"/>
              </w:rPr>
              <w:t>Community activities and field coordination (Full FTE)</w:t>
            </w:r>
          </w:p>
        </w:tc>
        <w:tc>
          <w:tcPr>
            <w:tcW w:type="dxa" w:w="1417"/>
          </w:tcPr>
          <w:p>
            <w:pPr>
              <w:jc w:val="right"/>
            </w:pPr>
            <w:r>
              <w:rPr>
                <w:color w:val="333333"/>
                <w:sz w:val="20"/>
              </w:rPr>
              <w:t>₹2,70,000</w:t>
            </w:r>
          </w:p>
        </w:tc>
        <w:tc>
          <w:tcPr>
            <w:tcW w:type="dxa" w:w="1134"/>
          </w:tcPr>
          <w:p>
            <w:pPr>
              <w:jc w:val="right"/>
            </w:pPr>
            <w:r>
              <w:rPr>
                <w:color w:val="333333"/>
                <w:sz w:val="20"/>
              </w:rPr>
              <w:t>$3,780</w:t>
            </w:r>
          </w:p>
        </w:tc>
      </w:tr>
      <w:tr>
        <w:tc>
          <w:tcPr>
            <w:tcW w:type="dxa" w:w="850"/>
          </w:tcPr>
          <w:p>
            <w:pPr>
              <w:jc w:val="center"/>
            </w:pPr>
            <w:r>
              <w:rPr>
                <w:color w:val="333333"/>
                <w:sz w:val="20"/>
              </w:rPr>
              <w:t>C3</w:t>
            </w:r>
          </w:p>
        </w:tc>
        <w:tc>
          <w:tcPr>
            <w:tcW w:type="dxa" w:w="2551"/>
          </w:tcPr>
          <w:p>
            <w:pPr>
              <w:jc w:val="left"/>
            </w:pPr>
            <w:r>
              <w:rPr>
                <w:color w:val="333333"/>
                <w:sz w:val="20"/>
              </w:rPr>
              <w:t>Community Mobiliser</w:t>
            </w:r>
          </w:p>
        </w:tc>
        <w:tc>
          <w:tcPr>
            <w:tcW w:type="dxa" w:w="3402"/>
          </w:tcPr>
          <w:p>
            <w:pPr>
              <w:jc w:val="left"/>
            </w:pPr>
            <w:r>
              <w:rPr>
                <w:color w:val="333333"/>
                <w:sz w:val="20"/>
              </w:rPr>
              <w:t>Door-to-door IEC and resident engagement (Full FTE)</w:t>
            </w:r>
          </w:p>
        </w:tc>
        <w:tc>
          <w:tcPr>
            <w:tcW w:type="dxa" w:w="1417"/>
          </w:tcPr>
          <w:p>
            <w:pPr>
              <w:jc w:val="right"/>
            </w:pPr>
            <w:r>
              <w:rPr>
                <w:color w:val="333333"/>
                <w:sz w:val="20"/>
              </w:rPr>
              <w:t>₹1,23,000</w:t>
            </w:r>
          </w:p>
        </w:tc>
        <w:tc>
          <w:tcPr>
            <w:tcW w:type="dxa" w:w="1134"/>
          </w:tcPr>
          <w:p>
            <w:pPr>
              <w:jc w:val="right"/>
            </w:pPr>
            <w:r>
              <w:rPr>
                <w:color w:val="333333"/>
                <w:sz w:val="20"/>
              </w:rPr>
              <w:t>$1,722</w:t>
            </w:r>
          </w:p>
        </w:tc>
      </w:tr>
      <w:tr>
        <w:tc>
          <w:tcPr>
            <w:tcW w:type="dxa" w:w="850"/>
            <w:shd w:val="clear" w:color="auto" w:fill="E0F0EE"/>
          </w:tcPr>
          <w:p>
            <w:pPr>
              <w:jc w:val="center"/>
            </w:pPr>
            <w:r>
              <w:rPr>
                <w:b/>
                <w:color w:val="1B2A4A"/>
                <w:sz w:val="20"/>
              </w:rPr>
            </w:r>
          </w:p>
        </w:tc>
        <w:tc>
          <w:tcPr>
            <w:tcW w:type="dxa" w:w="2551"/>
            <w:shd w:val="clear" w:color="auto" w:fill="E0F0EE"/>
          </w:tcPr>
          <w:p>
            <w:pPr>
              <w:jc w:val="left"/>
            </w:pPr>
            <w:r>
              <w:rPr>
                <w:b/>
                <w:color w:val="1B2A4A"/>
                <w:sz w:val="20"/>
              </w:rPr>
              <w:t>Total — Personnel</w:t>
            </w:r>
          </w:p>
        </w:tc>
        <w:tc>
          <w:tcPr>
            <w:tcW w:type="dxa" w:w="3402"/>
            <w:shd w:val="clear" w:color="auto" w:fill="E0F0EE"/>
          </w:tcPr>
          <w:p>
            <w:pPr>
              <w:jc w:val="left"/>
            </w:pPr>
            <w:r>
              <w:rPr>
                <w:b/>
                <w:color w:val="1B2A4A"/>
                <w:sz w:val="20"/>
              </w:rPr>
            </w:r>
          </w:p>
        </w:tc>
        <w:tc>
          <w:tcPr>
            <w:tcW w:type="dxa" w:w="1417"/>
            <w:shd w:val="clear" w:color="auto" w:fill="E0F0EE"/>
          </w:tcPr>
          <w:p>
            <w:pPr>
              <w:jc w:val="right"/>
            </w:pPr>
            <w:r>
              <w:rPr>
                <w:b/>
                <w:color w:val="1B2A4A"/>
                <w:sz w:val="20"/>
              </w:rPr>
              <w:t>₹6,48,000</w:t>
            </w:r>
          </w:p>
        </w:tc>
        <w:tc>
          <w:tcPr>
            <w:tcW w:type="dxa" w:w="1134"/>
            <w:shd w:val="clear" w:color="auto" w:fill="E0F0EE"/>
          </w:tcPr>
          <w:p>
            <w:pPr>
              <w:jc w:val="right"/>
            </w:pPr>
            <w:r>
              <w:rPr>
                <w:b/>
                <w:color w:val="1B2A4A"/>
                <w:sz w:val="20"/>
              </w:rPr>
              <w:t>$9,072</w:t>
            </w:r>
          </w:p>
        </w:tc>
      </w:tr>
      <w:tr>
        <w:tc>
          <w:tcPr>
            <w:tcW w:type="dxa" w:w="850"/>
            <w:shd w:val="clear" w:color="auto" w:fill="00877A"/>
          </w:tcPr>
          <w:p>
            <w:pPr>
              <w:jc w:val="center"/>
            </w:pPr>
            <w:r>
              <w:rPr>
                <w:b/>
                <w:color w:val="FFFFFF"/>
                <w:sz w:val="20"/>
              </w:rPr>
              <w:t>D</w:t>
            </w:r>
          </w:p>
        </w:tc>
        <w:tc>
          <w:tcPr>
            <w:tcW w:type="dxa" w:w="2551"/>
            <w:shd w:val="clear" w:color="auto" w:fill="00877A"/>
          </w:tcPr>
          <w:p>
            <w:pPr>
              <w:jc w:val="left"/>
            </w:pPr>
            <w:r>
              <w:rPr>
                <w:b/>
                <w:color w:val="FFFFFF"/>
                <w:sz w:val="20"/>
              </w:rPr>
              <w:t>ADMIN / OVERHEAD (14%)</w:t>
            </w:r>
          </w:p>
        </w:tc>
        <w:tc>
          <w:tcPr>
            <w:tcW w:type="dxa" w:w="3402"/>
            <w:shd w:val="clear" w:color="auto" w:fill="00877A"/>
          </w:tcPr>
          <w:p>
            <w:pPr>
              <w:jc w:val="left"/>
            </w:pPr>
            <w:r>
              <w:rPr>
                <w:b/>
                <w:color w:val="FFFFFF"/>
                <w:sz w:val="20"/>
              </w:rPr>
              <w:t>Organisational overheads and governance</w:t>
            </w:r>
          </w:p>
        </w:tc>
        <w:tc>
          <w:tcPr>
            <w:tcW w:type="dxa" w:w="1417"/>
            <w:shd w:val="clear" w:color="auto" w:fill="00877A"/>
          </w:tcPr>
          <w:p>
            <w:pPr>
              <w:jc w:val="right"/>
            </w:pPr>
            <w:r>
              <w:rPr>
                <w:b/>
                <w:color w:val="FFFFFF"/>
                <w:sz w:val="20"/>
              </w:rPr>
              <w:t>₹3,40,000</w:t>
            </w:r>
          </w:p>
        </w:tc>
        <w:tc>
          <w:tcPr>
            <w:tcW w:type="dxa" w:w="1134"/>
            <w:shd w:val="clear" w:color="auto" w:fill="00877A"/>
          </w:tcPr>
          <w:p>
            <w:pPr>
              <w:jc w:val="right"/>
            </w:pPr>
            <w:r>
              <w:rPr>
                <w:b/>
                <w:color w:val="FFFFFF"/>
                <w:sz w:val="20"/>
              </w:rPr>
              <w:t>$4,760</w:t>
            </w:r>
          </w:p>
        </w:tc>
      </w:tr>
      <w:tr>
        <w:tc>
          <w:tcPr>
            <w:tcW w:type="dxa" w:w="850"/>
            <w:shd w:val="clear" w:color="auto" w:fill="1B2A4A"/>
          </w:tcPr>
          <w:p>
            <w:pPr>
              <w:jc w:val="center"/>
            </w:pPr>
            <w:r>
              <w:rPr>
                <w:b/>
                <w:color w:val="FFFFFF"/>
                <w:sz w:val="20"/>
              </w:rPr>
            </w:r>
          </w:p>
        </w:tc>
        <w:tc>
          <w:tcPr>
            <w:tcW w:type="dxa" w:w="2551"/>
            <w:shd w:val="clear" w:color="auto" w:fill="1B2A4A"/>
          </w:tcPr>
          <w:p>
            <w:pPr>
              <w:jc w:val="left"/>
            </w:pPr>
            <w:r>
              <w:rPr>
                <w:b/>
                <w:color w:val="FFFFFF"/>
                <w:sz w:val="20"/>
              </w:rPr>
              <w:t>GRAND TOTAL</w:t>
            </w:r>
          </w:p>
        </w:tc>
        <w:tc>
          <w:tcPr>
            <w:tcW w:type="dxa" w:w="3402"/>
            <w:shd w:val="clear" w:color="auto" w:fill="1B2A4A"/>
          </w:tcPr>
          <w:p>
            <w:pPr>
              <w:jc w:val="left"/>
            </w:pPr>
            <w:r>
              <w:rPr>
                <w:b/>
                <w:color w:val="FFFFFF"/>
                <w:sz w:val="20"/>
              </w:rPr>
            </w:r>
          </w:p>
        </w:tc>
        <w:tc>
          <w:tcPr>
            <w:tcW w:type="dxa" w:w="1417"/>
            <w:shd w:val="clear" w:color="auto" w:fill="1B2A4A"/>
          </w:tcPr>
          <w:p>
            <w:pPr>
              <w:jc w:val="right"/>
            </w:pPr>
            <w:r>
              <w:rPr>
                <w:b/>
                <w:color w:val="FFFFFF"/>
                <w:sz w:val="20"/>
              </w:rPr>
              <w:t>₹24,42,000</w:t>
            </w:r>
          </w:p>
        </w:tc>
        <w:tc>
          <w:tcPr>
            <w:tcW w:type="dxa" w:w="1134"/>
            <w:shd w:val="clear" w:color="auto" w:fill="1B2A4A"/>
          </w:tcPr>
          <w:p>
            <w:pPr>
              <w:jc w:val="right"/>
            </w:pPr>
            <w:r>
              <w:rPr>
                <w:b/>
                <w:color w:val="FFFFFF"/>
                <w:sz w:val="20"/>
              </w:rPr>
              <w:t>$34,188</w:t>
            </w:r>
          </w:p>
        </w:tc>
      </w:tr>
    </w:tbl>
    <w:p>
      <w:r>
        <w:br w:type="page"/>
      </w:r>
    </w:p>
    <w:p>
      <w:pPr>
        <w:spacing w:before="280" w:after="80"/>
      </w:pPr>
      <w:r>
        <w:rPr>
          <w:b/>
          <w:color w:val="00877A"/>
          <w:sz w:val="30"/>
        </w:rPr>
        <w:t>Organisational Due Diligence — Waste Warriors Society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567"/>
            <w:shd w:val="clear" w:color="auto" w:fill="1B2A4A"/>
          </w:tcPr>
          <w:p>
            <w:pPr>
              <w:jc w:val="center"/>
            </w:pPr>
            <w:r>
              <w:rPr>
                <w:b/>
                <w:color w:val="FFFFFF"/>
                <w:sz w:val="20"/>
              </w:rPr>
              <w:t>S.No.</w:t>
            </w:r>
          </w:p>
        </w:tc>
        <w:tc>
          <w:tcPr>
            <w:tcW w:type="dxa" w:w="3118"/>
            <w:shd w:val="clear" w:color="auto" w:fill="1B2A4A"/>
          </w:tcPr>
          <w:p>
            <w:pPr>
              <w:jc w:val="center"/>
            </w:pPr>
            <w:r>
              <w:rPr>
                <w:b/>
                <w:color w:val="FFFFFF"/>
                <w:sz w:val="20"/>
              </w:rPr>
              <w:t>Particulars</w:t>
            </w:r>
          </w:p>
        </w:tc>
        <w:tc>
          <w:tcPr>
            <w:tcW w:type="dxa" w:w="3118"/>
            <w:shd w:val="clear" w:color="auto" w:fill="1B2A4A"/>
          </w:tcPr>
          <w:p>
            <w:pPr>
              <w:jc w:val="center"/>
            </w:pPr>
            <w:r>
              <w:rPr>
                <w:b/>
                <w:color w:val="FFFFFF"/>
                <w:sz w:val="20"/>
              </w:rPr>
              <w:t>Details / Applicable</w:t>
            </w:r>
          </w:p>
        </w:tc>
        <w:tc>
          <w:tcPr>
            <w:tcW w:type="dxa" w:w="1134"/>
            <w:shd w:val="clear" w:color="auto" w:fill="1B2A4A"/>
          </w:tcPr>
          <w:p>
            <w:pPr>
              <w:jc w:val="center"/>
            </w:pPr>
            <w:r>
              <w:rPr>
                <w:b/>
                <w:color w:val="FFFFFF"/>
                <w:sz w:val="20"/>
              </w:rPr>
              <w:t>Reg. Date</w:t>
            </w:r>
          </w:p>
        </w:tc>
        <w:tc>
          <w:tcPr>
            <w:tcW w:type="dxa" w:w="1134"/>
            <w:shd w:val="clear" w:color="auto" w:fill="1B2A4A"/>
          </w:tcPr>
          <w:p>
            <w:pPr>
              <w:jc w:val="center"/>
            </w:pPr>
            <w:r>
              <w:rPr>
                <w:b/>
                <w:color w:val="FFFFFF"/>
                <w:sz w:val="20"/>
              </w:rPr>
              <w:t>Valid Until</w:t>
            </w:r>
          </w:p>
        </w:tc>
      </w:tr>
      <w:tr>
        <w:tc>
          <w:tcPr>
            <w:tcW w:type="dxa" w:w="567"/>
            <w:shd w:val="clear" w:color="auto" w:fill="F2F7F6"/>
          </w:tcPr>
          <w:p>
            <w:pPr>
              <w:jc w:val="center"/>
            </w:pPr>
            <w:r>
              <w:rPr>
                <w:color w:val="333333"/>
                <w:sz w:val="18"/>
              </w:rPr>
              <w:t>1</w:t>
            </w:r>
          </w:p>
        </w:tc>
        <w:tc>
          <w:tcPr>
            <w:tcW w:type="dxa" w:w="3118"/>
            <w:shd w:val="clear" w:color="auto" w:fill="F2F7F6"/>
          </w:tcPr>
          <w:p>
            <w:pPr>
              <w:jc w:val="left"/>
            </w:pPr>
            <w:r>
              <w:rPr>
                <w:color w:val="333333"/>
                <w:sz w:val="18"/>
              </w:rPr>
              <w:t>NGO Registration (Societies Act 1860 – No. 243/2012-13)</w:t>
            </w:r>
          </w:p>
        </w:tc>
        <w:tc>
          <w:tcPr>
            <w:tcW w:type="dxa" w:w="3118"/>
            <w:shd w:val="clear" w:color="auto" w:fill="F2F7F6"/>
          </w:tcPr>
          <w:p>
            <w:pPr>
              <w:jc w:val="left"/>
            </w:pPr>
            <w:r>
              <w:rPr>
                <w:color w:val="333333"/>
                <w:sz w:val="18"/>
              </w:rPr>
              <w:t>Yes</w:t>
            </w:r>
          </w:p>
        </w:tc>
        <w:tc>
          <w:tcPr>
            <w:tcW w:type="dxa" w:w="1134"/>
            <w:shd w:val="clear" w:color="auto" w:fill="F2F7F6"/>
          </w:tcPr>
          <w:p>
            <w:pPr>
              <w:jc w:val="center"/>
            </w:pPr>
            <w:r>
              <w:rPr>
                <w:color w:val="333333"/>
                <w:sz w:val="18"/>
              </w:rPr>
              <w:t>17 Nov 2012</w:t>
            </w:r>
          </w:p>
        </w:tc>
        <w:tc>
          <w:tcPr>
            <w:tcW w:type="dxa" w:w="1134"/>
            <w:shd w:val="clear" w:color="auto" w:fill="F2F7F6"/>
          </w:tcPr>
          <w:p>
            <w:pPr>
              <w:jc w:val="center"/>
            </w:pPr>
            <w:r>
              <w:rPr>
                <w:color w:val="333333"/>
                <w:sz w:val="18"/>
              </w:rPr>
              <w:t>17 Nov 2027</w:t>
            </w:r>
          </w:p>
        </w:tc>
      </w:tr>
      <w:tr>
        <w:tc>
          <w:tcPr>
            <w:tcW w:type="dxa" w:w="567"/>
          </w:tcPr>
          <w:p>
            <w:pPr>
              <w:jc w:val="center"/>
            </w:pPr>
            <w:r>
              <w:rPr>
                <w:color w:val="333333"/>
                <w:sz w:val="18"/>
              </w:rPr>
              <w:t>2</w:t>
            </w:r>
          </w:p>
        </w:tc>
        <w:tc>
          <w:tcPr>
            <w:tcW w:type="dxa" w:w="3118"/>
          </w:tcPr>
          <w:p>
            <w:pPr>
              <w:jc w:val="left"/>
            </w:pPr>
            <w:r>
              <w:rPr>
                <w:color w:val="333333"/>
                <w:sz w:val="18"/>
              </w:rPr>
              <w:t>Permanent Account Number (PAN)</w:t>
            </w:r>
          </w:p>
        </w:tc>
        <w:tc>
          <w:tcPr>
            <w:tcW w:type="dxa" w:w="3118"/>
          </w:tcPr>
          <w:p>
            <w:pPr>
              <w:jc w:val="left"/>
            </w:pPr>
            <w:r>
              <w:rPr>
                <w:color w:val="333333"/>
                <w:sz w:val="18"/>
              </w:rPr>
              <w:t>Yes</w:t>
            </w:r>
          </w:p>
        </w:tc>
        <w:tc>
          <w:tcPr>
            <w:tcW w:type="dxa" w:w="1134"/>
          </w:tcPr>
          <w:p>
            <w:pPr>
              <w:jc w:val="center"/>
            </w:pPr>
            <w:r>
              <w:rPr>
                <w:color w:val="333333"/>
                <w:sz w:val="18"/>
              </w:rPr>
              <w:t>17 Nov 2012</w:t>
            </w:r>
          </w:p>
        </w:tc>
        <w:tc>
          <w:tcPr>
            <w:tcW w:type="dxa" w:w="1134"/>
          </w:tcPr>
          <w:p>
            <w:pPr>
              <w:jc w:val="center"/>
            </w:pPr>
            <w:r>
              <w:rPr>
                <w:color w:val="333333"/>
                <w:sz w:val="18"/>
              </w:rPr>
              <w:t>Perpetual</w:t>
            </w:r>
          </w:p>
        </w:tc>
      </w:tr>
      <w:tr>
        <w:tc>
          <w:tcPr>
            <w:tcW w:type="dxa" w:w="567"/>
            <w:shd w:val="clear" w:color="auto" w:fill="F2F7F6"/>
          </w:tcPr>
          <w:p>
            <w:pPr>
              <w:jc w:val="center"/>
            </w:pPr>
            <w:r>
              <w:rPr>
                <w:color w:val="333333"/>
                <w:sz w:val="18"/>
              </w:rPr>
              <w:t>3</w:t>
            </w:r>
          </w:p>
        </w:tc>
        <w:tc>
          <w:tcPr>
            <w:tcW w:type="dxa" w:w="3118"/>
            <w:shd w:val="clear" w:color="auto" w:fill="F2F7F6"/>
          </w:tcPr>
          <w:p>
            <w:pPr>
              <w:jc w:val="left"/>
            </w:pPr>
            <w:r>
              <w:rPr>
                <w:color w:val="333333"/>
                <w:sz w:val="18"/>
              </w:rPr>
              <w:t>Certificate under Section 12A (Income Tax)</w:t>
            </w:r>
          </w:p>
        </w:tc>
        <w:tc>
          <w:tcPr>
            <w:tcW w:type="dxa" w:w="3118"/>
            <w:shd w:val="clear" w:color="auto" w:fill="F2F7F6"/>
          </w:tcPr>
          <w:p>
            <w:pPr>
              <w:jc w:val="left"/>
            </w:pPr>
            <w:r>
              <w:rPr>
                <w:color w:val="333333"/>
                <w:sz w:val="18"/>
              </w:rPr>
              <w:t>Yes</w:t>
            </w:r>
          </w:p>
        </w:tc>
        <w:tc>
          <w:tcPr>
            <w:tcW w:type="dxa" w:w="1134"/>
            <w:shd w:val="clear" w:color="auto" w:fill="F2F7F6"/>
          </w:tcPr>
          <w:p>
            <w:pPr>
              <w:jc w:val="center"/>
            </w:pPr>
            <w:r>
              <w:rPr>
                <w:color w:val="333333"/>
                <w:sz w:val="18"/>
              </w:rPr>
              <w:t>02 Mar 2026</w:t>
            </w:r>
          </w:p>
        </w:tc>
        <w:tc>
          <w:tcPr>
            <w:tcW w:type="dxa" w:w="1134"/>
            <w:shd w:val="clear" w:color="auto" w:fill="F2F7F6"/>
          </w:tcPr>
          <w:p>
            <w:pPr>
              <w:jc w:val="center"/>
            </w:pPr>
            <w:r>
              <w:rPr>
                <w:color w:val="333333"/>
                <w:sz w:val="18"/>
              </w:rPr>
              <w:t>31 Mar 2036</w:t>
            </w:r>
          </w:p>
        </w:tc>
      </w:tr>
      <w:tr>
        <w:tc>
          <w:tcPr>
            <w:tcW w:type="dxa" w:w="567"/>
          </w:tcPr>
          <w:p>
            <w:pPr>
              <w:jc w:val="center"/>
            </w:pPr>
            <w:r>
              <w:rPr>
                <w:color w:val="333333"/>
                <w:sz w:val="18"/>
              </w:rPr>
              <w:t>4</w:t>
            </w:r>
          </w:p>
        </w:tc>
        <w:tc>
          <w:tcPr>
            <w:tcW w:type="dxa" w:w="3118"/>
          </w:tcPr>
          <w:p>
            <w:pPr>
              <w:jc w:val="left"/>
            </w:pPr>
            <w:r>
              <w:rPr>
                <w:color w:val="333333"/>
                <w:sz w:val="18"/>
              </w:rPr>
              <w:t>Certificate under Section 80G (Tax Exemption for Donors)</w:t>
            </w:r>
          </w:p>
        </w:tc>
        <w:tc>
          <w:tcPr>
            <w:tcW w:type="dxa" w:w="3118"/>
          </w:tcPr>
          <w:p>
            <w:pPr>
              <w:jc w:val="left"/>
            </w:pPr>
            <w:r>
              <w:rPr>
                <w:color w:val="333333"/>
                <w:sz w:val="18"/>
              </w:rPr>
              <w:t>Yes</w:t>
            </w:r>
          </w:p>
        </w:tc>
        <w:tc>
          <w:tcPr>
            <w:tcW w:type="dxa" w:w="1134"/>
          </w:tcPr>
          <w:p>
            <w:pPr>
              <w:jc w:val="center"/>
            </w:pPr>
            <w:r>
              <w:rPr>
                <w:color w:val="333333"/>
                <w:sz w:val="18"/>
              </w:rPr>
              <w:t>02 Mar 2026</w:t>
            </w:r>
          </w:p>
        </w:tc>
        <w:tc>
          <w:tcPr>
            <w:tcW w:type="dxa" w:w="1134"/>
          </w:tcPr>
          <w:p>
            <w:pPr>
              <w:jc w:val="center"/>
            </w:pPr>
            <w:r>
              <w:rPr>
                <w:color w:val="333333"/>
                <w:sz w:val="18"/>
              </w:rPr>
              <w:t>31 Mar 2031</w:t>
            </w:r>
          </w:p>
        </w:tc>
      </w:tr>
      <w:tr>
        <w:tc>
          <w:tcPr>
            <w:tcW w:type="dxa" w:w="567"/>
            <w:shd w:val="clear" w:color="auto" w:fill="F2F7F6"/>
          </w:tcPr>
          <w:p>
            <w:pPr>
              <w:jc w:val="center"/>
            </w:pPr>
            <w:r>
              <w:rPr>
                <w:color w:val="333333"/>
                <w:sz w:val="18"/>
              </w:rPr>
              <w:t>5</w:t>
            </w:r>
          </w:p>
        </w:tc>
        <w:tc>
          <w:tcPr>
            <w:tcW w:type="dxa" w:w="3118"/>
            <w:shd w:val="clear" w:color="auto" w:fill="F2F7F6"/>
          </w:tcPr>
          <w:p>
            <w:pPr>
              <w:jc w:val="left"/>
            </w:pPr>
            <w:r>
              <w:rPr>
                <w:color w:val="333333"/>
                <w:sz w:val="18"/>
              </w:rPr>
              <w:t>CSR-1 Registration (MCA Portal)</w:t>
            </w:r>
          </w:p>
        </w:tc>
        <w:tc>
          <w:tcPr>
            <w:tcW w:type="dxa" w:w="3118"/>
            <w:shd w:val="clear" w:color="auto" w:fill="F2F7F6"/>
          </w:tcPr>
          <w:p>
            <w:pPr>
              <w:jc w:val="left"/>
            </w:pPr>
            <w:r>
              <w:rPr>
                <w:color w:val="333333"/>
                <w:sz w:val="18"/>
              </w:rPr>
              <w:t>Yes</w:t>
            </w:r>
          </w:p>
        </w:tc>
        <w:tc>
          <w:tcPr>
            <w:tcW w:type="dxa" w:w="1134"/>
            <w:shd w:val="clear" w:color="auto" w:fill="F2F7F6"/>
          </w:tcPr>
          <w:p>
            <w:pPr>
              <w:jc w:val="center"/>
            </w:pPr>
            <w:r>
              <w:rPr>
                <w:color w:val="333333"/>
                <w:sz w:val="18"/>
              </w:rPr>
              <w:t>19 Apr 2021</w:t>
            </w:r>
          </w:p>
        </w:tc>
        <w:tc>
          <w:tcPr>
            <w:tcW w:type="dxa" w:w="1134"/>
            <w:shd w:val="clear" w:color="auto" w:fill="F2F7F6"/>
          </w:tcPr>
          <w:p>
            <w:pPr>
              <w:jc w:val="center"/>
            </w:pPr>
            <w:r>
              <w:rPr>
                <w:color w:val="333333"/>
                <w:sz w:val="18"/>
              </w:rPr>
              <w:t>Perpetual</w:t>
            </w:r>
          </w:p>
        </w:tc>
      </w:tr>
      <w:tr>
        <w:tc>
          <w:tcPr>
            <w:tcW w:type="dxa" w:w="567"/>
          </w:tcPr>
          <w:p>
            <w:pPr>
              <w:jc w:val="center"/>
            </w:pPr>
            <w:r>
              <w:rPr>
                <w:color w:val="333333"/>
                <w:sz w:val="18"/>
              </w:rPr>
              <w:t>6</w:t>
            </w:r>
          </w:p>
        </w:tc>
        <w:tc>
          <w:tcPr>
            <w:tcW w:type="dxa" w:w="3118"/>
          </w:tcPr>
          <w:p>
            <w:pPr>
              <w:jc w:val="left"/>
            </w:pPr>
            <w:r>
              <w:rPr>
                <w:color w:val="333333"/>
                <w:sz w:val="18"/>
              </w:rPr>
              <w:t>FCRA Registration &amp; Renewal</w:t>
            </w:r>
          </w:p>
        </w:tc>
        <w:tc>
          <w:tcPr>
            <w:tcW w:type="dxa" w:w="3118"/>
          </w:tcPr>
          <w:p>
            <w:pPr>
              <w:jc w:val="left"/>
            </w:pPr>
            <w:r>
              <w:rPr>
                <w:color w:val="333333"/>
                <w:sz w:val="18"/>
              </w:rPr>
              <w:t>Yes</w:t>
            </w:r>
          </w:p>
        </w:tc>
        <w:tc>
          <w:tcPr>
            <w:tcW w:type="dxa" w:w="1134"/>
          </w:tcPr>
          <w:p>
            <w:pPr>
              <w:jc w:val="center"/>
            </w:pPr>
            <w:r>
              <w:rPr>
                <w:color w:val="333333"/>
                <w:sz w:val="18"/>
              </w:rPr>
              <w:t>15 Nov 2017</w:t>
            </w:r>
          </w:p>
        </w:tc>
        <w:tc>
          <w:tcPr>
            <w:tcW w:type="dxa" w:w="1134"/>
          </w:tcPr>
          <w:p>
            <w:pPr>
              <w:jc w:val="center"/>
            </w:pPr>
            <w:r>
              <w:rPr>
                <w:color w:val="333333"/>
                <w:sz w:val="18"/>
              </w:rPr>
              <w:t>01 Apr 2028</w:t>
            </w:r>
          </w:p>
        </w:tc>
      </w:tr>
      <w:tr>
        <w:tc>
          <w:tcPr>
            <w:tcW w:type="dxa" w:w="567"/>
            <w:shd w:val="clear" w:color="auto" w:fill="F2F7F6"/>
          </w:tcPr>
          <w:p>
            <w:pPr>
              <w:jc w:val="center"/>
            </w:pPr>
            <w:r>
              <w:rPr>
                <w:color w:val="333333"/>
                <w:sz w:val="18"/>
              </w:rPr>
              <w:t>7</w:t>
            </w:r>
          </w:p>
        </w:tc>
        <w:tc>
          <w:tcPr>
            <w:tcW w:type="dxa" w:w="3118"/>
            <w:shd w:val="clear" w:color="auto" w:fill="F2F7F6"/>
          </w:tcPr>
          <w:p>
            <w:pPr>
              <w:jc w:val="left"/>
            </w:pPr>
            <w:r>
              <w:rPr>
                <w:color w:val="333333"/>
                <w:sz w:val="18"/>
              </w:rPr>
              <w:t>Employee Provident Fund (EPF)</w:t>
            </w:r>
          </w:p>
        </w:tc>
        <w:tc>
          <w:tcPr>
            <w:tcW w:type="dxa" w:w="3118"/>
            <w:shd w:val="clear" w:color="auto" w:fill="F2F7F6"/>
          </w:tcPr>
          <w:p>
            <w:pPr>
              <w:jc w:val="left"/>
            </w:pPr>
            <w:r>
              <w:rPr>
                <w:color w:val="333333"/>
                <w:sz w:val="18"/>
              </w:rPr>
              <w:t>Yes</w:t>
            </w:r>
          </w:p>
        </w:tc>
        <w:tc>
          <w:tcPr>
            <w:tcW w:type="dxa" w:w="1134"/>
            <w:shd w:val="clear" w:color="auto" w:fill="F2F7F6"/>
          </w:tcPr>
          <w:p>
            <w:pPr>
              <w:jc w:val="center"/>
            </w:pPr>
            <w:r>
              <w:rPr>
                <w:color w:val="333333"/>
                <w:sz w:val="18"/>
              </w:rPr>
              <w:t>27 Nov 2015</w:t>
            </w:r>
          </w:p>
        </w:tc>
        <w:tc>
          <w:tcPr>
            <w:tcW w:type="dxa" w:w="1134"/>
            <w:shd w:val="clear" w:color="auto" w:fill="F2F7F6"/>
          </w:tcPr>
          <w:p>
            <w:pPr>
              <w:jc w:val="center"/>
            </w:pPr>
            <w:r>
              <w:rPr>
                <w:color w:val="333333"/>
                <w:sz w:val="18"/>
              </w:rPr>
              <w:t>Perpetual</w:t>
            </w:r>
          </w:p>
        </w:tc>
      </w:tr>
      <w:tr>
        <w:tc>
          <w:tcPr>
            <w:tcW w:type="dxa" w:w="567"/>
          </w:tcPr>
          <w:p>
            <w:pPr>
              <w:jc w:val="center"/>
            </w:pPr>
            <w:r>
              <w:rPr>
                <w:color w:val="333333"/>
                <w:sz w:val="18"/>
              </w:rPr>
              <w:t>8</w:t>
            </w:r>
          </w:p>
        </w:tc>
        <w:tc>
          <w:tcPr>
            <w:tcW w:type="dxa" w:w="3118"/>
          </w:tcPr>
          <w:p>
            <w:pPr>
              <w:jc w:val="left"/>
            </w:pPr>
            <w:r>
              <w:rPr>
                <w:color w:val="333333"/>
                <w:sz w:val="18"/>
              </w:rPr>
              <w:t>Audited Balance Sheet (last 3 financial years)</w:t>
            </w:r>
          </w:p>
        </w:tc>
        <w:tc>
          <w:tcPr>
            <w:tcW w:type="dxa" w:w="3118"/>
          </w:tcPr>
          <w:p>
            <w:pPr>
              <w:jc w:val="left"/>
            </w:pPr>
            <w:r>
              <w:rPr>
                <w:color w:val="333333"/>
                <w:sz w:val="18"/>
              </w:rPr>
              <w:t>Yes</w:t>
            </w:r>
          </w:p>
        </w:tc>
        <w:tc>
          <w:tcPr>
            <w:tcW w:type="dxa" w:w="1134"/>
          </w:tcPr>
          <w:p>
            <w:pPr>
              <w:jc w:val="center"/>
            </w:pPr>
            <w:r>
              <w:rPr>
                <w:color w:val="333333"/>
                <w:sz w:val="18"/>
              </w:rPr>
              <w:t>Available on request</w:t>
            </w:r>
          </w:p>
        </w:tc>
        <w:tc>
          <w:tcPr>
            <w:tcW w:type="dxa" w:w="1134"/>
          </w:tcPr>
          <w:p>
            <w:pPr>
              <w:jc w:val="center"/>
            </w:pPr>
            <w:r>
              <w:rPr>
                <w:color w:val="333333"/>
                <w:sz w:val="18"/>
              </w:rPr>
              <w:t>—</w:t>
            </w:r>
          </w:p>
        </w:tc>
      </w:tr>
      <w:tr>
        <w:tc>
          <w:tcPr>
            <w:tcW w:type="dxa" w:w="567"/>
            <w:shd w:val="clear" w:color="auto" w:fill="F2F7F6"/>
          </w:tcPr>
          <w:p>
            <w:pPr>
              <w:jc w:val="center"/>
            </w:pPr>
            <w:r>
              <w:rPr>
                <w:color w:val="333333"/>
                <w:sz w:val="18"/>
              </w:rPr>
              <w:t>9</w:t>
            </w:r>
          </w:p>
        </w:tc>
        <w:tc>
          <w:tcPr>
            <w:tcW w:type="dxa" w:w="3118"/>
            <w:shd w:val="clear" w:color="auto" w:fill="F2F7F6"/>
          </w:tcPr>
          <w:p>
            <w:pPr>
              <w:jc w:val="left"/>
            </w:pPr>
            <w:r>
              <w:rPr>
                <w:color w:val="333333"/>
                <w:sz w:val="18"/>
              </w:rPr>
              <w:t>Key Donors &amp; Partners</w:t>
            </w:r>
          </w:p>
        </w:tc>
        <w:tc>
          <w:tcPr>
            <w:tcW w:type="dxa" w:w="3118"/>
            <w:shd w:val="clear" w:color="auto" w:fill="F2F7F6"/>
          </w:tcPr>
          <w:p>
            <w:pPr>
              <w:jc w:val="left"/>
            </w:pPr>
            <w:r>
              <w:rPr>
                <w:color w:val="333333"/>
                <w:sz w:val="18"/>
              </w:rPr>
              <w:t>Airbnb · MacArthur Foundation · HDFC Bank · Rohini Nilekani Philanthropies · Godrej Consumer Products · SBI Foundation · Parle Biscuits · HT Parekh Foundation · Lal Family Foundation · Make My Trip Foundation · Edelgive Foundation · Give India Foundation · Rain Matter Foundation · Ashraya Hastha Trust</w:t>
            </w:r>
          </w:p>
        </w:tc>
        <w:tc>
          <w:tcPr>
            <w:tcW w:type="dxa" w:w="1134"/>
            <w:shd w:val="clear" w:color="auto" w:fill="F2F7F6"/>
          </w:tcPr>
          <w:p>
            <w:pPr>
              <w:jc w:val="center"/>
            </w:pPr>
            <w:r>
              <w:rPr>
                <w:color w:val="333333"/>
                <w:sz w:val="18"/>
              </w:rPr>
            </w:r>
          </w:p>
        </w:tc>
        <w:tc>
          <w:tcPr>
            <w:tcW w:type="dxa" w:w="1134"/>
            <w:shd w:val="clear" w:color="auto" w:fill="F2F7F6"/>
          </w:tcPr>
          <w:p>
            <w:pPr>
              <w:jc w:val="center"/>
            </w:pPr>
            <w:r>
              <w:rPr>
                <w:color w:val="333333"/>
                <w:sz w:val="18"/>
              </w:rPr>
            </w:r>
          </w:p>
        </w:tc>
      </w:tr>
      <w:tr>
        <w:tc>
          <w:tcPr>
            <w:tcW w:type="dxa" w:w="567"/>
          </w:tcPr>
          <w:p>
            <w:pPr>
              <w:jc w:val="center"/>
            </w:pPr>
            <w:r>
              <w:rPr>
                <w:color w:val="333333"/>
                <w:sz w:val="18"/>
              </w:rPr>
              <w:t>10</w:t>
            </w:r>
          </w:p>
        </w:tc>
        <w:tc>
          <w:tcPr>
            <w:tcW w:type="dxa" w:w="3118"/>
          </w:tcPr>
          <w:p>
            <w:pPr>
              <w:jc w:val="left"/>
            </w:pPr>
            <w:r>
              <w:rPr>
                <w:color w:val="333333"/>
                <w:sz w:val="18"/>
              </w:rPr>
              <w:t>Registered Office</w:t>
            </w:r>
          </w:p>
        </w:tc>
        <w:tc>
          <w:tcPr>
            <w:tcW w:type="dxa" w:w="3118"/>
          </w:tcPr>
          <w:p>
            <w:pPr>
              <w:jc w:val="left"/>
            </w:pPr>
            <w:r>
              <w:rPr>
                <w:color w:val="333333"/>
                <w:sz w:val="18"/>
              </w:rPr>
              <w:t>136/2/2 Shivam Vihar, Jakhan, Rajpur Road, Dehradun, Uttarakhand – 248001</w:t>
            </w:r>
          </w:p>
        </w:tc>
        <w:tc>
          <w:tcPr>
            <w:tcW w:type="dxa" w:w="1134"/>
          </w:tcPr>
          <w:p>
            <w:pPr>
              <w:jc w:val="center"/>
            </w:pPr>
            <w:r>
              <w:rPr>
                <w:color w:val="333333"/>
                <w:sz w:val="18"/>
              </w:rPr>
            </w:r>
          </w:p>
        </w:tc>
        <w:tc>
          <w:tcPr>
            <w:tcW w:type="dxa" w:w="1134"/>
          </w:tcPr>
          <w:p>
            <w:pPr>
              <w:jc w:val="center"/>
            </w:pPr>
            <w:r>
              <w:rPr>
                <w:color w:val="333333"/>
                <w:sz w:val="18"/>
              </w:rPr>
            </w:r>
          </w:p>
        </w:tc>
      </w:tr>
    </w:tbl>
    <w:p>
      <w:r>
        <w:br w:type="page"/>
      </w:r>
    </w:p>
    <w:p>
      <w:pPr>
        <w:spacing w:before="600" w:after="80"/>
        <w:jc w:val="center"/>
      </w:pPr>
      <w:r>
        <w:rPr>
          <w:b/>
          <w:color w:val="1B2A4A"/>
          <w:sz w:val="32"/>
        </w:rPr>
        <w:t>OUR SINCERE GRATITUDE</w:t>
      </w:r>
    </w:p>
    <w:p>
      <w:pPr>
        <w:spacing w:after="600"/>
        <w:jc w:val="center"/>
      </w:pPr>
      <w:r>
        <w:rPr>
          <w:i/>
          <w:color w:val="333333"/>
          <w:sz w:val="24"/>
        </w:rPr>
        <w:t>for considering this proposal.</w:t>
      </w:r>
    </w:p>
    <w:p>
      <w:pPr>
        <w:spacing w:before="200" w:after="60"/>
      </w:pPr>
      <w:r>
        <w:rPr>
          <w:b/>
          <w:color w:val="1B2A4A"/>
          <w:sz w:val="24"/>
        </w:rPr>
        <w:t>For Queries &amp; Next Steps</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F2F7F6"/>
          </w:tcPr>
          <w:p>
            <w:pPr>
              <w:jc w:val="center"/>
            </w:pPr>
            <w:r>
              <w:rPr>
                <w:b/>
                <w:color w:val="1B2A4A"/>
                <w:sz w:val="22"/>
              </w:rPr>
              <w:t>Suraj Agarwal</w:t>
            </w:r>
          </w:p>
        </w:tc>
        <w:tc>
          <w:tcPr>
            <w:tcW w:type="dxa" w:w="4535"/>
            <w:shd w:val="clear" w:color="auto" w:fill="F2F7F6"/>
          </w:tcPr>
          <w:p>
            <w:pPr>
              <w:jc w:val="center"/>
            </w:pPr>
            <w:r>
              <w:rPr>
                <w:b/>
                <w:color w:val="1B2A4A"/>
                <w:sz w:val="22"/>
              </w:rPr>
              <w:t>[Lehar — Full Name]  ⚠️</w:t>
            </w:r>
          </w:p>
        </w:tc>
      </w:tr>
      <w:tr>
        <w:tc>
          <w:tcPr>
            <w:tcW w:type="dxa" w:w="4535"/>
            <w:shd w:val="clear" w:color="auto" w:fill="F2F7F6"/>
          </w:tcPr>
          <w:p>
            <w:pPr>
              <w:jc w:val="center"/>
            </w:pPr>
            <w:r>
              <w:rPr>
                <w:b w:val="0"/>
                <w:color w:val="333333"/>
                <w:sz w:val="22"/>
              </w:rPr>
              <w:t>Associate Director, Partnerships &amp; Growth</w:t>
            </w:r>
          </w:p>
        </w:tc>
        <w:tc>
          <w:tcPr>
            <w:tcW w:type="dxa" w:w="4535"/>
            <w:shd w:val="clear" w:color="auto" w:fill="F2F7F6"/>
          </w:tcPr>
          <w:p>
            <w:pPr>
              <w:jc w:val="center"/>
            </w:pPr>
            <w:r>
              <w:rPr>
                <w:b w:val="0"/>
                <w:color w:val="333333"/>
                <w:sz w:val="22"/>
              </w:rPr>
              <w:t>[Designation]</w:t>
            </w:r>
          </w:p>
        </w:tc>
      </w:tr>
      <w:tr>
        <w:tc>
          <w:tcPr>
            <w:tcW w:type="dxa" w:w="4535"/>
            <w:shd w:val="clear" w:color="auto" w:fill="F2F7F6"/>
          </w:tcPr>
          <w:p>
            <w:pPr>
              <w:jc w:val="center"/>
            </w:pPr>
            <w:r>
              <w:rPr>
                <w:b w:val="0"/>
                <w:color w:val="00877A"/>
                <w:sz w:val="22"/>
              </w:rPr>
              <w:t>Waste Warriors Society</w:t>
            </w:r>
          </w:p>
        </w:tc>
        <w:tc>
          <w:tcPr>
            <w:tcW w:type="dxa" w:w="4535"/>
            <w:shd w:val="clear" w:color="auto" w:fill="F2F7F6"/>
          </w:tcPr>
          <w:p>
            <w:pPr>
              <w:jc w:val="center"/>
            </w:pPr>
            <w:r>
              <w:rPr>
                <w:b w:val="0"/>
                <w:color w:val="00877A"/>
                <w:sz w:val="22"/>
              </w:rPr>
              <w:t>Waste Warriors Society</w:t>
            </w:r>
          </w:p>
        </w:tc>
      </w:tr>
      <w:tr>
        <w:tc>
          <w:tcPr>
            <w:tcW w:type="dxa" w:w="4535"/>
            <w:shd w:val="clear" w:color="auto" w:fill="F2F7F6"/>
          </w:tcPr>
          <w:p>
            <w:pPr>
              <w:jc w:val="center"/>
            </w:pPr>
            <w:r>
              <w:rPr>
                <w:b w:val="0"/>
                <w:color w:val="00877A"/>
                <w:sz w:val="22"/>
              </w:rPr>
              <w:t>suraj.agarwal@wastewarriors.org</w:t>
            </w:r>
          </w:p>
        </w:tc>
        <w:tc>
          <w:tcPr>
            <w:tcW w:type="dxa" w:w="4535"/>
            <w:shd w:val="clear" w:color="auto" w:fill="F2F7F6"/>
          </w:tcPr>
          <w:p>
            <w:pPr>
              <w:jc w:val="center"/>
            </w:pPr>
            <w:r>
              <w:rPr>
                <w:b w:val="0"/>
                <w:color w:val="00877A"/>
                <w:sz w:val="22"/>
              </w:rPr>
              <w:t>[lehar.xxx@wastewarriors.org]</w:t>
            </w:r>
          </w:p>
        </w:tc>
      </w:tr>
    </w:tbl>
    <w:p>
      <w:pPr>
        <w:spacing w:before="320" w:after="80"/>
        <w:jc w:val="center"/>
      </w:pPr>
      <w:r>
        <w:rPr>
          <w:color w:val="333333"/>
          <w:sz w:val="20"/>
        </w:rPr>
        <w:t>136/2/2 Shivam Vihar, Jakhan, Rajpur Road, Dehradun, Uttarakhand – 248001</w:t>
      </w:r>
    </w:p>
    <w:p>
      <w:pPr>
        <w:spacing w:after="80"/>
        <w:jc w:val="center"/>
      </w:pPr>
      <w:r>
        <w:rPr>
          <w:color w:val="00877A"/>
          <w:sz w:val="20"/>
        </w:rPr>
        <w:t>+91 75057 63049  ·  partnerships@wastewarriors.org  ·  www.wastewarriors.org</w:t>
      </w:r>
    </w:p>
    <w:p>
      <w:pPr>
        <w:jc w:val="center"/>
      </w:pPr>
      <w:r>
        <w:rPr>
          <w:i/>
          <w:color w:val="333333"/>
          <w:sz w:val="18"/>
        </w:rPr>
        <w:t>Registered under Societies Registration Act 1860, No. 243/2012-2013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