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p>
    <w:p>
      <w:pPr>
        <w:spacing w:before="0" w:after="40"/>
        <w:jc w:val="center"/>
      </w:pPr>
      <w:r>
        <w:rPr>
          <w:rFonts w:ascii="Calibri" w:hAnsi="Calibri"/>
          <w:b/>
          <w:i w:val="0"/>
          <w:caps w:val="true"/>
          <w:color w:val="B55A2A"/>
          <w:sz w:val="22"/>
        </w:rPr>
        <w:t>PROJECT PROPOSAL</w:t>
      </w:r>
    </w:p>
    <w:p>
      <w:pPr>
        <w:spacing w:before="0" w:after="40"/>
        <w:jc w:val="center"/>
      </w:pPr>
      <w:r>
        <w:rPr>
          <w:rFonts w:ascii="Calibri" w:hAnsi="Calibri"/>
          <w:b w:val="0"/>
          <w:i w:val="0"/>
          <w:color w:val="555555"/>
          <w:sz w:val="20"/>
        </w:rPr>
        <w:t>FY 2026–27</w:t>
      </w:r>
    </w:p>
    <w:p>
      <w:pPr>
        <w:spacing w:after="28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420" w:type="dxa"/>
              <w:bottom w:w="300" w:type="dxa"/>
              <w:start w:w="200" w:type="dxa"/>
              <w:end w:w="200" w:type="dxa"/>
            </w:tcMar>
            <w:vAlign w:val="center"/>
          </w:tcPr>
          <w:p>
            <w:pPr>
              <w:spacing w:after="40"/>
              <w:jc w:val="center"/>
            </w:pPr>
            <w:r>
              <w:rPr>
                <w:rFonts w:ascii="Calibri" w:hAnsi="Calibri"/>
                <w:b/>
                <w:i w:val="0"/>
                <w:color w:val="FFFFFF"/>
                <w:sz w:val="80"/>
              </w:rPr>
              <w:t>MITTI SE MITTI</w:t>
            </w:r>
          </w:p>
          <w:p>
            <w:pPr>
              <w:spacing w:after="0" w:before="40"/>
              <w:jc w:val="center"/>
            </w:pPr>
            <w:r>
              <w:rPr>
                <w:rFonts w:ascii="Calibri" w:hAnsi="Calibri"/>
                <w:b w:val="0"/>
                <w:i/>
                <w:color w:val="D8E8D4"/>
                <w:sz w:val="24"/>
              </w:rPr>
              <w:t>कचरे से खाद, खाद से समृद्धि</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B55A2A"/>
            <w:tcMar>
              <w:top w:w="120" w:type="dxa"/>
              <w:bottom w:w="120" w:type="dxa"/>
              <w:start w:w="200" w:type="dxa"/>
              <w:end w:w="200" w:type="dxa"/>
            </w:tcMar>
          </w:tcPr>
          <w:p>
            <w:pPr>
              <w:spacing w:after="0"/>
              <w:jc w:val="center"/>
            </w:pPr>
            <w:r>
              <w:rPr>
                <w:rFonts w:ascii="Calibri" w:hAnsi="Calibri"/>
                <w:b/>
                <w:i w:val="0"/>
                <w:color w:val="FFFFFF"/>
                <w:sz w:val="24"/>
              </w:rPr>
              <w:t>From Soil to Soil — Composting Wet Waste into Livelihoods on the Edge of Corbett Tiger Reserve</w:t>
            </w:r>
          </w:p>
        </w:tc>
      </w:tr>
    </w:tbl>
    <w:p>
      <w:pPr>
        <w:spacing w:after="360" w:before="0"/>
      </w:pPr>
    </w:p>
    <w:p>
      <w:pPr>
        <w:spacing w:before="0" w:after="60"/>
        <w:jc w:val="center"/>
      </w:pPr>
      <w:r>
        <w:rPr>
          <w:rFonts w:ascii="Calibri" w:hAnsi="Calibri"/>
          <w:b/>
          <w:i w:val="0"/>
          <w:color w:val="1B5E20"/>
          <w:sz w:val="22"/>
        </w:rPr>
        <w:t>Himmatpur Dotiyal  •  Eastern Periphery of Corbett Tiger Reserve</w:t>
      </w:r>
    </w:p>
    <w:p>
      <w:pPr>
        <w:spacing w:before="0" w:after="60"/>
        <w:jc w:val="center"/>
      </w:pPr>
      <w:r>
        <w:rPr>
          <w:rFonts w:ascii="Calibri" w:hAnsi="Calibri"/>
          <w:b w:val="0"/>
          <w:i w:val="0"/>
          <w:color w:val="555555"/>
          <w:sz w:val="21"/>
        </w:rPr>
        <w:t>Ramnagar, District Nainital, Uttarakhand</w:t>
      </w:r>
    </w:p>
    <w:p>
      <w:pPr>
        <w:spacing w:after="60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06"/>
            <w:shd w:val="clear" w:color="auto" w:fill="F4EEE3"/>
            <w:tcMar>
              <w:top w:w="120" w:type="dxa"/>
              <w:bottom w:w="120" w:type="dxa"/>
              <w:start w:w="160" w:type="dxa"/>
              <w:end w:w="160" w:type="dxa"/>
            </w:tcMar>
          </w:tcPr>
          <w:p>
            <w:pPr>
              <w:spacing w:after="40"/>
            </w:pPr>
            <w:r>
              <w:rPr>
                <w:rFonts w:ascii="Calibri" w:hAnsi="Calibri"/>
                <w:b/>
                <w:i w:val="0"/>
                <w:caps w:val="true"/>
                <w:color w:val="B55A2A"/>
                <w:sz w:val="18"/>
              </w:rPr>
              <w:t>SUBMITTED TO</w:t>
            </w:r>
          </w:p>
          <w:p>
            <w:pPr>
              <w:spacing w:after="0"/>
            </w:pPr>
            <w:r>
              <w:rPr>
                <w:rFonts w:ascii="Calibri" w:hAnsi="Calibri"/>
                <w:b/>
                <w:i w:val="0"/>
                <w:color w:val="2B2B2B"/>
                <w:sz w:val="24"/>
              </w:rPr>
              <w:t>Eicher Group Foundation</w:t>
            </w:r>
          </w:p>
        </w:tc>
        <w:tc>
          <w:tcPr>
            <w:tcW w:type="dxa" w:w="4706"/>
            <w:shd w:val="clear" w:color="auto" w:fill="E8F1E5"/>
            <w:tcMar>
              <w:top w:w="120" w:type="dxa"/>
              <w:bottom w:w="120" w:type="dxa"/>
              <w:start w:w="160" w:type="dxa"/>
              <w:end w:w="160" w:type="dxa"/>
            </w:tcMar>
          </w:tcPr>
          <w:p>
            <w:pPr>
              <w:spacing w:after="40"/>
            </w:pPr>
            <w:r>
              <w:rPr>
                <w:rFonts w:ascii="Calibri" w:hAnsi="Calibri"/>
                <w:b/>
                <w:i w:val="0"/>
                <w:caps w:val="true"/>
                <w:color w:val="1B5E20"/>
                <w:sz w:val="18"/>
              </w:rPr>
              <w:t>SUBMITTED BY</w:t>
            </w:r>
          </w:p>
          <w:p>
            <w:pPr>
              <w:spacing w:after="0"/>
            </w:pPr>
            <w:r>
              <w:rPr>
                <w:rFonts w:ascii="Calibri" w:hAnsi="Calibri"/>
                <w:b/>
                <w:i w:val="0"/>
                <w:color w:val="2B2B2B"/>
                <w:sz w:val="24"/>
              </w:rPr>
              <w:t>Waste Warriors Society</w:t>
            </w:r>
          </w:p>
          <w:p>
            <w:pPr>
              <w:spacing w:after="0"/>
            </w:pPr>
            <w:r>
              <w:rPr>
                <w:rFonts w:ascii="Calibri" w:hAnsi="Calibri"/>
                <w:b w:val="0"/>
                <w:i w:val="0"/>
                <w:color w:val="555555"/>
                <w:sz w:val="18"/>
              </w:rPr>
              <w:t>www.wastewarriors.org</w:t>
            </w:r>
          </w:p>
        </w:tc>
      </w:tr>
    </w:tbl>
    <w:p>
      <w:pPr>
        <w:spacing w:after="160" w:before="0"/>
      </w:pPr>
    </w:p>
    <w:p>
      <w:pPr>
        <w:spacing w:before="0" w:after="0"/>
        <w:jc w:val="center"/>
      </w:pPr>
      <w:r>
        <w:rPr>
          <w:rFonts w:ascii="Calibri" w:hAnsi="Calibri"/>
          <w:b w:val="0"/>
          <w:i/>
          <w:color w:val="555555"/>
          <w:sz w:val="20"/>
        </w:rPr>
        <w:t>Project Duration: 3 Months   |   Total Outlay: ₹2,75,420</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Executive Summary</w:t>
            </w:r>
          </w:p>
        </w:tc>
      </w:tr>
    </w:tbl>
    <w:p>
      <w:pPr>
        <w:spacing w:after="40"/>
      </w:pPr>
    </w:p>
    <w:p>
      <w:pPr>
        <w:spacing w:before="0" w:after="120" w:line="283" w:lineRule="auto"/>
        <w:jc w:val="both"/>
      </w:pPr>
      <w:r>
        <w:rPr>
          <w:rFonts w:ascii="Calibri" w:hAnsi="Calibri"/>
          <w:b w:val="0"/>
          <w:i w:val="0"/>
          <w:color w:val="2B2B2B"/>
          <w:sz w:val="21"/>
        </w:rPr>
        <w:t>On the eastern periphery of Corbett Tiger Reserve, one of India’s most celebrated wildlife landscapes, a quiet crisis is unfolding. The region now generates nearly 42 metric tonnes of waste every single day — driven by booming tourism, changing rural lifestyles, and rising consumption of plastic and packaged goods. A large share of this is wet (organic) waste that, left unmanaged, rots in the open, pollutes rivers, attracts wildlife into conflict, and erodes the very ecosystem that makes Corbett extraordinary.</w:t>
      </w:r>
    </w:p>
    <w:p>
      <w:pPr>
        <w:spacing w:before="0" w:after="120" w:line="283" w:lineRule="auto"/>
        <w:jc w:val="both"/>
      </w:pPr>
      <w:r>
        <w:rPr>
          <w:rFonts w:ascii="Calibri" w:hAnsi="Calibri"/>
          <w:b w:val="0"/>
          <w:i w:val="0"/>
          <w:color w:val="2B2B2B"/>
          <w:sz w:val="21"/>
        </w:rPr>
        <w:t>Waste Warriors Society proposes “Mitti Se Mitti” — a 3-month, women-led initiative that closes the loop on wet waste by converting it into compost at our Material Recovery Facility in Himmatpur Dotiyal, while building awareness, strengthening source segregation, and expanding the livelihoods of the Paryavaran Sakhis — the 25 women entrepreneurs who lead waste management across the region. The name says it all: from the soil it came, to the soil it returns.</w:t>
      </w:r>
    </w:p>
    <w:p>
      <w:pPr>
        <w:spacing w:before="160" w:after="60"/>
      </w:pPr>
      <w:r>
        <w:rPr>
          <w:rFonts w:ascii="Calibri" w:hAnsi="Calibri"/>
          <w:b/>
          <w:i w:val="0"/>
          <w:color w:val="1B5E20"/>
          <w:sz w:val="23"/>
        </w:rPr>
        <w:t>What this project will deliver in 3 months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3137"/>
        <w:gridCol w:w="3137"/>
        <w:gridCol w:w="3137"/>
      </w:tblGrid>
      <w:tr>
        <w:tc>
          <w:tcPr>
            <w:tcW w:type="dxa" w:w="3137"/>
            <w:shd w:val="clear" w:color="auto" w:fill="E8F1E5"/>
            <w:tcMar>
              <w:top w:w="130" w:type="dxa"/>
              <w:bottom w:w="130" w:type="dxa"/>
              <w:start w:w="80" w:type="dxa"/>
              <w:end w:w="80" w:type="dxa"/>
            </w:tcMar>
            <w:vAlign w:val="center"/>
          </w:tcPr>
          <w:p>
            <w:pPr>
              <w:spacing w:after="20"/>
              <w:jc w:val="center"/>
            </w:pPr>
            <w:r>
              <w:rPr>
                <w:rFonts w:ascii="Calibri" w:hAnsi="Calibri"/>
                <w:b/>
                <w:i w:val="0"/>
                <w:color w:val="1B5E20"/>
                <w:sz w:val="40"/>
              </w:rPr>
              <w:t>18,000 kg</w:t>
            </w:r>
          </w:p>
          <w:p>
            <w:pPr>
              <w:spacing w:before="0" w:after="0"/>
              <w:jc w:val="center"/>
            </w:pPr>
            <w:r>
              <w:rPr>
                <w:rFonts w:ascii="Calibri" w:hAnsi="Calibri"/>
                <w:b w:val="0"/>
                <w:i w:val="0"/>
                <w:caps w:val="true"/>
                <w:color w:val="555555"/>
                <w:sz w:val="17"/>
              </w:rPr>
              <w:t>Wet Waste Processed into Compost</w:t>
            </w:r>
          </w:p>
        </w:tc>
        <w:tc>
          <w:tcPr>
            <w:tcW w:type="dxa" w:w="3137"/>
            <w:shd w:val="clear" w:color="auto" w:fill="E8F1E5"/>
            <w:tcMar>
              <w:top w:w="130" w:type="dxa"/>
              <w:bottom w:w="130" w:type="dxa"/>
              <w:start w:w="80" w:type="dxa"/>
              <w:end w:w="80" w:type="dxa"/>
            </w:tcMar>
            <w:vAlign w:val="center"/>
          </w:tcPr>
          <w:p>
            <w:pPr>
              <w:spacing w:after="20"/>
              <w:jc w:val="center"/>
            </w:pPr>
            <w:r>
              <w:rPr>
                <w:rFonts w:ascii="Calibri" w:hAnsi="Calibri"/>
                <w:b/>
                <w:i w:val="0"/>
                <w:color w:val="1B5E20"/>
                <w:sz w:val="40"/>
              </w:rPr>
              <w:t>6</w:t>
            </w:r>
          </w:p>
          <w:p>
            <w:pPr>
              <w:spacing w:before="0" w:after="0"/>
              <w:jc w:val="center"/>
            </w:pPr>
            <w:r>
              <w:rPr>
                <w:rFonts w:ascii="Calibri" w:hAnsi="Calibri"/>
                <w:b w:val="0"/>
                <w:i w:val="0"/>
                <w:caps w:val="true"/>
                <w:color w:val="555555"/>
                <w:sz w:val="17"/>
              </w:rPr>
              <w:t>Paryavaran Sakhis Trained</w:t>
            </w:r>
          </w:p>
        </w:tc>
        <w:tc>
          <w:tcPr>
            <w:tcW w:type="dxa" w:w="3137"/>
            <w:shd w:val="clear" w:color="auto" w:fill="E8F1E5"/>
            <w:tcMar>
              <w:top w:w="130" w:type="dxa"/>
              <w:bottom w:w="130" w:type="dxa"/>
              <w:start w:w="80" w:type="dxa"/>
              <w:end w:w="80" w:type="dxa"/>
            </w:tcMar>
            <w:vAlign w:val="center"/>
          </w:tcPr>
          <w:p>
            <w:pPr>
              <w:spacing w:after="20"/>
              <w:jc w:val="center"/>
            </w:pPr>
            <w:r>
              <w:rPr>
                <w:rFonts w:ascii="Calibri" w:hAnsi="Calibri"/>
                <w:b/>
                <w:i w:val="0"/>
                <w:color w:val="1B5E20"/>
                <w:sz w:val="40"/>
              </w:rPr>
              <w:t>18</w:t>
            </w:r>
          </w:p>
          <w:p>
            <w:pPr>
              <w:spacing w:before="0" w:after="0"/>
              <w:jc w:val="center"/>
            </w:pPr>
            <w:r>
              <w:rPr>
                <w:rFonts w:ascii="Calibri" w:hAnsi="Calibri"/>
                <w:b w:val="0"/>
                <w:i w:val="0"/>
                <w:caps w:val="true"/>
                <w:color w:val="555555"/>
                <w:sz w:val="17"/>
              </w:rPr>
              <w:t>Awareness &amp; Stakeholder Engagements</w:t>
            </w:r>
          </w:p>
        </w:tc>
      </w:tr>
    </w:tbl>
    <w:p>
      <w:pPr>
        <w:spacing w:after="40"/>
      </w:pPr>
    </w:p>
    <w:p>
      <w:pPr>
        <w:spacing w:before="0" w:after="80" w:line="283" w:lineRule="auto"/>
        <w:jc w:val="both"/>
      </w:pPr>
      <w:r>
        <w:rPr>
          <w:rFonts w:ascii="Calibri" w:hAnsi="Calibri"/>
          <w:b w:val="0"/>
          <w:i w:val="0"/>
          <w:color w:val="2B2B2B"/>
          <w:sz w:val="21"/>
        </w:rPr>
        <w:t>With a focused investment of ₹2,75,420, the Eicher Group Foundation can help turn an environmental liability into a circular, dignified, and replicable model of rural waste management — protecting Corbett’s forests and rivers while creating sustainable incomes for local women.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About Waste Warriors Society</w:t>
            </w:r>
          </w:p>
        </w:tc>
      </w:tr>
    </w:tbl>
    <w:p>
      <w:pPr>
        <w:spacing w:after="40"/>
      </w:pPr>
    </w:p>
    <w:p>
      <w:pPr>
        <w:spacing w:before="0" w:after="120" w:line="283" w:lineRule="auto"/>
        <w:jc w:val="both"/>
      </w:pPr>
      <w:r>
        <w:rPr>
          <w:rFonts w:ascii="Calibri" w:hAnsi="Calibri"/>
          <w:b w:val="0"/>
          <w:i w:val="0"/>
          <w:color w:val="2B2B2B"/>
          <w:sz w:val="21"/>
        </w:rPr>
        <w:t>Waste Warriors Society (WWS) is a non-profit organisation catalysing systemic change to solve the waste management crisis of the Indian Himalayan Region. Our work lies at the intersection of Climate Change, Biodiversity &amp; Habitat Conservation, and Livelihood Generation. We enable better governance, address infrastructure and policy gaps, and activate communities to co-create lasting solutions. In November 2025, Waste Warriors marked 13 years of service to the mountains.</w:t>
      </w:r>
    </w:p>
    <w:p>
      <w:pPr>
        <w:spacing w:before="160" w:after="60"/>
      </w:pPr>
      <w:r>
        <w:rPr>
          <w:rFonts w:ascii="Calibri" w:hAnsi="Calibri"/>
          <w:b/>
          <w:i w:val="0"/>
          <w:color w:val="1B5E20"/>
          <w:sz w:val="23"/>
        </w:rPr>
        <w:t>Our Impact Since 2012</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3137"/>
        <w:gridCol w:w="3137"/>
        <w:gridCol w:w="3137"/>
      </w:tblGrid>
      <w:tr>
        <w:tc>
          <w:tcPr>
            <w:tcW w:type="dxa" w:w="3137"/>
            <w:shd w:val="clear" w:color="auto" w:fill="F4EEE3"/>
            <w:tcMar>
              <w:top w:w="130" w:type="dxa"/>
              <w:bottom w:w="130" w:type="dxa"/>
              <w:start w:w="80" w:type="dxa"/>
              <w:end w:w="80" w:type="dxa"/>
            </w:tcMar>
            <w:vAlign w:val="center"/>
          </w:tcPr>
          <w:p>
            <w:pPr>
              <w:spacing w:after="20"/>
              <w:jc w:val="center"/>
            </w:pPr>
            <w:r>
              <w:rPr>
                <w:rFonts w:ascii="Calibri" w:hAnsi="Calibri"/>
                <w:b/>
                <w:i w:val="0"/>
                <w:color w:val="B55A2A"/>
                <w:sz w:val="40"/>
              </w:rPr>
              <w:t>4,50,000+</w:t>
            </w:r>
          </w:p>
          <w:p>
            <w:pPr>
              <w:spacing w:before="0" w:after="0"/>
              <w:jc w:val="center"/>
            </w:pPr>
            <w:r>
              <w:rPr>
                <w:rFonts w:ascii="Calibri" w:hAnsi="Calibri"/>
                <w:b w:val="0"/>
                <w:i w:val="0"/>
                <w:caps w:val="true"/>
                <w:color w:val="555555"/>
                <w:sz w:val="17"/>
              </w:rPr>
              <w:t>People Engaged on Waste Awareness</w:t>
            </w:r>
          </w:p>
        </w:tc>
        <w:tc>
          <w:tcPr>
            <w:tcW w:type="dxa" w:w="3137"/>
            <w:shd w:val="clear" w:color="auto" w:fill="F4EEE3"/>
            <w:tcMar>
              <w:top w:w="130" w:type="dxa"/>
              <w:bottom w:w="130" w:type="dxa"/>
              <w:start w:w="80" w:type="dxa"/>
              <w:end w:w="80" w:type="dxa"/>
            </w:tcMar>
            <w:vAlign w:val="center"/>
          </w:tcPr>
          <w:p>
            <w:pPr>
              <w:spacing w:after="20"/>
              <w:jc w:val="center"/>
            </w:pPr>
            <w:r>
              <w:rPr>
                <w:rFonts w:ascii="Calibri" w:hAnsi="Calibri"/>
                <w:b/>
                <w:i w:val="0"/>
                <w:color w:val="B55A2A"/>
                <w:sz w:val="40"/>
              </w:rPr>
              <w:t>8,500+ MT</w:t>
            </w:r>
          </w:p>
          <w:p>
            <w:pPr>
              <w:spacing w:before="0" w:after="0"/>
              <w:jc w:val="center"/>
            </w:pPr>
            <w:r>
              <w:rPr>
                <w:rFonts w:ascii="Calibri" w:hAnsi="Calibri"/>
                <w:b w:val="0"/>
                <w:i w:val="0"/>
                <w:caps w:val="true"/>
                <w:color w:val="555555"/>
                <w:sz w:val="17"/>
              </w:rPr>
              <w:t>Waste Collected from Himalayan Ecosystems</w:t>
            </w:r>
          </w:p>
        </w:tc>
        <w:tc>
          <w:tcPr>
            <w:tcW w:type="dxa" w:w="3137"/>
            <w:shd w:val="clear" w:color="auto" w:fill="F4EEE3"/>
            <w:tcMar>
              <w:top w:w="130" w:type="dxa"/>
              <w:bottom w:w="130" w:type="dxa"/>
              <w:start w:w="80" w:type="dxa"/>
              <w:end w:w="80" w:type="dxa"/>
            </w:tcMar>
            <w:vAlign w:val="center"/>
          </w:tcPr>
          <w:p>
            <w:pPr>
              <w:spacing w:after="20"/>
              <w:jc w:val="center"/>
            </w:pPr>
            <w:r>
              <w:rPr>
                <w:rFonts w:ascii="Calibri" w:hAnsi="Calibri"/>
                <w:b/>
                <w:i w:val="0"/>
                <w:color w:val="B55A2A"/>
                <w:sz w:val="40"/>
              </w:rPr>
              <w:t>1,200+</w:t>
            </w:r>
          </w:p>
          <w:p>
            <w:pPr>
              <w:spacing w:before="0" w:after="0"/>
              <w:jc w:val="center"/>
            </w:pPr>
            <w:r>
              <w:rPr>
                <w:rFonts w:ascii="Calibri" w:hAnsi="Calibri"/>
                <w:b w:val="0"/>
                <w:i w:val="0"/>
                <w:caps w:val="true"/>
                <w:color w:val="555555"/>
                <w:sz w:val="17"/>
              </w:rPr>
              <w:t>Waste Workers Onboarded &amp; Trained</w:t>
            </w:r>
          </w:p>
        </w:tc>
      </w:tr>
    </w:tbl>
    <w:p>
      <w:pPr>
        <w:spacing w:after="40"/>
      </w:pPr>
    </w:p>
    <w:p>
      <w:pPr>
        <w:spacing w:before="160" w:after="60"/>
      </w:pPr>
      <w:r>
        <w:rPr>
          <w:rFonts w:ascii="Calibri" w:hAnsi="Calibri"/>
          <w:b/>
          <w:i w:val="0"/>
          <w:color w:val="1B5E20"/>
          <w:sz w:val="23"/>
        </w:rPr>
        <w:t>Recent Recognition</w:t>
      </w:r>
    </w:p>
    <w:p>
      <w:pPr>
        <w:pStyle w:val="ListBullet"/>
        <w:spacing w:after="60" w:line="269" w:lineRule="auto"/>
        <w:ind w:left="403"/>
      </w:pPr>
      <w:r>
        <w:rPr>
          <w:rFonts w:ascii="Calibri" w:hAnsi="Calibri"/>
          <w:b/>
          <w:i w:val="0"/>
          <w:color w:val="1B5E20"/>
          <w:sz w:val="21"/>
        </w:rPr>
        <w:t xml:space="preserve">Largest Mountain Cleanup 2025: 8,492 </w:t>
      </w:r>
      <w:r>
        <w:rPr>
          <w:rFonts w:ascii="Calibri" w:hAnsi="Calibri"/>
          <w:b w:val="0"/>
          <w:i w:val="0"/>
          <w:color w:val="2B2B2B"/>
          <w:sz w:val="21"/>
        </w:rPr>
        <w:t>volunteers mobilised across 101 locations to remove 18,600 kg of waste in just one hour on World Environment Day 2025 — a feat certified as a World Record by the World Records Union, USA.</w:t>
      </w:r>
    </w:p>
    <w:p>
      <w:pPr>
        <w:pStyle w:val="ListBullet"/>
        <w:spacing w:after="60" w:line="269" w:lineRule="auto"/>
        <w:ind w:left="403"/>
      </w:pPr>
      <w:r>
        <w:rPr>
          <w:rFonts w:ascii="Calibri" w:hAnsi="Calibri"/>
          <w:b/>
          <w:i w:val="0"/>
          <w:color w:val="1B5E20"/>
          <w:sz w:val="21"/>
        </w:rPr>
        <w:t xml:space="preserve">Strategic MoU </w:t>
      </w:r>
      <w:r>
        <w:rPr>
          <w:rFonts w:ascii="Calibri" w:hAnsi="Calibri"/>
          <w:b w:val="0"/>
          <w:i w:val="0"/>
          <w:color w:val="2B2B2B"/>
          <w:sz w:val="21"/>
        </w:rPr>
        <w:t>with the Rural Development Department of Himachal Pradesh as State Partner for Solid Waste Management for the next 3 years.</w:t>
      </w:r>
    </w:p>
    <w:p>
      <w:pPr>
        <w:pStyle w:val="ListBullet"/>
        <w:spacing w:after="60" w:line="269" w:lineRule="auto"/>
        <w:ind w:left="403"/>
      </w:pPr>
      <w:r>
        <w:rPr>
          <w:rFonts w:ascii="Calibri" w:hAnsi="Calibri"/>
          <w:b/>
          <w:i w:val="0"/>
          <w:color w:val="1B5E20"/>
          <w:sz w:val="21"/>
        </w:rPr>
        <w:t xml:space="preserve">Multiple honours, </w:t>
      </w:r>
      <w:r>
        <w:rPr>
          <w:rFonts w:ascii="Calibri" w:hAnsi="Calibri"/>
          <w:b w:val="0"/>
          <w:i w:val="0"/>
          <w:color w:val="2B2B2B"/>
          <w:sz w:val="21"/>
        </w:rPr>
        <w:t>including the Climate Action &amp; Sustainability Awards and two awards at the ISWA World Congress.</w:t>
      </w:r>
    </w:p>
    <w:p>
      <w:pPr>
        <w:spacing w:before="0" w:after="80" w:line="283" w:lineRule="auto"/>
        <w:jc w:val="both"/>
      </w:pPr>
      <w:r>
        <w:rPr>
          <w:rFonts w:ascii="Calibri" w:hAnsi="Calibri"/>
          <w:b w:val="0"/>
          <w:i w:val="0"/>
          <w:color w:val="2B2B2B"/>
          <w:sz w:val="21"/>
        </w:rPr>
        <w:t>Waste Warriors Society is registered under the Indian Societies Act and holds valid 12A, 80G, CSR-1, and FCRA registrations — ensuring full compliance and transparency for institutional partners.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The Context: Corbett Tiger Reserve, Nainital</w:t>
            </w:r>
          </w:p>
        </w:tc>
      </w:tr>
    </w:tbl>
    <w:p>
      <w:pPr>
        <w:spacing w:after="40"/>
      </w:pPr>
    </w:p>
    <w:p>
      <w:pPr>
        <w:spacing w:before="0" w:after="120" w:line="283" w:lineRule="auto"/>
        <w:jc w:val="both"/>
      </w:pPr>
      <w:r>
        <w:rPr>
          <w:rFonts w:ascii="Calibri" w:hAnsi="Calibri"/>
          <w:b w:val="0"/>
          <w:i w:val="0"/>
          <w:color w:val="2B2B2B"/>
          <w:sz w:val="21"/>
        </w:rPr>
        <w:t>Nestled in the foothills of the Himalayas in Uttarakhand, Corbett Tiger Reserve is one of India’s most celebrated wildlife landscapes, known for its rich biodiversity and ecological significance. Spread across dense sal forests, grasslands, river belts, and hilly terrain, the reserve is home to the majestic Bengal tiger, Asian elephant, leopard, numerous deer species, reptiles, and over 600 species of birds. This delicate natural balance makes the reserve a critical habitat for wildlife conservation — and a landscape worth protecting at every cost.</w:t>
      </w:r>
    </w:p>
    <w:p>
      <w:pPr>
        <w:spacing w:before="160" w:after="60"/>
      </w:pPr>
      <w:r>
        <w:rPr>
          <w:rFonts w:ascii="Calibri" w:hAnsi="Calibri"/>
          <w:b/>
          <w:i w:val="0"/>
          <w:color w:val="B55A2A"/>
          <w:sz w:val="23"/>
        </w:rPr>
        <w:t>A Landscape Under Pressure</w:t>
      </w:r>
    </w:p>
    <w:p>
      <w:pPr>
        <w:spacing w:before="0" w:after="120" w:line="283" w:lineRule="auto"/>
        <w:jc w:val="both"/>
      </w:pPr>
      <w:r>
        <w:rPr>
          <w:rFonts w:ascii="Calibri" w:hAnsi="Calibri"/>
          <w:b w:val="0"/>
          <w:i w:val="0"/>
          <w:color w:val="2B2B2B"/>
          <w:sz w:val="21"/>
        </w:rPr>
        <w:t>In recent years, tourism in and around Corbett has witnessed remarkable growth, bringing new opportunities through hospitality, transport, guiding services, and small businesses. But alongside this growth comes an equally significant challenge: waste. The rising volume is driven not only by tourism, but also by changing lifestyles and increasing consumption of plastic and packaged products within local communities.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B55A2A"/>
            <w:tcMar>
              <w:top w:w="140" w:type="dxa"/>
              <w:bottom w:w="140" w:type="dxa"/>
              <w:start w:w="200" w:type="dxa"/>
              <w:end w:w="200" w:type="dxa"/>
            </w:tcMar>
          </w:tcPr>
          <w:p>
            <w:pPr>
              <w:spacing w:after="40"/>
              <w:jc w:val="center"/>
            </w:pPr>
            <w:r>
              <w:rPr>
                <w:rFonts w:ascii="Calibri" w:hAnsi="Calibri"/>
                <w:b/>
                <w:i w:val="0"/>
                <w:color w:val="FFFFFF"/>
                <w:sz w:val="30"/>
              </w:rPr>
              <w:t>≈42 metric tonnes of waste generated every single day</w:t>
            </w:r>
          </w:p>
          <w:p>
            <w:pPr>
              <w:spacing w:after="0"/>
              <w:jc w:val="center"/>
            </w:pPr>
            <w:r>
              <w:rPr>
                <w:rFonts w:ascii="Calibri" w:hAnsi="Calibri"/>
                <w:b w:val="0"/>
                <w:i/>
                <w:color w:val="F6E6DA"/>
                <w:sz w:val="19"/>
              </w:rPr>
              <w:t>across the Corbett region — a burden steadily pressing on its forests, rivers, and villages</w:t>
            </w:r>
          </w:p>
        </w:tc>
      </w:tr>
    </w:tbl>
    <w:p>
      <w:pPr>
        <w:spacing w:after="120" w:before="0"/>
      </w:pPr>
    </w:p>
    <w:p>
      <w:pPr>
        <w:spacing w:before="0" w:after="80" w:line="283" w:lineRule="auto"/>
        <w:jc w:val="both"/>
      </w:pPr>
      <w:r>
        <w:rPr>
          <w:rFonts w:ascii="Calibri" w:hAnsi="Calibri"/>
          <w:b w:val="0"/>
          <w:i w:val="0"/>
          <w:color w:val="2B2B2B"/>
          <w:sz w:val="21"/>
        </w:rPr>
        <w:t>A substantial portion of this is wet, organic waste. When mixed with dry and plastic waste and left unmanaged, it spoils otherwise recyclable material, generates foul leachate that contaminates soil and water, emits methane, and draws wildlife into human settlements — heightening the risk of human–animal conflict on the reserve’s fragile edge.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Why Wet Waste, Why Now</w:t>
            </w:r>
          </w:p>
        </w:tc>
      </w:tr>
    </w:tbl>
    <w:p>
      <w:pPr>
        <w:spacing w:after="40"/>
      </w:pPr>
    </w:p>
    <w:p>
      <w:pPr>
        <w:spacing w:before="0" w:after="120" w:line="283" w:lineRule="auto"/>
        <w:jc w:val="both"/>
      </w:pPr>
      <w:r>
        <w:rPr>
          <w:rFonts w:ascii="Calibri" w:hAnsi="Calibri"/>
          <w:b w:val="0"/>
          <w:i w:val="0"/>
          <w:color w:val="2B2B2B"/>
          <w:sz w:val="21"/>
        </w:rPr>
        <w:t>Historically, organic waste in these villages was absorbed at the household level — fed to livestock or composted on open land. But rapid, semi-urban development has changed everything. With shrinking open spaces, changing consumption patterns, and reduced dependency on livestock, the demand for organised wet waste collection and processing has risen sharply — making a dedicated wet waste solution both timely and necessary.</w:t>
      </w:r>
    </w:p>
    <w:p>
      <w:pPr>
        <w:spacing w:before="0" w:after="80" w:line="283" w:lineRule="auto"/>
        <w:jc w:val="both"/>
      </w:pPr>
      <w:r>
        <w:rPr>
          <w:rFonts w:ascii="Calibri" w:hAnsi="Calibri"/>
          <w:b w:val="0"/>
          <w:i w:val="0"/>
          <w:color w:val="2B2B2B"/>
          <w:sz w:val="21"/>
        </w:rPr>
        <w:t>Until recently, the Paryavaran Sakhis were primarily engaged in collecting and processing dry waste, which limited the services they could offer and the income they could earn. The establishment of a wet waste processing facility now allows them to serve bulk waste generators — hotels, resorts, and hospitality establishments — unlocking a more consistent, year-round, and sustainable revenue stream. This project builds directly on that opportunity.</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Our Proven Foundation: The Paryavaran Sakhi Model</w:t>
            </w:r>
          </w:p>
        </w:tc>
      </w:tr>
    </w:tbl>
    <w:p>
      <w:pPr>
        <w:spacing w:after="40"/>
      </w:pPr>
    </w:p>
    <w:p>
      <w:pPr>
        <w:spacing w:before="0" w:after="120" w:line="283" w:lineRule="auto"/>
        <w:jc w:val="both"/>
      </w:pPr>
      <w:r>
        <w:rPr>
          <w:rFonts w:ascii="Calibri" w:hAnsi="Calibri"/>
          <w:b w:val="0"/>
          <w:i w:val="0"/>
          <w:color w:val="2B2B2B"/>
          <w:sz w:val="21"/>
        </w:rPr>
        <w:t>“Paryavaran Sakhi” — friend of the environment — is Waste Warriors’ flagship community entrepreneurship model. Started formally in 2021, it addresses the region’s waste crisis through community empowerment, gender equality, and inclusive livelihoods. Today it engages 25 women from diverse backgrounds, equipping them with dignified, entrepreneurial roles in waste management. They are not beneficiaries — they are professional environmental service providers.</w:t>
      </w:r>
    </w:p>
    <w:p>
      <w:pPr>
        <w:spacing w:before="160" w:after="60"/>
      </w:pPr>
      <w:r>
        <w:rPr>
          <w:rFonts w:ascii="Calibri" w:hAnsi="Calibri"/>
          <w:b/>
          <w:i w:val="0"/>
          <w:color w:val="1B5E20"/>
          <w:sz w:val="23"/>
        </w:rPr>
        <w:t>Infrastructure Already in Place</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3137"/>
        <w:gridCol w:w="3137"/>
        <w:gridCol w:w="3137"/>
      </w:tblGrid>
      <w:tr>
        <w:tc>
          <w:tcPr>
            <w:tcW w:type="dxa" w:w="3137"/>
            <w:shd w:val="clear" w:color="auto" w:fill="E8F1E5"/>
            <w:tcMar>
              <w:top w:w="130" w:type="dxa"/>
              <w:bottom w:w="130" w:type="dxa"/>
              <w:start w:w="80" w:type="dxa"/>
              <w:end w:w="80" w:type="dxa"/>
            </w:tcMar>
            <w:vAlign w:val="center"/>
          </w:tcPr>
          <w:p>
            <w:pPr>
              <w:spacing w:after="20"/>
              <w:jc w:val="center"/>
            </w:pPr>
            <w:r>
              <w:rPr>
                <w:rFonts w:ascii="Calibri" w:hAnsi="Calibri"/>
                <w:b/>
                <w:i w:val="0"/>
                <w:color w:val="1B5E20"/>
                <w:sz w:val="40"/>
              </w:rPr>
              <w:t>480 sq. ft.</w:t>
            </w:r>
          </w:p>
          <w:p>
            <w:pPr>
              <w:spacing w:before="0" w:after="0"/>
              <w:jc w:val="center"/>
            </w:pPr>
            <w:r>
              <w:rPr>
                <w:rFonts w:ascii="Calibri" w:hAnsi="Calibri"/>
                <w:b w:val="0"/>
                <w:i w:val="0"/>
                <w:caps w:val="true"/>
                <w:color w:val="555555"/>
                <w:sz w:val="17"/>
              </w:rPr>
              <w:t>Wet Waste Processing Shed</w:t>
            </w:r>
          </w:p>
        </w:tc>
        <w:tc>
          <w:tcPr>
            <w:tcW w:type="dxa" w:w="3137"/>
            <w:shd w:val="clear" w:color="auto" w:fill="E8F1E5"/>
            <w:tcMar>
              <w:top w:w="130" w:type="dxa"/>
              <w:bottom w:w="130" w:type="dxa"/>
              <w:start w:w="80" w:type="dxa"/>
              <w:end w:w="80" w:type="dxa"/>
            </w:tcMar>
            <w:vAlign w:val="center"/>
          </w:tcPr>
          <w:p>
            <w:pPr>
              <w:spacing w:after="20"/>
              <w:jc w:val="center"/>
            </w:pPr>
            <w:r>
              <w:rPr>
                <w:rFonts w:ascii="Calibri" w:hAnsi="Calibri"/>
                <w:b/>
                <w:i w:val="0"/>
                <w:color w:val="1B5E20"/>
                <w:sz w:val="40"/>
              </w:rPr>
              <w:t>400 kg/day</w:t>
            </w:r>
          </w:p>
          <w:p>
            <w:pPr>
              <w:spacing w:before="0" w:after="0"/>
              <w:jc w:val="center"/>
            </w:pPr>
            <w:r>
              <w:rPr>
                <w:rFonts w:ascii="Calibri" w:hAnsi="Calibri"/>
                <w:b w:val="0"/>
                <w:i w:val="0"/>
                <w:caps w:val="true"/>
                <w:color w:val="555555"/>
                <w:sz w:val="17"/>
              </w:rPr>
              <w:t>Processing Capacity</w:t>
            </w:r>
          </w:p>
        </w:tc>
        <w:tc>
          <w:tcPr>
            <w:tcW w:type="dxa" w:w="3137"/>
            <w:shd w:val="clear" w:color="auto" w:fill="E8F1E5"/>
            <w:tcMar>
              <w:top w:w="130" w:type="dxa"/>
              <w:bottom w:w="130" w:type="dxa"/>
              <w:start w:w="80" w:type="dxa"/>
              <w:end w:w="80" w:type="dxa"/>
            </w:tcMar>
            <w:vAlign w:val="center"/>
          </w:tcPr>
          <w:p>
            <w:pPr>
              <w:spacing w:after="20"/>
              <w:jc w:val="center"/>
            </w:pPr>
            <w:r>
              <w:rPr>
                <w:rFonts w:ascii="Calibri" w:hAnsi="Calibri"/>
                <w:b/>
                <w:i w:val="0"/>
                <w:color w:val="1B5E20"/>
                <w:sz w:val="40"/>
              </w:rPr>
              <w:t>1</w:t>
            </w:r>
          </w:p>
          <w:p>
            <w:pPr>
              <w:spacing w:before="0" w:after="0"/>
              <w:jc w:val="center"/>
            </w:pPr>
            <w:r>
              <w:rPr>
                <w:rFonts w:ascii="Calibri" w:hAnsi="Calibri"/>
                <w:b w:val="0"/>
                <w:i w:val="0"/>
                <w:caps w:val="true"/>
                <w:color w:val="555555"/>
                <w:sz w:val="17"/>
              </w:rPr>
              <w:t>Industrial Shredder Machine</w:t>
            </w:r>
          </w:p>
        </w:tc>
      </w:tr>
    </w:tbl>
    <w:p>
      <w:pPr>
        <w:spacing w:after="40"/>
      </w:pPr>
    </w:p>
    <w:p>
      <w:pPr>
        <w:spacing w:before="0" w:after="120" w:line="283" w:lineRule="auto"/>
        <w:jc w:val="both"/>
      </w:pPr>
      <w:r>
        <w:rPr>
          <w:rFonts w:ascii="Calibri" w:hAnsi="Calibri"/>
          <w:b w:val="0"/>
          <w:i w:val="0"/>
          <w:color w:val="2B2B2B"/>
          <w:sz w:val="21"/>
        </w:rPr>
        <w:t>This facility — established with the support of Shearwater Geoservices India Pvt. Ltd. — gives the project a running start. The hard infrastructure exists; what “Mitti Se Mitti” now funds is the operations, awareness, training, and consumables needed to run it at scale and embed it in the community.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F4EEE3"/>
            <w:tcMar>
              <w:top w:w="120" w:type="dxa"/>
              <w:bottom w:w="120" w:type="dxa"/>
              <w:start w:w="200" w:type="dxa"/>
              <w:end w:w="200" w:type="dxa"/>
            </w:tcMar>
          </w:tcPr>
          <w:p>
            <w:pPr>
              <w:spacing w:after="0"/>
              <w:jc w:val="center"/>
            </w:pPr>
            <w:r>
              <w:rPr>
                <w:rFonts w:ascii="Calibri" w:hAnsi="Calibri"/>
                <w:b/>
                <w:i w:val="0"/>
                <w:color w:val="B55A2A"/>
                <w:sz w:val="28"/>
              </w:rPr>
              <w:t>Up to +120 additional livelihood days every month</w:t>
            </w:r>
          </w:p>
          <w:p>
            <w:pPr>
              <w:spacing w:after="0"/>
              <w:jc w:val="center"/>
            </w:pPr>
            <w:r>
              <w:rPr>
                <w:rFonts w:ascii="Calibri" w:hAnsi="Calibri"/>
                <w:b w:val="0"/>
                <w:i/>
                <w:color w:val="555555"/>
                <w:sz w:val="19"/>
              </w:rPr>
              <w:t>created for the Paryavaran Sakhis through year-round wet waste operations</w:t>
            </w:r>
          </w:p>
        </w:tc>
      </w:tr>
    </w:tbl>
    <w:p>
      <w:pPr>
        <w:spacing w:after="120" w:before="0"/>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The Project: “Mitti Se Mitti”</w:t>
            </w:r>
          </w:p>
        </w:tc>
      </w:tr>
    </w:tbl>
    <w:p>
      <w:pPr>
        <w:spacing w:after="40"/>
      </w:pPr>
    </w:p>
    <w:p>
      <w:pPr>
        <w:spacing w:before="160" w:after="60"/>
      </w:pPr>
      <w:r>
        <w:rPr>
          <w:rFonts w:ascii="Calibri" w:hAnsi="Calibri"/>
          <w:b/>
          <w:i w:val="0"/>
          <w:color w:val="B55A2A"/>
          <w:sz w:val="23"/>
        </w:rPr>
        <w:t>Project Goal</w:t>
      </w:r>
    </w:p>
    <w:p>
      <w:pPr>
        <w:spacing w:before="0" w:after="120" w:line="283" w:lineRule="auto"/>
        <w:jc w:val="both"/>
      </w:pPr>
      <w:r>
        <w:rPr>
          <w:rFonts w:ascii="Calibri" w:hAnsi="Calibri"/>
          <w:b w:val="0"/>
          <w:i w:val="0"/>
          <w:color w:val="2B2B2B"/>
          <w:sz w:val="21"/>
        </w:rPr>
        <w:t>To establish a sustainable, community-led wet waste management system on the eastern periphery of Corbett Tiger Reserve — converting organic waste into compost, strengthening source segregation, and expanding the livelihoods of the Paryavaran Sakhis — thereby protecting the reserve’s fragile ecosystem while closing the loop from waste to wealth.</w:t>
      </w:r>
    </w:p>
    <w:p>
      <w:pPr>
        <w:spacing w:before="160" w:after="60"/>
      </w:pPr>
      <w:r>
        <w:rPr>
          <w:rFonts w:ascii="Calibri" w:hAnsi="Calibri"/>
          <w:b/>
          <w:i w:val="0"/>
          <w:color w:val="B55A2A"/>
          <w:sz w:val="23"/>
        </w:rPr>
        <w:t>Project Objectives</w:t>
      </w:r>
    </w:p>
    <w:p>
      <w:pPr>
        <w:pStyle w:val="ListBullet"/>
        <w:spacing w:after="60" w:line="269" w:lineRule="auto"/>
        <w:ind w:left="403"/>
      </w:pPr>
      <w:r>
        <w:rPr>
          <w:rFonts w:ascii="Calibri" w:hAnsi="Calibri"/>
          <w:b/>
          <w:i w:val="0"/>
          <w:color w:val="1B5E20"/>
          <w:sz w:val="21"/>
        </w:rPr>
        <w:t xml:space="preserve">Convert waste to compost — </w:t>
      </w:r>
      <w:r>
        <w:rPr>
          <w:rFonts w:ascii="Calibri" w:hAnsi="Calibri"/>
          <w:b w:val="0"/>
          <w:i w:val="0"/>
          <w:color w:val="2B2B2B"/>
          <w:sz w:val="21"/>
        </w:rPr>
        <w:t>Process 6,000 kg of wet waste per month (18,000 kg over the project) into quality compost at the Material Recovery Facility in Himmatpur Dotiyal.</w:t>
      </w:r>
    </w:p>
    <w:p>
      <w:pPr>
        <w:pStyle w:val="ListBullet"/>
        <w:spacing w:after="60" w:line="269" w:lineRule="auto"/>
        <w:ind w:left="403"/>
      </w:pPr>
      <w:r>
        <w:rPr>
          <w:rFonts w:ascii="Calibri" w:hAnsi="Calibri"/>
          <w:b/>
          <w:i w:val="0"/>
          <w:color w:val="1B5E20"/>
          <w:sz w:val="21"/>
        </w:rPr>
        <w:t xml:space="preserve">Build women’s capacity — </w:t>
      </w:r>
      <w:r>
        <w:rPr>
          <w:rFonts w:ascii="Calibri" w:hAnsi="Calibri"/>
          <w:b w:val="0"/>
          <w:i w:val="0"/>
          <w:color w:val="2B2B2B"/>
          <w:sz w:val="21"/>
        </w:rPr>
        <w:t>Train 6 Paryavaran Sakhis to lead the full wet waste value chain — from awareness and collection to transportation and on-site processing.</w:t>
      </w:r>
    </w:p>
    <w:p>
      <w:pPr>
        <w:pStyle w:val="ListBullet"/>
        <w:spacing w:after="60" w:line="269" w:lineRule="auto"/>
        <w:ind w:left="403"/>
      </w:pPr>
      <w:r>
        <w:rPr>
          <w:rFonts w:ascii="Calibri" w:hAnsi="Calibri"/>
          <w:b/>
          <w:i w:val="0"/>
          <w:color w:val="1B5E20"/>
          <w:sz w:val="21"/>
        </w:rPr>
        <w:t xml:space="preserve">Shift behaviour — </w:t>
      </w:r>
      <w:r>
        <w:rPr>
          <w:rFonts w:ascii="Calibri" w:hAnsi="Calibri"/>
          <w:b w:val="0"/>
          <w:i w:val="0"/>
          <w:color w:val="2B2B2B"/>
          <w:sz w:val="21"/>
        </w:rPr>
        <w:t>Conduct 12 community awareness sessions to drive source segregation at the household level.</w:t>
      </w:r>
    </w:p>
    <w:p>
      <w:pPr>
        <w:pStyle w:val="ListBullet"/>
        <w:spacing w:after="60" w:line="269" w:lineRule="auto"/>
        <w:ind w:left="403"/>
      </w:pPr>
      <w:r>
        <w:rPr>
          <w:rFonts w:ascii="Calibri" w:hAnsi="Calibri"/>
          <w:b/>
          <w:i w:val="0"/>
          <w:color w:val="1B5E20"/>
          <w:sz w:val="21"/>
        </w:rPr>
        <w:t xml:space="preserve">Engage bulk generators — </w:t>
      </w:r>
      <w:r>
        <w:rPr>
          <w:rFonts w:ascii="Calibri" w:hAnsi="Calibri"/>
          <w:b w:val="0"/>
          <w:i w:val="0"/>
          <w:color w:val="2B2B2B"/>
          <w:sz w:val="21"/>
        </w:rPr>
        <w:t>Convene 6 stakeholder meetings with hotels and resorts (bulk waste generators) to formalise source segregation and divert their wet waste from dumping.</w:t>
      </w:r>
    </w:p>
    <w:p>
      <w:pPr>
        <w:pStyle w:val="ListBullet"/>
        <w:spacing w:after="60" w:line="269" w:lineRule="auto"/>
        <w:ind w:left="403"/>
      </w:pPr>
      <w:r>
        <w:rPr>
          <w:rFonts w:ascii="Calibri" w:hAnsi="Calibri"/>
          <w:b/>
          <w:i w:val="0"/>
          <w:color w:val="1B5E20"/>
          <w:sz w:val="21"/>
        </w:rPr>
        <w:t xml:space="preserve">Create a market — </w:t>
      </w:r>
      <w:r>
        <w:rPr>
          <w:rFonts w:ascii="Calibri" w:hAnsi="Calibri"/>
          <w:b w:val="0"/>
          <w:i w:val="0"/>
          <w:color w:val="2B2B2B"/>
          <w:sz w:val="21"/>
        </w:rPr>
        <w:t>Build a recognisable identity and market for the Sakhis’ ready-to-use compost, turning a waste stream into a revenue stream.</w:t>
      </w:r>
    </w:p>
    <w:p>
      <w:pPr>
        <w:spacing w:before="160" w:after="60"/>
      </w:pPr>
      <w:r>
        <w:rPr>
          <w:rFonts w:ascii="Calibri" w:hAnsi="Calibri"/>
          <w:b/>
          <w:i w:val="0"/>
          <w:color w:val="B55A2A"/>
          <w:sz w:val="23"/>
        </w:rPr>
        <w:t>Core Activities</w:t>
      </w:r>
    </w:p>
    <w:p>
      <w:pPr>
        <w:pStyle w:val="ListBullet"/>
        <w:spacing w:after="60" w:line="269" w:lineRule="auto"/>
        <w:ind w:left="403"/>
      </w:pPr>
      <w:r>
        <w:rPr>
          <w:rFonts w:ascii="Calibri" w:hAnsi="Calibri"/>
          <w:b/>
          <w:i w:val="0"/>
          <w:color w:val="1B5E20"/>
          <w:sz w:val="21"/>
        </w:rPr>
        <w:t xml:space="preserve">Awareness &amp; IEC — </w:t>
      </w:r>
      <w:r>
        <w:rPr>
          <w:rFonts w:ascii="Calibri" w:hAnsi="Calibri"/>
          <w:b w:val="0"/>
          <w:i w:val="0"/>
          <w:color w:val="2B2B2B"/>
          <w:sz w:val="21"/>
        </w:rPr>
        <w:t>through chai-pe-charcha sessions, focus group discussions, and exposure visits to the processing site, positioning it as a local knowledge hub.</w:t>
      </w:r>
    </w:p>
    <w:p>
      <w:pPr>
        <w:pStyle w:val="ListBullet"/>
        <w:spacing w:after="60" w:line="269" w:lineRule="auto"/>
        <w:ind w:left="403"/>
      </w:pPr>
      <w:r>
        <w:rPr>
          <w:rFonts w:ascii="Calibri" w:hAnsi="Calibri"/>
          <w:b/>
          <w:i w:val="0"/>
          <w:color w:val="1B5E20"/>
          <w:sz w:val="21"/>
        </w:rPr>
        <w:t xml:space="preserve">Wet waste operations — </w:t>
      </w:r>
      <w:r>
        <w:rPr>
          <w:rFonts w:ascii="Calibri" w:hAnsi="Calibri"/>
          <w:b w:val="0"/>
          <w:i w:val="0"/>
          <w:color w:val="2B2B2B"/>
          <w:sz w:val="21"/>
        </w:rPr>
        <w:t>processing of 6,000 kg/month of wet waste into compost, supported by collection drums, trolleys, and safety equipment for the Sakhis.</w:t>
      </w:r>
    </w:p>
    <w:p>
      <w:pPr>
        <w:pStyle w:val="ListBullet"/>
        <w:spacing w:after="60" w:line="269" w:lineRule="auto"/>
        <w:ind w:left="403"/>
      </w:pPr>
      <w:r>
        <w:rPr>
          <w:rFonts w:ascii="Calibri" w:hAnsi="Calibri"/>
          <w:b/>
          <w:i w:val="0"/>
          <w:color w:val="1B5E20"/>
          <w:sz w:val="21"/>
        </w:rPr>
        <w:t xml:space="preserve">Home composting drive — </w:t>
      </w:r>
      <w:r>
        <w:rPr>
          <w:rFonts w:ascii="Calibri" w:hAnsi="Calibri"/>
          <w:b w:val="0"/>
          <w:i w:val="0"/>
          <w:color w:val="2B2B2B"/>
          <w:sz w:val="21"/>
        </w:rPr>
        <w:t>promoting home composting through earthen pots, step-by-step guides, and certificates of recognition for participating households (25 each).</w:t>
      </w:r>
    </w:p>
    <w:p>
      <w:pPr>
        <w:pStyle w:val="ListBullet"/>
        <w:spacing w:after="60" w:line="269" w:lineRule="auto"/>
        <w:ind w:left="403"/>
      </w:pPr>
      <w:r>
        <w:rPr>
          <w:rFonts w:ascii="Calibri" w:hAnsi="Calibri"/>
          <w:b/>
          <w:i w:val="0"/>
          <w:color w:val="1B5E20"/>
          <w:sz w:val="21"/>
        </w:rPr>
        <w:t xml:space="preserve">Visibility — </w:t>
      </w:r>
      <w:r>
        <w:rPr>
          <w:rFonts w:ascii="Calibri" w:hAnsi="Calibri"/>
          <w:b w:val="0"/>
          <w:i w:val="0"/>
          <w:color w:val="2B2B2B"/>
          <w:sz w:val="21"/>
        </w:rPr>
        <w:t>direction and recognition signboards across the region to promote the processing site and celebrate active composting households.</w:t>
      </w:r>
    </w:p>
    <w:p>
      <w:pPr>
        <w:pStyle w:val="ListBullet"/>
        <w:spacing w:after="60" w:line="269" w:lineRule="auto"/>
        <w:ind w:left="403"/>
      </w:pPr>
      <w:r>
        <w:rPr>
          <w:rFonts w:ascii="Calibri" w:hAnsi="Calibri"/>
          <w:b/>
          <w:i w:val="0"/>
          <w:color w:val="1B5E20"/>
          <w:sz w:val="21"/>
        </w:rPr>
        <w:t xml:space="preserve">Branding — </w:t>
      </w:r>
      <w:r>
        <w:rPr>
          <w:rFonts w:ascii="Calibri" w:hAnsi="Calibri"/>
          <w:b w:val="0"/>
          <w:i w:val="0"/>
          <w:color w:val="2B2B2B"/>
          <w:sz w:val="21"/>
        </w:rPr>
        <w:t>designing a brand identity — logo and name — for the compost produced by the Paryavaran Sakhis.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Expected Outcomes &amp; Impact</w:t>
            </w:r>
          </w:p>
        </w:tc>
      </w:tr>
    </w:tbl>
    <w:p>
      <w:pPr>
        <w:spacing w:after="4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1928"/>
            <w:shd w:val="clear" w:color="auto" w:fill="1B5E20"/>
            <w:tcMar>
              <w:top w:w="90" w:type="dxa"/>
              <w:bottom w:w="90" w:type="dxa"/>
              <w:start w:w="120" w:type="dxa"/>
              <w:end w:w="120" w:type="dxa"/>
            </w:tcMar>
            <w:vAlign w:val="center"/>
          </w:tcPr>
          <w:p>
            <w:pPr>
              <w:spacing w:after="0"/>
            </w:pPr>
            <w:r>
              <w:rPr>
                <w:rFonts w:ascii="Calibri" w:hAnsi="Calibri"/>
                <w:b/>
                <w:i w:val="0"/>
                <w:color w:val="FFFFFF"/>
                <w:sz w:val="21"/>
              </w:rPr>
              <w:t>Environmental</w:t>
            </w:r>
          </w:p>
        </w:tc>
        <w:tc>
          <w:tcPr>
            <w:tcW w:type="dxa" w:w="7483"/>
            <w:shd w:val="clear" w:color="auto" w:fill="E8F1E5"/>
            <w:tcMar>
              <w:top w:w="90" w:type="dxa"/>
              <w:bottom w:w="90" w:type="dxa"/>
              <w:start w:w="140" w:type="dxa"/>
              <w:end w:w="140" w:type="dxa"/>
            </w:tcMar>
            <w:vAlign w:val="center"/>
          </w:tcPr>
          <w:p>
            <w:pPr>
              <w:spacing w:after="0"/>
            </w:pPr>
            <w:r>
              <w:rPr>
                <w:rFonts w:ascii="Calibri" w:hAnsi="Calibri"/>
                <w:b w:val="0"/>
                <w:i w:val="0"/>
                <w:color w:val="2B2B2B"/>
                <w:sz w:val="20"/>
              </w:rPr>
              <w:t>18,000 kg of wet waste diverted from open dumping and converted to compost over 3 months, reducing methane emissions, leachate pollution, and wildlife attraction on Corbett’s periphery.</w:t>
            </w:r>
          </w:p>
        </w:tc>
      </w:tr>
      <w:tr>
        <w:tc>
          <w:tcPr>
            <w:tcW w:type="dxa" w:w="1928"/>
            <w:shd w:val="clear" w:color="auto" w:fill="1B5E20"/>
            <w:tcMar>
              <w:top w:w="90" w:type="dxa"/>
              <w:bottom w:w="90" w:type="dxa"/>
              <w:start w:w="120" w:type="dxa"/>
              <w:end w:w="120" w:type="dxa"/>
            </w:tcMar>
            <w:vAlign w:val="center"/>
          </w:tcPr>
          <w:p>
            <w:pPr>
              <w:spacing w:after="0"/>
            </w:pPr>
            <w:r>
              <w:rPr>
                <w:rFonts w:ascii="Calibri" w:hAnsi="Calibri"/>
                <w:b/>
                <w:i w:val="0"/>
                <w:color w:val="FFFFFF"/>
                <w:sz w:val="21"/>
              </w:rPr>
              <w:t>Social / Gender</w:t>
            </w:r>
          </w:p>
        </w:tc>
        <w:tc>
          <w:tcPr>
            <w:tcW w:type="dxa" w:w="7483"/>
            <w:shd w:val="clear" w:color="auto" w:fill="FBF8F2"/>
            <w:tcMar>
              <w:top w:w="90" w:type="dxa"/>
              <w:bottom w:w="90" w:type="dxa"/>
              <w:start w:w="140" w:type="dxa"/>
              <w:end w:w="140" w:type="dxa"/>
            </w:tcMar>
            <w:vAlign w:val="center"/>
          </w:tcPr>
          <w:p>
            <w:pPr>
              <w:spacing w:after="0"/>
            </w:pPr>
            <w:r>
              <w:rPr>
                <w:rFonts w:ascii="Calibri" w:hAnsi="Calibri"/>
                <w:b w:val="0"/>
                <w:i w:val="0"/>
                <w:color w:val="2B2B2B"/>
                <w:sz w:val="20"/>
              </w:rPr>
              <w:t>6 Paryavaran Sakhis equipped with end-to-end operational skills and up to 120 additional livelihood days per month — advancing women’s economic independence and dignity.</w:t>
            </w:r>
          </w:p>
        </w:tc>
      </w:tr>
      <w:tr>
        <w:tc>
          <w:tcPr>
            <w:tcW w:type="dxa" w:w="1928"/>
            <w:shd w:val="clear" w:color="auto" w:fill="1B5E20"/>
            <w:tcMar>
              <w:top w:w="90" w:type="dxa"/>
              <w:bottom w:w="90" w:type="dxa"/>
              <w:start w:w="120" w:type="dxa"/>
              <w:end w:w="120" w:type="dxa"/>
            </w:tcMar>
            <w:vAlign w:val="center"/>
          </w:tcPr>
          <w:p>
            <w:pPr>
              <w:spacing w:after="0"/>
            </w:pPr>
            <w:r>
              <w:rPr>
                <w:rFonts w:ascii="Calibri" w:hAnsi="Calibri"/>
                <w:b/>
                <w:i w:val="0"/>
                <w:color w:val="FFFFFF"/>
                <w:sz w:val="21"/>
              </w:rPr>
              <w:t>Behavioural</w:t>
            </w:r>
          </w:p>
        </w:tc>
        <w:tc>
          <w:tcPr>
            <w:tcW w:type="dxa" w:w="7483"/>
            <w:shd w:val="clear" w:color="auto" w:fill="E8F1E5"/>
            <w:tcMar>
              <w:top w:w="90" w:type="dxa"/>
              <w:bottom w:w="90" w:type="dxa"/>
              <w:start w:w="140" w:type="dxa"/>
              <w:end w:w="140" w:type="dxa"/>
            </w:tcMar>
            <w:vAlign w:val="center"/>
          </w:tcPr>
          <w:p>
            <w:pPr>
              <w:spacing w:after="0"/>
            </w:pPr>
            <w:r>
              <w:rPr>
                <w:rFonts w:ascii="Calibri" w:hAnsi="Calibri"/>
                <w:b w:val="0"/>
                <w:i w:val="0"/>
                <w:color w:val="2B2B2B"/>
                <w:sz w:val="20"/>
              </w:rPr>
              <w:t>Measurable improvement in household source segregation across target villages, reinforced by 12 awareness sessions and a home-composting movement.</w:t>
            </w:r>
          </w:p>
        </w:tc>
      </w:tr>
      <w:tr>
        <w:tc>
          <w:tcPr>
            <w:tcW w:type="dxa" w:w="1928"/>
            <w:shd w:val="clear" w:color="auto" w:fill="1B5E20"/>
            <w:tcMar>
              <w:top w:w="90" w:type="dxa"/>
              <w:bottom w:w="90" w:type="dxa"/>
              <w:start w:w="120" w:type="dxa"/>
              <w:end w:w="120" w:type="dxa"/>
            </w:tcMar>
            <w:vAlign w:val="center"/>
          </w:tcPr>
          <w:p>
            <w:pPr>
              <w:spacing w:after="0"/>
            </w:pPr>
            <w:r>
              <w:rPr>
                <w:rFonts w:ascii="Calibri" w:hAnsi="Calibri"/>
                <w:b/>
                <w:i w:val="0"/>
                <w:color w:val="FFFFFF"/>
                <w:sz w:val="21"/>
              </w:rPr>
              <w:t>Institutional</w:t>
            </w:r>
          </w:p>
        </w:tc>
        <w:tc>
          <w:tcPr>
            <w:tcW w:type="dxa" w:w="7483"/>
            <w:shd w:val="clear" w:color="auto" w:fill="FBF8F2"/>
            <w:tcMar>
              <w:top w:w="90" w:type="dxa"/>
              <w:bottom w:w="90" w:type="dxa"/>
              <w:start w:w="140" w:type="dxa"/>
              <w:end w:w="140" w:type="dxa"/>
            </w:tcMar>
            <w:vAlign w:val="center"/>
          </w:tcPr>
          <w:p>
            <w:pPr>
              <w:spacing w:after="0"/>
            </w:pPr>
            <w:r>
              <w:rPr>
                <w:rFonts w:ascii="Calibri" w:hAnsi="Calibri"/>
                <w:b w:val="0"/>
                <w:i w:val="0"/>
                <w:color w:val="2B2B2B"/>
                <w:sz w:val="20"/>
              </w:rPr>
              <w:t>6 hotels/resorts onboarded to segregate at source and route wet waste responsibly — a replicable template for the wider hospitality sector around Corbett.</w:t>
            </w:r>
          </w:p>
        </w:tc>
      </w:tr>
      <w:tr>
        <w:tc>
          <w:tcPr>
            <w:tcW w:type="dxa" w:w="1928"/>
            <w:shd w:val="clear" w:color="auto" w:fill="1B5E20"/>
            <w:tcMar>
              <w:top w:w="90" w:type="dxa"/>
              <w:bottom w:w="90" w:type="dxa"/>
              <w:start w:w="120" w:type="dxa"/>
              <w:end w:w="120" w:type="dxa"/>
            </w:tcMar>
            <w:vAlign w:val="center"/>
          </w:tcPr>
          <w:p>
            <w:pPr>
              <w:spacing w:after="0"/>
            </w:pPr>
            <w:r>
              <w:rPr>
                <w:rFonts w:ascii="Calibri" w:hAnsi="Calibri"/>
                <w:b/>
                <w:i w:val="0"/>
                <w:color w:val="FFFFFF"/>
                <w:sz w:val="21"/>
              </w:rPr>
              <w:t>Economic</w:t>
            </w:r>
          </w:p>
        </w:tc>
        <w:tc>
          <w:tcPr>
            <w:tcW w:type="dxa" w:w="7483"/>
            <w:shd w:val="clear" w:color="auto" w:fill="E8F1E5"/>
            <w:tcMar>
              <w:top w:w="90" w:type="dxa"/>
              <w:bottom w:w="90" w:type="dxa"/>
              <w:start w:w="140" w:type="dxa"/>
              <w:end w:w="140" w:type="dxa"/>
            </w:tcMar>
            <w:vAlign w:val="center"/>
          </w:tcPr>
          <w:p>
            <w:pPr>
              <w:spacing w:after="0"/>
            </w:pPr>
            <w:r>
              <w:rPr>
                <w:rFonts w:ascii="Calibri" w:hAnsi="Calibri"/>
                <w:b w:val="0"/>
                <w:i w:val="0"/>
                <w:color w:val="2B2B2B"/>
                <w:sz w:val="20"/>
              </w:rPr>
              <w:t>A branded, ready-to-use compost product that turns waste into a sustainable revenue stream for the Sakhis — building long-term financial viability beyond the grant period.</w:t>
            </w:r>
          </w:p>
        </w:tc>
      </w:tr>
    </w:tbl>
    <w:p>
      <w:pPr>
        <w:spacing w:after="120" w:before="0"/>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Detailed Budget</w:t>
            </w:r>
          </w:p>
        </w:tc>
      </w:tr>
    </w:tbl>
    <w:p>
      <w:pPr>
        <w:spacing w:after="40"/>
      </w:pPr>
    </w:p>
    <w:p>
      <w:pPr>
        <w:spacing w:before="0" w:after="120" w:line="283" w:lineRule="auto"/>
        <w:jc w:val="both"/>
      </w:pPr>
      <w:r>
        <w:rPr>
          <w:rFonts w:ascii="Calibri" w:hAnsi="Calibri"/>
          <w:b w:val="0"/>
          <w:i w:val="0"/>
          <w:color w:val="2B2B2B"/>
          <w:sz w:val="21"/>
        </w:rPr>
        <w:t>The total outlay for the 3-month project is ₹2,75,420 (Two Lakh Seventy-Five Thousand Four Hundred and Twenty Only). The full head-wise, activity-wise break-up is given below.</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Borders>
              <w:top w:val="single" w:sz="4" w:color="1B5E20"/>
              <w:left w:val="single" w:sz="4" w:color="1B5E20"/>
              <w:bottom w:val="single" w:sz="4" w:color="1B5E20"/>
              <w:right w:val="single" w:sz="4" w:color="1B5E20"/>
            </w:tcBorders>
            <w:shd w:val="clear" w:color="auto" w:fill="1B5E20"/>
            <w:tcMar>
              <w:top w:w="70" w:type="dxa"/>
              <w:bottom w:w="70" w:type="dxa"/>
              <w:start w:w="100" w:type="dxa"/>
              <w:end w:w="100" w:type="dxa"/>
            </w:tcMar>
          </w:tcPr>
          <w:p>
            <w:pPr>
              <w:spacing w:after="0"/>
            </w:pPr>
            <w:r>
              <w:rPr>
                <w:rFonts w:ascii="Calibri" w:hAnsi="Calibri"/>
                <w:b/>
                <w:i w:val="0"/>
                <w:color w:val="FFFFFF"/>
                <w:sz w:val="18"/>
              </w:rPr>
              <w:t>Head / Activity</w:t>
            </w:r>
          </w:p>
        </w:tc>
        <w:tc>
          <w:tcPr>
            <w:tcW w:type="dxa" w:w="1882"/>
            <w:tcBorders>
              <w:top w:val="single" w:sz="4" w:color="1B5E20"/>
              <w:left w:val="single" w:sz="4" w:color="1B5E20"/>
              <w:bottom w:val="single" w:sz="4" w:color="1B5E20"/>
              <w:right w:val="single" w:sz="4" w:color="1B5E20"/>
            </w:tcBorders>
            <w:shd w:val="clear" w:color="auto" w:fill="1B5E20"/>
            <w:tcMar>
              <w:top w:w="70" w:type="dxa"/>
              <w:bottom w:w="70" w:type="dxa"/>
              <w:start w:w="100" w:type="dxa"/>
              <w:end w:w="100" w:type="dxa"/>
            </w:tcMar>
          </w:tcPr>
          <w:p>
            <w:pPr>
              <w:spacing w:after="0"/>
            </w:pPr>
            <w:r>
              <w:rPr>
                <w:rFonts w:ascii="Calibri" w:hAnsi="Calibri"/>
                <w:b/>
                <w:i w:val="0"/>
                <w:color w:val="FFFFFF"/>
                <w:sz w:val="18"/>
              </w:rPr>
              <w:t>Detail</w:t>
            </w:r>
          </w:p>
        </w:tc>
        <w:tc>
          <w:tcPr>
            <w:tcW w:type="dxa" w:w="1882"/>
            <w:tcBorders>
              <w:top w:val="single" w:sz="4" w:color="1B5E20"/>
              <w:left w:val="single" w:sz="4" w:color="1B5E20"/>
              <w:bottom w:val="single" w:sz="4" w:color="1B5E20"/>
              <w:right w:val="single" w:sz="4" w:color="1B5E20"/>
            </w:tcBorders>
            <w:shd w:val="clear" w:color="auto" w:fill="1B5E20"/>
            <w:tcMar>
              <w:top w:w="70" w:type="dxa"/>
              <w:bottom w:w="70" w:type="dxa"/>
              <w:start w:w="100" w:type="dxa"/>
              <w:end w:w="100" w:type="dxa"/>
            </w:tcMar>
          </w:tcPr>
          <w:p>
            <w:pPr>
              <w:spacing w:after="0"/>
              <w:jc w:val="center"/>
            </w:pPr>
            <w:r>
              <w:rPr>
                <w:rFonts w:ascii="Calibri" w:hAnsi="Calibri"/>
                <w:b/>
                <w:i w:val="0"/>
                <w:color w:val="FFFFFF"/>
                <w:sz w:val="18"/>
              </w:rPr>
              <w:t>Target</w:t>
            </w:r>
          </w:p>
        </w:tc>
        <w:tc>
          <w:tcPr>
            <w:tcW w:type="dxa" w:w="1882"/>
            <w:tcBorders>
              <w:top w:val="single" w:sz="4" w:color="1B5E20"/>
              <w:left w:val="single" w:sz="4" w:color="1B5E20"/>
              <w:bottom w:val="single" w:sz="4" w:color="1B5E20"/>
              <w:right w:val="single" w:sz="4" w:color="1B5E20"/>
            </w:tcBorders>
            <w:shd w:val="clear" w:color="auto" w:fill="1B5E20"/>
            <w:tcMar>
              <w:top w:w="70" w:type="dxa"/>
              <w:bottom w:w="70" w:type="dxa"/>
              <w:start w:w="100" w:type="dxa"/>
              <w:end w:w="100" w:type="dxa"/>
            </w:tcMar>
          </w:tcPr>
          <w:p>
            <w:pPr>
              <w:spacing w:after="0"/>
              <w:jc w:val="center"/>
            </w:pPr>
            <w:r>
              <w:rPr>
                <w:rFonts w:ascii="Calibri" w:hAnsi="Calibri"/>
                <w:b/>
                <w:i w:val="0"/>
                <w:color w:val="FFFFFF"/>
                <w:sz w:val="18"/>
              </w:rPr>
              <w:t>Unit Cost (₹)</w:t>
            </w:r>
          </w:p>
        </w:tc>
        <w:tc>
          <w:tcPr>
            <w:tcW w:type="dxa" w:w="1882"/>
            <w:tcBorders>
              <w:top w:val="single" w:sz="4" w:color="1B5E20"/>
              <w:left w:val="single" w:sz="4" w:color="1B5E20"/>
              <w:bottom w:val="single" w:sz="4" w:color="1B5E20"/>
              <w:right w:val="single" w:sz="4" w:color="1B5E20"/>
            </w:tcBorders>
            <w:shd w:val="clear" w:color="auto" w:fill="1B5E20"/>
            <w:tcMar>
              <w:top w:w="70" w:type="dxa"/>
              <w:bottom w:w="70" w:type="dxa"/>
              <w:start w:w="100" w:type="dxa"/>
              <w:end w:w="100" w:type="dxa"/>
            </w:tcMar>
          </w:tcPr>
          <w:p>
            <w:pPr>
              <w:spacing w:after="0"/>
              <w:jc w:val="center"/>
            </w:pPr>
            <w:r>
              <w:rPr>
                <w:rFonts w:ascii="Calibri" w:hAnsi="Calibri"/>
                <w:b/>
                <w:i w:val="0"/>
                <w:color w:val="FFFFFF"/>
                <w:sz w:val="18"/>
              </w:rPr>
              <w:t>Total (₹)</w:t>
            </w:r>
          </w:p>
        </w:tc>
      </w:tr>
      <w:tr>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r>
              <w:rPr>
                <w:rFonts w:ascii="Calibri" w:hAnsi="Calibri"/>
                <w:b/>
                <w:i w:val="0"/>
                <w:color w:val="FFFFFF"/>
                <w:sz w:val="19"/>
              </w:rPr>
              <w:t>A. AWARENESS &amp; IEC</w:t>
            </w: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jc w:val="right"/>
            </w:pPr>
            <w:r>
              <w:rPr>
                <w:rFonts w:ascii="Calibri" w:hAnsi="Calibri"/>
                <w:b/>
                <w:i w:val="0"/>
                <w:color w:val="FFFFFF"/>
                <w:sz w:val="19"/>
              </w:rPr>
              <w:t>1,47,920</w:t>
            </w:r>
          </w:p>
        </w:tc>
      </w:tr>
      <w:tr>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i w:val="0"/>
                <w:color w:val="1B5E20"/>
                <w:sz w:val="18"/>
              </w:rPr>
              <w:t>Awareness Sessions</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val="0"/>
                <w:i w:val="0"/>
                <w:color w:val="555555"/>
                <w:sz w:val="17"/>
              </w:rPr>
              <w:t>Chai-pe-charcha, focus group discussions &amp; exposure visits on source segregation</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12</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660</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right"/>
            </w:pPr>
            <w:r>
              <w:rPr>
                <w:rFonts w:ascii="Calibri" w:hAnsi="Calibri"/>
                <w:b w:val="0"/>
                <w:i w:val="0"/>
                <w:color w:val="2B2B2B"/>
                <w:sz w:val="18"/>
              </w:rPr>
              <w:t>7,920</w:t>
            </w:r>
          </w:p>
        </w:tc>
      </w:tr>
      <w:tr>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i w:val="0"/>
                <w:color w:val="1B5E20"/>
                <w:sz w:val="18"/>
              </w:rPr>
              <w:t>Stakeholders’ Meet</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val="0"/>
                <w:i w:val="0"/>
                <w:color w:val="555555"/>
                <w:sz w:val="17"/>
              </w:rPr>
              <w:t>Meetings with bulk waste generators (hotels &amp; resorts) to drive segregation &amp; wet waste processing</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6</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5,000</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right"/>
            </w:pPr>
            <w:r>
              <w:rPr>
                <w:rFonts w:ascii="Calibri" w:hAnsi="Calibri"/>
                <w:b w:val="0"/>
                <w:i w:val="0"/>
                <w:color w:val="2B2B2B"/>
                <w:sz w:val="18"/>
              </w:rPr>
              <w:t>30,000</w:t>
            </w:r>
          </w:p>
        </w:tc>
      </w:tr>
      <w:tr>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i w:val="0"/>
                <w:color w:val="1B5E20"/>
                <w:sz w:val="18"/>
              </w:rPr>
              <w:t>IEC Collaterals</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val="0"/>
                <w:i w:val="0"/>
                <w:color w:val="555555"/>
                <w:sz w:val="17"/>
              </w:rPr>
              <w:t>On-site IEC positioning the facility as a knowledge hub for communities &amp; tourists</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right"/>
            </w:pPr>
            <w:r>
              <w:rPr>
                <w:rFonts w:ascii="Calibri" w:hAnsi="Calibri"/>
                <w:b w:val="0"/>
                <w:i w:val="0"/>
                <w:color w:val="2B2B2B"/>
                <w:sz w:val="18"/>
              </w:rPr>
              <w:t>50,000</w:t>
            </w:r>
          </w:p>
        </w:tc>
      </w:tr>
      <w:tr>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i w:val="0"/>
                <w:color w:val="1B5E20"/>
                <w:sz w:val="18"/>
              </w:rPr>
              <w:t>Signboards</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val="0"/>
                <w:i w:val="0"/>
                <w:color w:val="555555"/>
                <w:sz w:val="17"/>
              </w:rPr>
              <w:t>Direction signboards for the processing site &amp; recognition boards for active composting households</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4</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15,000</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right"/>
            </w:pPr>
            <w:r>
              <w:rPr>
                <w:rFonts w:ascii="Calibri" w:hAnsi="Calibri"/>
                <w:b w:val="0"/>
                <w:i w:val="0"/>
                <w:color w:val="2B2B2B"/>
                <w:sz w:val="18"/>
              </w:rPr>
              <w:t>60,000</w:t>
            </w:r>
          </w:p>
        </w:tc>
      </w:tr>
      <w:tr>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r>
              <w:rPr>
                <w:rFonts w:ascii="Calibri" w:hAnsi="Calibri"/>
                <w:b/>
                <w:i w:val="0"/>
                <w:color w:val="FFFFFF"/>
                <w:sz w:val="19"/>
              </w:rPr>
              <w:t>B. OPERATIONS</w:t>
            </w: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jc w:val="right"/>
            </w:pPr>
            <w:r>
              <w:rPr>
                <w:rFonts w:ascii="Calibri" w:hAnsi="Calibri"/>
                <w:b/>
                <w:i w:val="0"/>
                <w:color w:val="FFFFFF"/>
                <w:sz w:val="19"/>
              </w:rPr>
              <w:t>1,07,500</w:t>
            </w:r>
          </w:p>
        </w:tc>
      </w:tr>
      <w:tr>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i w:val="0"/>
                <w:color w:val="1B5E20"/>
                <w:sz w:val="18"/>
              </w:rPr>
              <w:t>Waste Management Consumables</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val="0"/>
                <w:i w:val="0"/>
                <w:color w:val="555555"/>
                <w:sz w:val="17"/>
              </w:rPr>
              <w:t>Gloves, aprons, shoes, masks, collection drums &amp; trolley; earthen pots, shovels, guides &amp; certificates; compost brand identity</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right"/>
            </w:pPr>
            <w:r>
              <w:rPr>
                <w:rFonts w:ascii="Calibri" w:hAnsi="Calibri"/>
                <w:b w:val="0"/>
                <w:i w:val="0"/>
                <w:color w:val="2B2B2B"/>
                <w:sz w:val="18"/>
              </w:rPr>
              <w:t>92,500</w:t>
            </w:r>
          </w:p>
        </w:tc>
      </w:tr>
      <w:tr>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i w:val="0"/>
                <w:color w:val="1B5E20"/>
                <w:sz w:val="18"/>
              </w:rPr>
              <w:t>Training &amp; Capacity Building</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val="0"/>
                <w:i w:val="0"/>
                <w:color w:val="555555"/>
                <w:sz w:val="17"/>
              </w:rPr>
              <w:t>Training of 6 Paryavaran Sakhis to lead the full wet waste value chain</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3</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5,000</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right"/>
            </w:pPr>
            <w:r>
              <w:rPr>
                <w:rFonts w:ascii="Calibri" w:hAnsi="Calibri"/>
                <w:b w:val="0"/>
                <w:i w:val="0"/>
                <w:color w:val="2B2B2B"/>
                <w:sz w:val="18"/>
              </w:rPr>
              <w:t>15,000</w:t>
            </w:r>
          </w:p>
        </w:tc>
      </w:tr>
      <w:tr>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r>
              <w:rPr>
                <w:rFonts w:ascii="Calibri" w:hAnsi="Calibri"/>
                <w:b/>
                <w:i w:val="0"/>
                <w:color w:val="FFFFFF"/>
                <w:sz w:val="19"/>
              </w:rPr>
              <w:t>C. OFFICE EXPENSES</w:t>
            </w: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pPr>
          </w:p>
        </w:tc>
        <w:tc>
          <w:tcPr>
            <w:tcW w:type="dxa" w:w="1882"/>
            <w:tcBorders>
              <w:top w:val="single" w:sz="4" w:color="B55A2A"/>
              <w:left w:val="single" w:sz="4" w:color="B55A2A"/>
              <w:bottom w:val="single" w:sz="4" w:color="B55A2A"/>
              <w:right w:val="single" w:sz="4" w:color="B55A2A"/>
            </w:tcBorders>
            <w:shd w:val="clear" w:color="auto" w:fill="B55A2A"/>
            <w:tcMar>
              <w:top w:w="55" w:type="dxa"/>
              <w:bottom w:w="55" w:type="dxa"/>
              <w:start w:w="100" w:type="dxa"/>
              <w:end w:w="100" w:type="dxa"/>
            </w:tcMar>
          </w:tcPr>
          <w:p>
            <w:pPr>
              <w:spacing w:after="0"/>
              <w:jc w:val="right"/>
            </w:pPr>
            <w:r>
              <w:rPr>
                <w:rFonts w:ascii="Calibri" w:hAnsi="Calibri"/>
                <w:b/>
                <w:i w:val="0"/>
                <w:color w:val="FFFFFF"/>
                <w:sz w:val="19"/>
              </w:rPr>
              <w:t>20,000</w:t>
            </w:r>
          </w:p>
        </w:tc>
      </w:tr>
      <w:tr>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i w:val="0"/>
                <w:color w:val="1B5E20"/>
                <w:sz w:val="18"/>
              </w:rPr>
              <w:t>Printing &amp; Stationery</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pPr>
            <w:r>
              <w:rPr>
                <w:rFonts w:ascii="Calibri" w:hAnsi="Calibri"/>
                <w:b w:val="0"/>
                <w:i w:val="0"/>
                <w:color w:val="555555"/>
                <w:sz w:val="17"/>
              </w:rPr>
              <w:t>Stakeholders’ reports and other office expenses</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FFFFF"/>
            <w:tcMar>
              <w:top w:w="55" w:type="dxa"/>
              <w:bottom w:w="55" w:type="dxa"/>
              <w:start w:w="100" w:type="dxa"/>
              <w:end w:w="100" w:type="dxa"/>
            </w:tcMar>
          </w:tcPr>
          <w:p>
            <w:pPr>
              <w:spacing w:after="0"/>
              <w:jc w:val="right"/>
            </w:pPr>
            <w:r>
              <w:rPr>
                <w:rFonts w:ascii="Calibri" w:hAnsi="Calibri"/>
                <w:b w:val="0"/>
                <w:i w:val="0"/>
                <w:color w:val="2B2B2B"/>
                <w:sz w:val="18"/>
              </w:rPr>
              <w:t>10,000</w:t>
            </w:r>
          </w:p>
        </w:tc>
      </w:tr>
      <w:tr>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i w:val="0"/>
                <w:color w:val="1B5E20"/>
                <w:sz w:val="18"/>
              </w:rPr>
              <w:t>Local Travel</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pPr>
            <w:r>
              <w:rPr>
                <w:rFonts w:ascii="Calibri" w:hAnsi="Calibri"/>
                <w:b w:val="0"/>
                <w:i w:val="0"/>
                <w:color w:val="555555"/>
                <w:sz w:val="17"/>
              </w:rPr>
              <w:t>Field travel for collection, monitoring &amp; coordination</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center"/>
            </w:pPr>
            <w:r>
              <w:rPr>
                <w:rFonts w:ascii="Calibri" w:hAnsi="Calibri"/>
                <w:b w:val="0"/>
                <w:i w:val="0"/>
                <w:color w:val="2B2B2B"/>
                <w:sz w:val="18"/>
              </w:rPr>
              <w:t>–</w:t>
            </w:r>
          </w:p>
        </w:tc>
        <w:tc>
          <w:tcPr>
            <w:tcW w:type="dxa" w:w="1882"/>
            <w:tcBorders>
              <w:top w:val="single" w:sz="4" w:color="D8D2C4"/>
              <w:left w:val="single" w:sz="4" w:color="D8D2C4"/>
              <w:bottom w:val="single" w:sz="4" w:color="D8D2C4"/>
              <w:right w:val="single" w:sz="4" w:color="D8D2C4"/>
            </w:tcBorders>
            <w:shd w:val="clear" w:color="auto" w:fill="FBF8F2"/>
            <w:tcMar>
              <w:top w:w="55" w:type="dxa"/>
              <w:bottom w:w="55" w:type="dxa"/>
              <w:start w:w="100" w:type="dxa"/>
              <w:end w:w="100" w:type="dxa"/>
            </w:tcMar>
          </w:tcPr>
          <w:p>
            <w:pPr>
              <w:spacing w:after="0"/>
              <w:jc w:val="right"/>
            </w:pPr>
            <w:r>
              <w:rPr>
                <w:rFonts w:ascii="Calibri" w:hAnsi="Calibri"/>
                <w:b w:val="0"/>
                <w:i w:val="0"/>
                <w:color w:val="2B2B2B"/>
                <w:sz w:val="18"/>
              </w:rPr>
              <w:t>10,000</w:t>
            </w:r>
          </w:p>
        </w:tc>
      </w:tr>
      <w:tr>
        <w:tc>
          <w:tcPr>
            <w:tcW w:type="dxa" w:w="1882"/>
            <w:tcBorders>
              <w:top w:val="single" w:sz="4" w:color="1B5E20"/>
              <w:left w:val="single" w:sz="4" w:color="1B5E20"/>
              <w:bottom w:val="single" w:sz="4" w:color="1B5E20"/>
              <w:right w:val="single" w:sz="4" w:color="1B5E20"/>
            </w:tcBorders>
            <w:shd w:val="clear" w:color="auto" w:fill="1B5E20"/>
            <w:tcMar>
              <w:top w:w="55" w:type="dxa"/>
              <w:bottom w:w="55" w:type="dxa"/>
              <w:start w:w="100" w:type="dxa"/>
              <w:end w:w="100" w:type="dxa"/>
            </w:tcMar>
          </w:tcPr>
          <w:p>
            <w:pPr>
              <w:spacing w:after="0"/>
            </w:pPr>
            <w:r>
              <w:rPr>
                <w:rFonts w:ascii="Calibri" w:hAnsi="Calibri"/>
                <w:b/>
                <w:i w:val="0"/>
                <w:color w:val="FFFFFF"/>
                <w:sz w:val="21"/>
              </w:rPr>
              <w:t>TOTAL PROJECT COST</w:t>
            </w:r>
          </w:p>
        </w:tc>
        <w:tc>
          <w:tcPr>
            <w:tcW w:type="dxa" w:w="1882"/>
            <w:tcBorders>
              <w:top w:val="single" w:sz="4" w:color="1B5E20"/>
              <w:left w:val="single" w:sz="4" w:color="1B5E20"/>
              <w:bottom w:val="single" w:sz="4" w:color="1B5E20"/>
              <w:right w:val="single" w:sz="4" w:color="1B5E20"/>
            </w:tcBorders>
            <w:shd w:val="clear" w:color="auto" w:fill="1B5E20"/>
            <w:tcMar>
              <w:top w:w="55" w:type="dxa"/>
              <w:bottom w:w="55" w:type="dxa"/>
              <w:start w:w="100" w:type="dxa"/>
              <w:end w:w="100" w:type="dxa"/>
            </w:tcMar>
          </w:tcPr>
          <w:p/>
        </w:tc>
        <w:tc>
          <w:tcPr>
            <w:tcW w:type="dxa" w:w="1882"/>
            <w:tcBorders>
              <w:top w:val="single" w:sz="4" w:color="1B5E20"/>
              <w:left w:val="single" w:sz="4" w:color="1B5E20"/>
              <w:bottom w:val="single" w:sz="4" w:color="1B5E20"/>
              <w:right w:val="single" w:sz="4" w:color="1B5E20"/>
            </w:tcBorders>
            <w:shd w:val="clear" w:color="auto" w:fill="1B5E20"/>
            <w:tcMar>
              <w:top w:w="55" w:type="dxa"/>
              <w:bottom w:w="55" w:type="dxa"/>
              <w:start w:w="100" w:type="dxa"/>
              <w:end w:w="100" w:type="dxa"/>
            </w:tcMar>
          </w:tcPr>
          <w:p/>
        </w:tc>
        <w:tc>
          <w:tcPr>
            <w:tcW w:type="dxa" w:w="1882"/>
            <w:tcBorders>
              <w:top w:val="single" w:sz="4" w:color="1B5E20"/>
              <w:left w:val="single" w:sz="4" w:color="1B5E20"/>
              <w:bottom w:val="single" w:sz="4" w:color="1B5E20"/>
              <w:right w:val="single" w:sz="4" w:color="1B5E20"/>
            </w:tcBorders>
            <w:shd w:val="clear" w:color="auto" w:fill="1B5E20"/>
            <w:tcMar>
              <w:top w:w="55" w:type="dxa"/>
              <w:bottom w:w="55" w:type="dxa"/>
              <w:start w:w="100" w:type="dxa"/>
              <w:end w:w="100" w:type="dxa"/>
            </w:tcMar>
          </w:tcPr>
          <w:p/>
        </w:tc>
        <w:tc>
          <w:tcPr>
            <w:tcW w:type="dxa" w:w="1882"/>
            <w:tcBorders>
              <w:top w:val="single" w:sz="4" w:color="1B5E20"/>
              <w:left w:val="single" w:sz="4" w:color="1B5E20"/>
              <w:bottom w:val="single" w:sz="4" w:color="1B5E20"/>
              <w:right w:val="single" w:sz="4" w:color="1B5E20"/>
            </w:tcBorders>
            <w:shd w:val="clear" w:color="auto" w:fill="1B5E20"/>
            <w:tcMar>
              <w:top w:w="55" w:type="dxa"/>
              <w:bottom w:w="55" w:type="dxa"/>
              <w:start w:w="100" w:type="dxa"/>
              <w:end w:w="100" w:type="dxa"/>
            </w:tcMar>
          </w:tcPr>
          <w:p>
            <w:pPr>
              <w:spacing w:after="0"/>
              <w:jc w:val="right"/>
            </w:pPr>
            <w:r>
              <w:rPr>
                <w:rFonts w:ascii="Calibri" w:hAnsi="Calibri"/>
                <w:b/>
                <w:i w:val="0"/>
                <w:color w:val="FFFFFF"/>
                <w:sz w:val="22"/>
              </w:rPr>
              <w:t>2,75,420</w:t>
            </w:r>
          </w:p>
        </w:tc>
      </w:tr>
    </w:tbl>
    <w:p>
      <w:pPr>
        <w:spacing w:after="160" w:before="0"/>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Implementation Timeline (3 Months)</w:t>
            </w:r>
          </w:p>
        </w:tc>
      </w:tr>
    </w:tbl>
    <w:p>
      <w:pPr>
        <w:spacing w:after="4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37"/>
        <w:gridCol w:w="3137"/>
        <w:gridCol w:w="3137"/>
      </w:tblGrid>
      <w:tr>
        <w:tc>
          <w:tcPr>
            <w:tcW w:type="dxa" w:w="1247"/>
            <w:shd w:val="clear" w:color="auto" w:fill="1B5E20"/>
            <w:tcMar>
              <w:top w:w="90" w:type="dxa"/>
              <w:bottom w:w="90" w:type="dxa"/>
              <w:start w:w="130" w:type="dxa"/>
              <w:end w:w="130" w:type="dxa"/>
            </w:tcMar>
            <w:vAlign w:val="center"/>
          </w:tcPr>
          <w:p>
            <w:pPr>
              <w:spacing w:after="0"/>
              <w:jc w:val="center"/>
            </w:pPr>
            <w:r>
              <w:rPr>
                <w:rFonts w:ascii="Calibri" w:hAnsi="Calibri"/>
                <w:b/>
                <w:i w:val="0"/>
                <w:color w:val="FFFFFF"/>
                <w:sz w:val="21"/>
              </w:rPr>
              <w:t>Month 1</w:t>
            </w:r>
          </w:p>
        </w:tc>
        <w:tc>
          <w:tcPr>
            <w:tcW w:type="dxa" w:w="2268"/>
            <w:shd w:val="clear" w:color="auto" w:fill="E8F1E5"/>
            <w:tcMar>
              <w:top w:w="90" w:type="dxa"/>
              <w:bottom w:w="90" w:type="dxa"/>
              <w:start w:w="130" w:type="dxa"/>
              <w:end w:w="130" w:type="dxa"/>
            </w:tcMar>
            <w:vAlign w:val="center"/>
          </w:tcPr>
          <w:p>
            <w:pPr>
              <w:spacing w:after="0"/>
            </w:pPr>
            <w:r>
              <w:rPr>
                <w:rFonts w:ascii="Calibri" w:hAnsi="Calibri"/>
                <w:b/>
                <w:i w:val="0"/>
                <w:color w:val="1B5E20"/>
                <w:sz w:val="20"/>
              </w:rPr>
              <w:t>Setup &amp; Mobilisation</w:t>
            </w:r>
          </w:p>
        </w:tc>
        <w:tc>
          <w:tcPr>
            <w:tcW w:type="dxa" w:w="5896"/>
            <w:shd w:val="clear" w:color="auto" w:fill="FBF8F2"/>
            <w:tcMar>
              <w:top w:w="90" w:type="dxa"/>
              <w:bottom w:w="90" w:type="dxa"/>
              <w:start w:w="130" w:type="dxa"/>
              <w:end w:w="130" w:type="dxa"/>
            </w:tcMar>
            <w:vAlign w:val="center"/>
          </w:tcPr>
          <w:p>
            <w:pPr>
              <w:spacing w:after="0"/>
            </w:pPr>
            <w:r>
              <w:rPr>
                <w:rFonts w:ascii="Calibri" w:hAnsi="Calibri"/>
                <w:b w:val="0"/>
                <w:i w:val="0"/>
                <w:color w:val="2B2B2B"/>
                <w:sz w:val="19"/>
              </w:rPr>
              <w:t>Train 6 Sakhis; procure consumables &amp; safety equipment; design compost brand identity; launch first awareness sessions; install initial signboards; begin wet waste collection &amp; processing.</w:t>
            </w:r>
          </w:p>
        </w:tc>
      </w:tr>
      <w:tr>
        <w:tc>
          <w:tcPr>
            <w:tcW w:type="dxa" w:w="1247"/>
            <w:shd w:val="clear" w:color="auto" w:fill="1B5E20"/>
            <w:tcMar>
              <w:top w:w="90" w:type="dxa"/>
              <w:bottom w:w="90" w:type="dxa"/>
              <w:start w:w="130" w:type="dxa"/>
              <w:end w:w="130" w:type="dxa"/>
            </w:tcMar>
            <w:vAlign w:val="center"/>
          </w:tcPr>
          <w:p>
            <w:pPr>
              <w:spacing w:after="0"/>
              <w:jc w:val="center"/>
            </w:pPr>
            <w:r>
              <w:rPr>
                <w:rFonts w:ascii="Calibri" w:hAnsi="Calibri"/>
                <w:b/>
                <w:i w:val="0"/>
                <w:color w:val="FFFFFF"/>
                <w:sz w:val="21"/>
              </w:rPr>
              <w:t>Month 2</w:t>
            </w:r>
          </w:p>
        </w:tc>
        <w:tc>
          <w:tcPr>
            <w:tcW w:type="dxa" w:w="2268"/>
            <w:shd w:val="clear" w:color="auto" w:fill="E8F1E5"/>
            <w:tcMar>
              <w:top w:w="90" w:type="dxa"/>
              <w:bottom w:w="90" w:type="dxa"/>
              <w:start w:w="130" w:type="dxa"/>
              <w:end w:w="130" w:type="dxa"/>
            </w:tcMar>
            <w:vAlign w:val="center"/>
          </w:tcPr>
          <w:p>
            <w:pPr>
              <w:spacing w:after="0"/>
            </w:pPr>
            <w:r>
              <w:rPr>
                <w:rFonts w:ascii="Calibri" w:hAnsi="Calibri"/>
                <w:b/>
                <w:i w:val="0"/>
                <w:color w:val="1B5E20"/>
                <w:sz w:val="20"/>
              </w:rPr>
              <w:t>Scale &amp; Engage</w:t>
            </w:r>
          </w:p>
        </w:tc>
        <w:tc>
          <w:tcPr>
            <w:tcW w:type="dxa" w:w="5896"/>
            <w:shd w:val="clear" w:color="auto" w:fill="FBF8F2"/>
            <w:tcMar>
              <w:top w:w="90" w:type="dxa"/>
              <w:bottom w:w="90" w:type="dxa"/>
              <w:start w:w="130" w:type="dxa"/>
              <w:end w:w="130" w:type="dxa"/>
            </w:tcMar>
            <w:vAlign w:val="center"/>
          </w:tcPr>
          <w:p>
            <w:pPr>
              <w:spacing w:after="0"/>
            </w:pPr>
            <w:r>
              <w:rPr>
                <w:rFonts w:ascii="Calibri" w:hAnsi="Calibri"/>
                <w:b w:val="0"/>
                <w:i w:val="0"/>
                <w:color w:val="2B2B2B"/>
                <w:sz w:val="19"/>
              </w:rPr>
              <w:t>Full-scale wet waste processing (6,000 kg/month); ongoing awareness sessions; stakeholder meetings with hotels &amp; resorts; roll out home-composting kits to households.</w:t>
            </w:r>
          </w:p>
        </w:tc>
      </w:tr>
      <w:tr>
        <w:tc>
          <w:tcPr>
            <w:tcW w:type="dxa" w:w="1247"/>
            <w:shd w:val="clear" w:color="auto" w:fill="1B5E20"/>
            <w:tcMar>
              <w:top w:w="90" w:type="dxa"/>
              <w:bottom w:w="90" w:type="dxa"/>
              <w:start w:w="130" w:type="dxa"/>
              <w:end w:w="130" w:type="dxa"/>
            </w:tcMar>
            <w:vAlign w:val="center"/>
          </w:tcPr>
          <w:p>
            <w:pPr>
              <w:spacing w:after="0"/>
              <w:jc w:val="center"/>
            </w:pPr>
            <w:r>
              <w:rPr>
                <w:rFonts w:ascii="Calibri" w:hAnsi="Calibri"/>
                <w:b/>
                <w:i w:val="0"/>
                <w:color w:val="FFFFFF"/>
                <w:sz w:val="21"/>
              </w:rPr>
              <w:t>Month 3</w:t>
            </w:r>
          </w:p>
        </w:tc>
        <w:tc>
          <w:tcPr>
            <w:tcW w:type="dxa" w:w="2268"/>
            <w:shd w:val="clear" w:color="auto" w:fill="E8F1E5"/>
            <w:tcMar>
              <w:top w:w="90" w:type="dxa"/>
              <w:bottom w:w="90" w:type="dxa"/>
              <w:start w:w="130" w:type="dxa"/>
              <w:end w:w="130" w:type="dxa"/>
            </w:tcMar>
            <w:vAlign w:val="center"/>
          </w:tcPr>
          <w:p>
            <w:pPr>
              <w:spacing w:after="0"/>
            </w:pPr>
            <w:r>
              <w:rPr>
                <w:rFonts w:ascii="Calibri" w:hAnsi="Calibri"/>
                <w:b/>
                <w:i w:val="0"/>
                <w:color w:val="1B5E20"/>
                <w:sz w:val="20"/>
              </w:rPr>
              <w:t>Consolidate &amp; Sustain</w:t>
            </w:r>
          </w:p>
        </w:tc>
        <w:tc>
          <w:tcPr>
            <w:tcW w:type="dxa" w:w="5896"/>
            <w:shd w:val="clear" w:color="auto" w:fill="FBF8F2"/>
            <w:tcMar>
              <w:top w:w="90" w:type="dxa"/>
              <w:bottom w:w="90" w:type="dxa"/>
              <w:start w:w="130" w:type="dxa"/>
              <w:end w:w="130" w:type="dxa"/>
            </w:tcMar>
            <w:vAlign w:val="center"/>
          </w:tcPr>
          <w:p>
            <w:pPr>
              <w:spacing w:after="0"/>
            </w:pPr>
            <w:r>
              <w:rPr>
                <w:rFonts w:ascii="Calibri" w:hAnsi="Calibri"/>
                <w:b w:val="0"/>
                <w:i w:val="0"/>
                <w:color w:val="2B2B2B"/>
                <w:sz w:val="19"/>
              </w:rPr>
              <w:t>Sustained processing; final stakeholder &amp; awareness rounds; recognition of active composting households; compost branding &amp; market linkage; documentation and reporting.</w:t>
            </w:r>
          </w:p>
        </w:tc>
      </w:tr>
    </w:tbl>
    <w:p>
      <w:pPr>
        <w:spacing w:after="120" w:before="0"/>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90" w:type="dxa"/>
              <w:bottom w:w="90" w:type="dxa"/>
              <w:start w:w="160" w:type="dxa"/>
              <w:end w:w="160" w:type="dxa"/>
            </w:tcMar>
          </w:tcPr>
          <w:p>
            <w:pPr>
              <w:spacing w:after="0" w:before="0"/>
            </w:pPr>
            <w:r>
              <w:rPr>
                <w:rFonts w:ascii="Calibri" w:hAnsi="Calibri"/>
                <w:b/>
                <w:i w:val="0"/>
                <w:caps w:val="true"/>
                <w:color w:val="FFFFFF"/>
                <w:sz w:val="26"/>
              </w:rPr>
              <w:t>Sustainability Beyond the Grant</w:t>
            </w:r>
          </w:p>
        </w:tc>
      </w:tr>
    </w:tbl>
    <w:p>
      <w:pPr>
        <w:spacing w:after="40"/>
      </w:pPr>
    </w:p>
    <w:p>
      <w:pPr>
        <w:spacing w:before="0" w:after="120" w:line="283" w:lineRule="auto"/>
        <w:jc w:val="both"/>
      </w:pPr>
      <w:r>
        <w:rPr>
          <w:rFonts w:ascii="Calibri" w:hAnsi="Calibri"/>
          <w:b w:val="0"/>
          <w:i w:val="0"/>
          <w:color w:val="2B2B2B"/>
          <w:sz w:val="21"/>
        </w:rPr>
        <w:t>“Mitti Se Mitti” is designed to outlast its funding. The infrastructure is already in place; this grant activates the people and systems that make it self-sustaining:</w:t>
      </w:r>
    </w:p>
    <w:p>
      <w:pPr>
        <w:pStyle w:val="ListBullet"/>
        <w:spacing w:after="60" w:line="269" w:lineRule="auto"/>
        <w:ind w:left="403"/>
      </w:pPr>
      <w:r>
        <w:rPr>
          <w:rFonts w:ascii="Calibri" w:hAnsi="Calibri"/>
          <w:b/>
          <w:i w:val="0"/>
          <w:color w:val="1B5E20"/>
          <w:sz w:val="21"/>
        </w:rPr>
        <w:t xml:space="preserve">Revenue from compost — </w:t>
      </w:r>
      <w:r>
        <w:rPr>
          <w:rFonts w:ascii="Calibri" w:hAnsi="Calibri"/>
          <w:b w:val="0"/>
          <w:i w:val="0"/>
          <w:color w:val="2B2B2B"/>
          <w:sz w:val="21"/>
        </w:rPr>
        <w:t>Selling branded, ready-to-use compost to nurseries, farmers, hotels, and tourists creates a recurring income stream.</w:t>
      </w:r>
    </w:p>
    <w:p>
      <w:pPr>
        <w:pStyle w:val="ListBullet"/>
        <w:spacing w:after="60" w:line="269" w:lineRule="auto"/>
        <w:ind w:left="403"/>
      </w:pPr>
      <w:r>
        <w:rPr>
          <w:rFonts w:ascii="Calibri" w:hAnsi="Calibri"/>
          <w:b/>
          <w:i w:val="0"/>
          <w:color w:val="1B5E20"/>
          <w:sz w:val="21"/>
        </w:rPr>
        <w:t xml:space="preserve">Bulk-generator contracts — </w:t>
      </w:r>
      <w:r>
        <w:rPr>
          <w:rFonts w:ascii="Calibri" w:hAnsi="Calibri"/>
          <w:b w:val="0"/>
          <w:i w:val="0"/>
          <w:color w:val="2B2B2B"/>
          <w:sz w:val="21"/>
        </w:rPr>
        <w:t>Formal source-segregation arrangements with hotels and resorts secure a steady, paid supply of wet waste for processing.</w:t>
      </w:r>
    </w:p>
    <w:p>
      <w:pPr>
        <w:pStyle w:val="ListBullet"/>
        <w:spacing w:after="60" w:line="269" w:lineRule="auto"/>
        <w:ind w:left="403"/>
      </w:pPr>
      <w:r>
        <w:rPr>
          <w:rFonts w:ascii="Calibri" w:hAnsi="Calibri"/>
          <w:b/>
          <w:i w:val="0"/>
          <w:color w:val="1B5E20"/>
          <w:sz w:val="21"/>
        </w:rPr>
        <w:t xml:space="preserve">Empowered Sakhis — </w:t>
      </w:r>
      <w:r>
        <w:rPr>
          <w:rFonts w:ascii="Calibri" w:hAnsi="Calibri"/>
          <w:b w:val="0"/>
          <w:i w:val="0"/>
          <w:color w:val="2B2B2B"/>
          <w:sz w:val="21"/>
        </w:rPr>
        <w:t>Trained Paryavaran Sakhis become permanent, professional service providers — not dependent on any single grant cycle.</w:t>
      </w:r>
    </w:p>
    <w:p>
      <w:pPr>
        <w:pStyle w:val="ListBullet"/>
        <w:spacing w:after="60" w:line="269" w:lineRule="auto"/>
        <w:ind w:left="403"/>
      </w:pPr>
      <w:r>
        <w:rPr>
          <w:rFonts w:ascii="Calibri" w:hAnsi="Calibri"/>
          <w:b/>
          <w:i w:val="0"/>
          <w:color w:val="1B5E20"/>
          <w:sz w:val="21"/>
        </w:rPr>
        <w:t xml:space="preserve">Behaviour change — </w:t>
      </w:r>
      <w:r>
        <w:rPr>
          <w:rFonts w:ascii="Calibri" w:hAnsi="Calibri"/>
          <w:b w:val="0"/>
          <w:i w:val="0"/>
          <w:color w:val="2B2B2B"/>
          <w:sz w:val="21"/>
        </w:rPr>
        <w:t>Awareness and home-composting embed segregation as a community habit, reducing the waste burden at source over time.</w:t>
      </w:r>
    </w:p>
    <w:p>
      <w:pPr>
        <w:spacing w:after="80" w:before="0"/>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B55A2A"/>
            <w:tcMar>
              <w:top w:w="90" w:type="dxa"/>
              <w:bottom w:w="90" w:type="dxa"/>
              <w:start w:w="160" w:type="dxa"/>
              <w:end w:w="160" w:type="dxa"/>
            </w:tcMar>
          </w:tcPr>
          <w:p>
            <w:pPr>
              <w:spacing w:after="0" w:before="0"/>
            </w:pPr>
            <w:r>
              <w:rPr>
                <w:rFonts w:ascii="Calibri" w:hAnsi="Calibri"/>
                <w:b/>
                <w:i w:val="0"/>
                <w:caps w:val="true"/>
                <w:color w:val="FFFFFF"/>
                <w:sz w:val="26"/>
              </w:rPr>
              <w:t>Looking Ahead: Scaling the Model</w:t>
            </w:r>
          </w:p>
        </w:tc>
      </w:tr>
    </w:tbl>
    <w:p>
      <w:pPr>
        <w:spacing w:after="40"/>
      </w:pPr>
    </w:p>
    <w:p>
      <w:pPr>
        <w:spacing w:before="0" w:after="120" w:line="283" w:lineRule="auto"/>
        <w:jc w:val="both"/>
      </w:pPr>
      <w:r>
        <w:rPr>
          <w:rFonts w:ascii="Calibri" w:hAnsi="Calibri"/>
          <w:b w:val="0"/>
          <w:i w:val="0"/>
          <w:color w:val="2B2B2B"/>
          <w:sz w:val="21"/>
        </w:rPr>
        <w:t>This proposal focuses on getting the wet waste system running and embedded in the community. As operations scale across more villages and bulk generators on Corbett’s periphery, reliable collection and transportation will become the single biggest constraint on growth.</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F4EEE3"/>
            <w:tcMar>
              <w:top w:w="120" w:type="dxa"/>
              <w:bottom w:w="120" w:type="dxa"/>
              <w:start w:w="200" w:type="dxa"/>
              <w:end w:w="200" w:type="dxa"/>
            </w:tcMar>
          </w:tcPr>
          <w:p>
            <w:pPr>
              <w:spacing w:after="0"/>
            </w:pPr>
            <w:r>
              <w:rPr>
                <w:rFonts w:ascii="Calibri" w:hAnsi="Calibri"/>
                <w:b/>
                <w:i w:val="0"/>
                <w:color w:val="B55A2A"/>
                <w:sz w:val="21"/>
              </w:rPr>
              <w:t xml:space="preserve">A note on what comes next:  </w:t>
            </w:r>
            <w:r>
              <w:rPr>
                <w:rFonts w:ascii="Calibri" w:hAnsi="Calibri"/>
                <w:b w:val="0"/>
                <w:i w:val="0"/>
                <w:color w:val="2B2B2B"/>
                <w:sz w:val="21"/>
              </w:rPr>
              <w:t>to conduct the awareness, operations, and collection activities described here at full scale — and to expand them across the region — a dedicated four-wheeler vehicle will be essential for waste collection, transport to the processing facility, and field mobility for the Sakhis. We look forward to sharing a detailed follow-on proposal covering this requirement, so that the Eicher Group Foundation’s support can translate into lasting, scalable impact on the ground.</w:t>
            </w:r>
          </w:p>
        </w:tc>
      </w:tr>
    </w:tbl>
    <w:p>
      <w:pPr>
        <w:spacing w:after="16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1"/>
            <w:shd w:val="clear" w:color="auto" w:fill="1B5E20"/>
            <w:tcMar>
              <w:top w:w="200" w:type="dxa"/>
              <w:bottom w:w="200" w:type="dxa"/>
              <w:start w:w="220" w:type="dxa"/>
              <w:end w:w="220" w:type="dxa"/>
            </w:tcMar>
          </w:tcPr>
          <w:p>
            <w:pPr>
              <w:spacing w:after="80"/>
              <w:jc w:val="center"/>
            </w:pPr>
            <w:r>
              <w:rPr>
                <w:rFonts w:ascii="Calibri" w:hAnsi="Calibri"/>
                <w:b/>
                <w:i w:val="0"/>
                <w:color w:val="FFFFFF"/>
                <w:sz w:val="28"/>
              </w:rPr>
              <w:t>Thank you for considering our proposal.</w:t>
            </w:r>
          </w:p>
          <w:p>
            <w:pPr>
              <w:spacing w:after="0"/>
              <w:jc w:val="center"/>
            </w:pPr>
            <w:r>
              <w:rPr>
                <w:rFonts w:ascii="Calibri" w:hAnsi="Calibri"/>
                <w:b w:val="0"/>
                <w:i/>
                <w:color w:val="DDECDA"/>
                <w:sz w:val="21"/>
              </w:rPr>
              <w:t>Together, we can ensure that on the edge of Corbett, waste returns to the soil — as compost, as dignity, and as livelihoods.</w:t>
            </w:r>
          </w:p>
        </w:tc>
      </w:tr>
    </w:tbl>
    <w:p>
      <w:pPr>
        <w:spacing w:after="200" w:before="0"/>
      </w:pPr>
    </w:p>
    <w:p>
      <w:pPr>
        <w:spacing w:before="160" w:after="60"/>
      </w:pPr>
      <w:r>
        <w:rPr>
          <w:rFonts w:ascii="Calibri" w:hAnsi="Calibri"/>
          <w:b/>
          <w:i w:val="0"/>
          <w:color w:val="1B5E20"/>
          <w:sz w:val="23"/>
        </w:rPr>
        <w:t>Get in Touch</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06"/>
            <w:shd w:val="clear" w:color="auto" w:fill="E8F1E5"/>
            <w:tcMar>
              <w:top w:w="90" w:type="dxa"/>
              <w:bottom w:w="90" w:type="dxa"/>
              <w:start w:w="140" w:type="dxa"/>
              <w:end w:w="140" w:type="dxa"/>
            </w:tcMar>
          </w:tcPr>
          <w:p>
            <w:pPr>
              <w:spacing w:after="20"/>
            </w:pPr>
            <w:r>
              <w:rPr>
                <w:rFonts w:ascii="Calibri" w:hAnsi="Calibri"/>
                <w:b/>
                <w:i w:val="0"/>
                <w:caps w:val="true"/>
                <w:color w:val="1B5E20"/>
                <w:sz w:val="19"/>
              </w:rPr>
              <w:t>Waste Warriors Society</w:t>
            </w:r>
          </w:p>
          <w:p>
            <w:pPr>
              <w:spacing w:after="0"/>
            </w:pPr>
            <w:r>
              <w:rPr>
                <w:rFonts w:ascii="Calibri" w:hAnsi="Calibri"/>
                <w:b w:val="0"/>
                <w:i w:val="0"/>
                <w:color w:val="2B2B2B"/>
                <w:sz w:val="19"/>
              </w:rPr>
              <w:t>Registered under the Indian Societies Act</w:t>
            </w:r>
          </w:p>
          <w:p>
            <w:pPr>
              <w:spacing w:after="0"/>
            </w:pPr>
            <w:r>
              <w:rPr>
                <w:rFonts w:ascii="Calibri" w:hAnsi="Calibri"/>
                <w:b w:val="0"/>
                <w:i w:val="0"/>
                <w:color w:val="2B2B2B"/>
                <w:sz w:val="19"/>
              </w:rPr>
              <w:t>12A | 80G | CSR-1 | FCRA</w:t>
            </w:r>
          </w:p>
        </w:tc>
        <w:tc>
          <w:tcPr>
            <w:tcW w:type="dxa" w:w="4706"/>
            <w:shd w:val="clear" w:color="auto" w:fill="FBF8F2"/>
            <w:tcMar>
              <w:top w:w="90" w:type="dxa"/>
              <w:bottom w:w="90" w:type="dxa"/>
              <w:start w:w="140" w:type="dxa"/>
              <w:end w:w="140" w:type="dxa"/>
            </w:tcMar>
          </w:tcPr>
          <w:p>
            <w:pPr>
              <w:spacing w:after="20"/>
            </w:pPr>
            <w:r>
              <w:rPr>
                <w:rFonts w:ascii="Calibri" w:hAnsi="Calibri"/>
                <w:b/>
                <w:i w:val="0"/>
                <w:caps w:val="true"/>
                <w:color w:val="1B5E20"/>
                <w:sz w:val="19"/>
              </w:rPr>
              <w:t>Address</w:t>
            </w:r>
          </w:p>
          <w:p>
            <w:pPr>
              <w:spacing w:after="0"/>
            </w:pPr>
            <w:r>
              <w:rPr>
                <w:rFonts w:ascii="Calibri" w:hAnsi="Calibri"/>
                <w:b w:val="0"/>
                <w:i w:val="0"/>
                <w:color w:val="2B2B2B"/>
                <w:sz w:val="19"/>
              </w:rPr>
              <w:t>136/2/2, Shivam Vihar, Jakhan, Rajpur Road,</w:t>
            </w:r>
          </w:p>
          <w:p>
            <w:pPr>
              <w:spacing w:after="0"/>
            </w:pPr>
            <w:r>
              <w:rPr>
                <w:rFonts w:ascii="Calibri" w:hAnsi="Calibri"/>
                <w:b w:val="0"/>
                <w:i w:val="0"/>
                <w:color w:val="2B2B2B"/>
                <w:sz w:val="19"/>
              </w:rPr>
              <w:t>Dehradun, Uttarakhand – 248001</w:t>
            </w:r>
          </w:p>
        </w:tc>
      </w:tr>
      <w:tr>
        <w:tc>
          <w:tcPr>
            <w:tcW w:type="dxa" w:w="4706"/>
            <w:shd w:val="clear" w:color="auto" w:fill="E8F1E5"/>
            <w:tcMar>
              <w:top w:w="90" w:type="dxa"/>
              <w:bottom w:w="90" w:type="dxa"/>
              <w:start w:w="140" w:type="dxa"/>
              <w:end w:w="140" w:type="dxa"/>
            </w:tcMar>
          </w:tcPr>
          <w:p>
            <w:pPr>
              <w:spacing w:after="20"/>
            </w:pPr>
            <w:r>
              <w:rPr>
                <w:rFonts w:ascii="Calibri" w:hAnsi="Calibri"/>
                <w:b/>
                <w:i w:val="0"/>
                <w:caps w:val="true"/>
                <w:color w:val="1B5E20"/>
                <w:sz w:val="19"/>
              </w:rPr>
              <w:t>Email</w:t>
            </w:r>
          </w:p>
          <w:p>
            <w:pPr>
              <w:spacing w:after="0"/>
            </w:pPr>
            <w:r>
              <w:rPr>
                <w:rFonts w:ascii="Calibri" w:hAnsi="Calibri"/>
                <w:b w:val="0"/>
                <w:i w:val="0"/>
                <w:color w:val="2B2B2B"/>
                <w:sz w:val="19"/>
              </w:rPr>
              <w:t>partnerships@wastewarriors.org</w:t>
            </w:r>
          </w:p>
        </w:tc>
        <w:tc>
          <w:tcPr>
            <w:tcW w:type="dxa" w:w="4706"/>
            <w:shd w:val="clear" w:color="auto" w:fill="FBF8F2"/>
            <w:tcMar>
              <w:top w:w="90" w:type="dxa"/>
              <w:bottom w:w="90" w:type="dxa"/>
              <w:start w:w="140" w:type="dxa"/>
              <w:end w:w="140" w:type="dxa"/>
            </w:tcMar>
          </w:tcPr>
          <w:p>
            <w:pPr>
              <w:spacing w:after="20"/>
            </w:pPr>
            <w:r>
              <w:rPr>
                <w:rFonts w:ascii="Calibri" w:hAnsi="Calibri"/>
                <w:b/>
                <w:i w:val="0"/>
                <w:caps w:val="true"/>
                <w:color w:val="1B5E20"/>
                <w:sz w:val="19"/>
              </w:rPr>
              <w:t>Website</w:t>
            </w:r>
          </w:p>
          <w:p>
            <w:pPr>
              <w:spacing w:after="0"/>
            </w:pPr>
            <w:r>
              <w:rPr>
                <w:rFonts w:ascii="Calibri" w:hAnsi="Calibri"/>
                <w:b w:val="0"/>
                <w:i w:val="0"/>
                <w:color w:val="2B2B2B"/>
                <w:sz w:val="19"/>
              </w:rPr>
              <w:t>www.wastewarriors.org</w:t>
            </w:r>
          </w:p>
        </w:tc>
      </w:tr>
    </w:tbl>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