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i w:val="0"/>
          <w:color w:val="000000"/>
          <w:sz w:val="32"/>
        </w:rPr>
        <w:t>5.3  Pollution</w:t>
      </w:r>
    </w:p>
    <w:p>
      <w:r>
        <w:rPr>
          <w:rFonts w:ascii="Arial" w:hAnsi="Arial"/>
          <w:b w:val="0"/>
          <w:i w:val="0"/>
          <w:color w:val="000000"/>
          <w:sz w:val="22"/>
        </w:rPr>
        <w:t>Pollution prevention and environmental stewardship are core commitments within XYZ Logistics LLC's environmental strategy. The Company recognises that effective pollution management is fundamental to protecting ecosystems, human health, and the communities in which it operates. XYZ Logistics LLC maintains a comprehensive Pollution Prevention and Control programme designed to minimise emissions to air, water, and soil; responsibly manage substances of concern (SoC) and substances of very high concern (SVHC); and proactively mitigate pollution-related financial and operational risks across all levels of the organisation.</w:t>
      </w:r>
      <w:r>
        <w:rPr>
          <w:rFonts w:ascii="Arial" w:hAnsi="Arial"/>
          <w:b w:val="0"/>
          <w:i w:val="0"/>
          <w:color w:val="000000"/>
          <w:sz w:val="18"/>
        </w:rPr>
        <w:t xml:space="preserve"> [</w:t>
      </w:r>
      <w:r>
        <w:rPr>
          <w:rFonts w:ascii="Arial" w:hAnsi="Arial"/>
          <w:b w:val="0"/>
          <w:i w:val="0"/>
          <w:color w:val="0070C0"/>
          <w:sz w:val="18"/>
        </w:rPr>
        <w:t>GRI 305-7</w:t>
      </w:r>
      <w:r>
        <w:rPr>
          <w:rFonts w:ascii="Arial" w:hAnsi="Arial"/>
          <w:b w:val="0"/>
          <w:i w:val="0"/>
          <w:color w:val="000000"/>
          <w:sz w:val="18"/>
        </w:rPr>
        <w:t>]</w:t>
      </w:r>
    </w:p>
    <w:p>
      <w:r>
        <w:rPr>
          <w:rFonts w:ascii="Arial" w:hAnsi="Arial"/>
          <w:b w:val="0"/>
          <w:i w:val="0"/>
          <w:color w:val="000000"/>
          <w:sz w:val="22"/>
        </w:rPr>
        <w:t>This section presents XYZ Logistics LLC's Pollution disclosure for FY 2025, aligned with the relevant European Sustainability Reporting Standards (ESRS) and applicable GRI Standards.</w:t>
      </w:r>
      <w:r>
        <w:rPr>
          <w:rFonts w:ascii="Arial" w:hAnsi="Arial"/>
          <w:b w:val="0"/>
          <w:i w:val="0"/>
          <w:color w:val="000000"/>
          <w:sz w:val="18"/>
        </w:rPr>
        <w:t xml:space="preserve"> [</w:t>
      </w:r>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ESRS E2-IRO-1</w:t>
      </w:r>
      <w:r>
        <w:rPr>
          <w:rFonts w:ascii="Arial" w:hAnsi="Arial"/>
          <w:b w:val="0"/>
          <w:i w:val="0"/>
          <w:color w:val="000000"/>
          <w:sz w:val="18"/>
        </w:rPr>
        <w:t xml:space="preserve"> | </w:t>
      </w:r>
      <w:r>
        <w:rPr>
          <w:rFonts w:ascii="Arial" w:hAnsi="Arial"/>
          <w:b w:val="0"/>
          <w:i w:val="0"/>
          <w:color w:val="00B050"/>
          <w:sz w:val="18"/>
        </w:rPr>
        <w:t>ESRS E2-4</w:t>
      </w:r>
      <w:r>
        <w:rPr>
          <w:rFonts w:ascii="Arial" w:hAnsi="Arial"/>
          <w:b w:val="0"/>
          <w:i w:val="0"/>
          <w:color w:val="000000"/>
          <w:sz w:val="18"/>
        </w:rPr>
        <w:t xml:space="preserve"> | </w:t>
      </w:r>
      <w:r>
        <w:rPr>
          <w:rFonts w:ascii="Arial" w:hAnsi="Arial"/>
          <w:b w:val="0"/>
          <w:i w:val="0"/>
          <w:color w:val="00B050"/>
          <w:sz w:val="18"/>
        </w:rPr>
        <w:t>ESRS E2-5</w:t>
      </w:r>
      <w:r>
        <w:rPr>
          <w:rFonts w:ascii="Arial" w:hAnsi="Arial"/>
          <w:b w:val="0"/>
          <w:i w:val="0"/>
          <w:color w:val="000000"/>
          <w:sz w:val="18"/>
        </w:rPr>
        <w:t xml:space="preserve"> | </w:t>
      </w:r>
      <w:r>
        <w:rPr>
          <w:rFonts w:ascii="Arial" w:hAnsi="Arial"/>
          <w:b w:val="0"/>
          <w:i w:val="0"/>
          <w:color w:val="00B050"/>
          <w:sz w:val="18"/>
        </w:rPr>
        <w:t>ESRS E2-6</w:t>
      </w:r>
      <w:r>
        <w:rPr>
          <w:rFonts w:ascii="Arial" w:hAnsi="Arial"/>
          <w:b w:val="0"/>
          <w:i w:val="0"/>
          <w:color w:val="000000"/>
          <w:sz w:val="18"/>
        </w:rPr>
        <w:t>]</w:t>
      </w:r>
    </w:p>
    <w:p>
      <w:pPr>
        <w:pStyle w:val="Heading2"/>
      </w:pPr>
      <w:r>
        <w:rPr>
          <w:rFonts w:ascii="Arial" w:hAnsi="Arial"/>
          <w:b/>
          <w:i w:val="0"/>
          <w:color w:val="000000"/>
          <w:sz w:val="26"/>
        </w:rPr>
        <w:t>Pollution at a Glance</w:t>
      </w:r>
    </w:p>
    <w:p>
      <w:r>
        <w:rPr>
          <w:rFonts w:ascii="Arial" w:hAnsi="Arial"/>
          <w:b/>
          <w:i w:val="0"/>
          <w:color w:val="000000"/>
          <w:sz w:val="22"/>
        </w:rPr>
        <w:t>Overview: Reporting Topics &amp; GRI / ESRS Alignment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Topic</w:t>
            </w:r>
          </w:p>
        </w:tc>
        <w:tc>
          <w:tcPr>
            <w:tcW w:type="dxa" w:w="3024"/>
            <w:shd w:val="clear" w:color="auto" w:fill="D9D9D9"/>
          </w:tcPr>
          <w:p>
            <w:r>
              <w:rPr>
                <w:rFonts w:ascii="Arial" w:hAnsi="Arial"/>
                <w:b/>
                <w:i w:val="0"/>
                <w:color w:val="000000"/>
                <w:sz w:val="20"/>
              </w:rPr>
              <w:t>GRI Reference</w:t>
            </w:r>
          </w:p>
        </w:tc>
        <w:tc>
          <w:tcPr>
            <w:tcW w:type="dxa" w:w="3024"/>
            <w:shd w:val="clear" w:color="auto" w:fill="D9D9D9"/>
          </w:tcPr>
          <w:p>
            <w:r>
              <w:rPr>
                <w:rFonts w:ascii="Arial" w:hAnsi="Arial"/>
                <w:b/>
                <w:i w:val="0"/>
                <w:color w:val="000000"/>
                <w:sz w:val="20"/>
              </w:rPr>
              <w:t>ESRS Reference</w:t>
            </w:r>
          </w:p>
        </w:tc>
      </w:tr>
      <w:tr>
        <w:tc>
          <w:tcPr>
            <w:tcW w:type="dxa" w:w="3024"/>
          </w:tcPr>
          <w:p>
            <w:r>
              <w:rPr>
                <w:rFonts w:ascii="Arial" w:hAnsi="Arial"/>
                <w:b/>
                <w:i w:val="0"/>
                <w:color w:val="000000"/>
                <w:sz w:val="20"/>
              </w:rPr>
              <w:t>Processes to Identify and Assess Material Pollution-Related Impacts, Risks and Opportunities</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E2-IRO-1</w:t>
            </w:r>
          </w:p>
        </w:tc>
      </w:tr>
      <w:tr>
        <w:tc>
          <w:tcPr>
            <w:tcW w:type="dxa" w:w="3024"/>
          </w:tcPr>
          <w:p>
            <w:r>
              <w:rPr>
                <w:rFonts w:ascii="Arial" w:hAnsi="Arial"/>
                <w:b/>
                <w:i w:val="0"/>
                <w:color w:val="000000"/>
                <w:sz w:val="20"/>
              </w:rPr>
              <w:t>Policies Related to Pollution</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E2-1</w:t>
            </w:r>
          </w:p>
        </w:tc>
      </w:tr>
      <w:tr>
        <w:tc>
          <w:tcPr>
            <w:tcW w:type="dxa" w:w="3024"/>
          </w:tcPr>
          <w:p>
            <w:r>
              <w:rPr>
                <w:rFonts w:ascii="Arial" w:hAnsi="Arial"/>
                <w:b/>
                <w:i w:val="0"/>
                <w:color w:val="000000"/>
                <w:sz w:val="20"/>
              </w:rPr>
              <w:t>Actions and Resources Related to Pollution</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E2-2</w:t>
            </w:r>
          </w:p>
        </w:tc>
      </w:tr>
      <w:tr>
        <w:tc>
          <w:tcPr>
            <w:tcW w:type="dxa" w:w="3024"/>
          </w:tcPr>
          <w:p>
            <w:r>
              <w:rPr>
                <w:rFonts w:ascii="Arial" w:hAnsi="Arial"/>
                <w:b/>
                <w:i w:val="0"/>
                <w:color w:val="000000"/>
                <w:sz w:val="20"/>
              </w:rPr>
              <w:t>Targets Related to Pollution</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E2-3</w:t>
            </w:r>
          </w:p>
        </w:tc>
      </w:tr>
      <w:tr>
        <w:tc>
          <w:tcPr>
            <w:tcW w:type="dxa" w:w="3024"/>
          </w:tcPr>
          <w:p>
            <w:r>
              <w:rPr>
                <w:rFonts w:ascii="Arial" w:hAnsi="Arial"/>
                <w:b/>
                <w:i w:val="0"/>
                <w:color w:val="000000"/>
                <w:sz w:val="20"/>
              </w:rPr>
              <w:t>Pollution of Air</w:t>
            </w:r>
          </w:p>
        </w:tc>
        <w:tc>
          <w:tcPr>
            <w:tcW w:type="dxa" w:w="3024"/>
          </w:tcPr>
          <w:p>
            <w:r>
              <w:rPr>
                <w:rFonts w:ascii="Arial" w:hAnsi="Arial"/>
                <w:b w:val="0"/>
                <w:i w:val="0"/>
                <w:color w:val="0070C0"/>
                <w:sz w:val="18"/>
              </w:rPr>
              <w:t>GRI 305-7</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E2-4</w:t>
            </w:r>
          </w:p>
        </w:tc>
      </w:tr>
      <w:tr>
        <w:tc>
          <w:tcPr>
            <w:tcW w:type="dxa" w:w="3024"/>
          </w:tcPr>
          <w:p>
            <w:r>
              <w:rPr>
                <w:rFonts w:ascii="Arial" w:hAnsi="Arial"/>
                <w:b/>
                <w:i w:val="0"/>
                <w:color w:val="000000"/>
                <w:sz w:val="20"/>
              </w:rPr>
              <w:t>Pollution of Water</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E2-4</w:t>
            </w:r>
          </w:p>
        </w:tc>
      </w:tr>
      <w:tr>
        <w:tc>
          <w:tcPr>
            <w:tcW w:type="dxa" w:w="3024"/>
          </w:tcPr>
          <w:p>
            <w:r>
              <w:rPr>
                <w:rFonts w:ascii="Arial" w:hAnsi="Arial"/>
                <w:b/>
                <w:i w:val="0"/>
                <w:color w:val="000000"/>
                <w:sz w:val="20"/>
              </w:rPr>
              <w:t>Pollution of Soil</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E2-4</w:t>
            </w:r>
          </w:p>
        </w:tc>
      </w:tr>
      <w:tr>
        <w:tc>
          <w:tcPr>
            <w:tcW w:type="dxa" w:w="3024"/>
          </w:tcPr>
          <w:p>
            <w:r>
              <w:rPr>
                <w:rFonts w:ascii="Arial" w:hAnsi="Arial"/>
                <w:b/>
                <w:i w:val="0"/>
                <w:color w:val="000000"/>
                <w:sz w:val="20"/>
              </w:rPr>
              <w:t>Integrated Pollution Control &amp; BAT Performance Tracking</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E2-4</w:t>
            </w:r>
          </w:p>
        </w:tc>
      </w:tr>
      <w:tr>
        <w:tc>
          <w:tcPr>
            <w:tcW w:type="dxa" w:w="3024"/>
          </w:tcPr>
          <w:p>
            <w:r>
              <w:rPr>
                <w:rFonts w:ascii="Arial" w:hAnsi="Arial"/>
                <w:b/>
                <w:i w:val="0"/>
                <w:color w:val="000000"/>
                <w:sz w:val="20"/>
              </w:rPr>
              <w:t>Substances of Concern</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E2-5</w:t>
            </w:r>
          </w:p>
        </w:tc>
      </w:tr>
      <w:tr>
        <w:tc>
          <w:tcPr>
            <w:tcW w:type="dxa" w:w="3024"/>
          </w:tcPr>
          <w:p>
            <w:r>
              <w:rPr>
                <w:rFonts w:ascii="Arial" w:hAnsi="Arial"/>
                <w:b/>
                <w:i w:val="0"/>
                <w:color w:val="000000"/>
                <w:sz w:val="20"/>
              </w:rPr>
              <w:t>Substances of Very High Concern</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E2-5</w:t>
            </w:r>
          </w:p>
        </w:tc>
      </w:tr>
      <w:tr>
        <w:tc>
          <w:tcPr>
            <w:tcW w:type="dxa" w:w="3024"/>
          </w:tcPr>
          <w:p>
            <w:r>
              <w:rPr>
                <w:rFonts w:ascii="Arial" w:hAnsi="Arial"/>
                <w:b/>
                <w:i w:val="0"/>
                <w:color w:val="000000"/>
                <w:sz w:val="20"/>
              </w:rPr>
              <w:t>Anticipated Financial Effects from Material Pollution-Related Risks and Opportunities</w:t>
            </w:r>
          </w:p>
        </w:tc>
        <w:tc>
          <w:tcPr>
            <w:tcW w:type="dxa" w:w="3024"/>
          </w:tcPr>
          <w:p>
            <w:r>
              <w:rPr>
                <w:rFonts w:ascii="Arial" w:hAnsi="Arial"/>
                <w:b w:val="0"/>
                <w:i w:val="0"/>
                <w:color w:val="000000"/>
                <w:sz w:val="18"/>
              </w:rPr>
              <w:t>—</w:t>
            </w:r>
          </w:p>
        </w:tc>
        <w:tc>
          <w:tcPr>
            <w:tcW w:type="dxa" w:w="3024"/>
          </w:tcPr>
          <w:p>
            <w:r>
              <w:rPr>
                <w:rFonts w:ascii="Arial" w:hAnsi="Arial"/>
                <w:b w:val="0"/>
                <w:i w:val="0"/>
                <w:color w:val="00B050"/>
                <w:sz w:val="18"/>
              </w:rPr>
              <w:t>ESRS E2</w:t>
            </w:r>
            <w:r>
              <w:rPr>
                <w:rFonts w:ascii="Arial" w:hAnsi="Arial"/>
                <w:b w:val="0"/>
                <w:i w:val="0"/>
                <w:color w:val="000000"/>
                <w:sz w:val="18"/>
              </w:rPr>
              <w:t xml:space="preserve"> | </w:t>
            </w:r>
            <w:r>
              <w:rPr>
                <w:rFonts w:ascii="Arial" w:hAnsi="Arial"/>
                <w:b w:val="0"/>
                <w:i w:val="0"/>
                <w:color w:val="00B050"/>
                <w:sz w:val="18"/>
              </w:rPr>
              <w:t>E2-6</w:t>
            </w:r>
          </w:p>
        </w:tc>
      </w:tr>
    </w:tbl>
    <w:p>
      <w:pPr>
        <w:pStyle w:val="Heading2"/>
      </w:pPr>
      <w:r>
        <w:rPr>
          <w:rFonts w:ascii="Arial" w:hAnsi="Arial"/>
          <w:b/>
          <w:i w:val="0"/>
          <w:color w:val="000000"/>
          <w:sz w:val="26"/>
        </w:rPr>
        <w:t>Management Approach</w:t>
      </w:r>
    </w:p>
    <w:p>
      <w:r>
        <w:rPr>
          <w:rFonts w:ascii="Arial" w:hAnsi="Arial"/>
          <w:b w:val="0"/>
          <w:i w:val="0"/>
          <w:color w:val="000000"/>
          <w:sz w:val="22"/>
        </w:rPr>
        <w:t>XYZ Logistics LLC's management approach to pollution prevention and control is anchored in a formal governance framework that integrates environmental risk management, regulatory compliance, and strategic sustainability commitments. The Pollution Prevention and Environmental Stewardship Policy establishes the overarching framework across all operational boundaries and is reviewed annually against the EU Zero Pollution Action Plan, the REACH Regulation, the Industrial Emissions Directive, and applicable national environmental legislation. Material pollution-related impacts, risks, and opportunities are identified through the Company's annual double materiality assessment, the outcomes of which inform target-setting, resource allocation, and disclosure priorities. Performance against pollution targets is tracked quarterly through the environmental KPI dashboard and reported to the Board's Environmental and Sustainability Committee.</w:t>
      </w:r>
      <w:r>
        <w:rPr>
          <w:rFonts w:ascii="Arial" w:hAnsi="Arial"/>
          <w:b w:val="0"/>
          <w:i w:val="0"/>
          <w:color w:val="000000"/>
          <w:sz w:val="18"/>
        </w:rPr>
        <w:t xml:space="preserve"> [</w:t>
      </w:r>
      <w:r>
        <w:rPr>
          <w:rFonts w:ascii="Arial" w:hAnsi="Arial"/>
          <w:b w:val="0"/>
          <w:i w:val="0"/>
          <w:color w:val="00B050"/>
          <w:sz w:val="18"/>
        </w:rPr>
        <w:t>ESRS E2-1</w:t>
      </w:r>
      <w:r>
        <w:rPr>
          <w:rFonts w:ascii="Arial" w:hAnsi="Arial"/>
          <w:b w:val="0"/>
          <w:i w:val="0"/>
          <w:color w:val="000000"/>
          <w:sz w:val="18"/>
        </w:rPr>
        <w:t xml:space="preserve"> | </w:t>
      </w:r>
      <w:r>
        <w:rPr>
          <w:rFonts w:ascii="Arial" w:hAnsi="Arial"/>
          <w:b w:val="0"/>
          <w:i w:val="0"/>
          <w:color w:val="00B050"/>
          <w:sz w:val="18"/>
        </w:rPr>
        <w:t>ESRS E2-2</w:t>
      </w:r>
      <w:r>
        <w:rPr>
          <w:rFonts w:ascii="Arial" w:hAnsi="Arial"/>
          <w:b w:val="0"/>
          <w:i w:val="0"/>
          <w:color w:val="000000"/>
          <w:sz w:val="18"/>
        </w:rPr>
        <w:t xml:space="preserve"> | </w:t>
      </w:r>
      <w:r>
        <w:rPr>
          <w:rFonts w:ascii="Arial" w:hAnsi="Arial"/>
          <w:b w:val="0"/>
          <w:i w:val="0"/>
          <w:color w:val="00B050"/>
          <w:sz w:val="18"/>
        </w:rPr>
        <w:t>ESRS E2-3</w:t>
      </w:r>
      <w:r>
        <w:rPr>
          <w:rFonts w:ascii="Arial" w:hAnsi="Arial"/>
          <w:b w:val="0"/>
          <w:i w:val="0"/>
          <w:color w:val="000000"/>
          <w:sz w:val="18"/>
        </w:rPr>
        <w:t>]</w:t>
      </w:r>
    </w:p>
    <w:tbl>
      <w:tblPr>
        <w:tblStyle w:val="TableGrid"/>
        <w:tblW w:type="auto" w:w="0"/>
        <w:tblLook w:firstColumn="1" w:firstRow="1" w:lastColumn="0" w:lastRow="0" w:noHBand="0" w:noVBand="1" w:val="04A0"/>
      </w:tblPr>
      <w:tblGrid>
        <w:gridCol w:w="4536"/>
        <w:gridCol w:w="4536"/>
      </w:tblGrid>
      <w:tr>
        <w:tc>
          <w:tcPr>
            <w:tcW w:type="dxa" w:w="4536"/>
            <w:shd w:val="clear" w:color="auto" w:fill="D9D9D9"/>
          </w:tcPr>
          <w:p>
            <w:r>
              <w:rPr>
                <w:rFonts w:ascii="Arial" w:hAnsi="Arial"/>
                <w:b/>
                <w:i w:val="0"/>
                <w:color w:val="000000"/>
                <w:sz w:val="20"/>
              </w:rPr>
              <w:t>Governance Role</w:t>
            </w:r>
          </w:p>
        </w:tc>
        <w:tc>
          <w:tcPr>
            <w:tcW w:type="dxa" w:w="4536"/>
            <w:shd w:val="clear" w:color="auto" w:fill="D9D9D9"/>
          </w:tcPr>
          <w:p>
            <w:r>
              <w:rPr>
                <w:rFonts w:ascii="Arial" w:hAnsi="Arial"/>
                <w:b/>
                <w:i w:val="0"/>
                <w:color w:val="000000"/>
                <w:sz w:val="20"/>
              </w:rPr>
              <w:t>Responsibility</w:t>
            </w:r>
          </w:p>
        </w:tc>
      </w:tr>
      <w:tr>
        <w:tc>
          <w:tcPr>
            <w:tcW w:type="dxa" w:w="4536"/>
          </w:tcPr>
          <w:p>
            <w:r>
              <w:rPr>
                <w:rFonts w:ascii="Arial" w:hAnsi="Arial"/>
                <w:b/>
                <w:i w:val="0"/>
                <w:color w:val="000000"/>
                <w:sz w:val="20"/>
              </w:rPr>
              <w:t>Board Environmental &amp; Sustainability Committee</w:t>
            </w:r>
          </w:p>
        </w:tc>
        <w:tc>
          <w:tcPr>
            <w:tcW w:type="dxa" w:w="4536"/>
          </w:tcPr>
          <w:p>
            <w:r>
              <w:rPr>
                <w:rFonts w:ascii="Arial" w:hAnsi="Arial"/>
                <w:b w:val="0"/>
                <w:i w:val="0"/>
                <w:color w:val="000000"/>
                <w:sz w:val="20"/>
              </w:rPr>
              <w:t>Oversight of pollution-related risks and targets; quarterly review of performance against targets.</w:t>
            </w:r>
          </w:p>
        </w:tc>
      </w:tr>
      <w:tr>
        <w:tc>
          <w:tcPr>
            <w:tcW w:type="dxa" w:w="4536"/>
          </w:tcPr>
          <w:p>
            <w:r>
              <w:rPr>
                <w:rFonts w:ascii="Arial" w:hAnsi="Arial"/>
                <w:b/>
                <w:i w:val="0"/>
                <w:color w:val="000000"/>
                <w:sz w:val="20"/>
              </w:rPr>
              <w:t>Chief Sustainability Officer (CSO)</w:t>
            </w:r>
          </w:p>
        </w:tc>
        <w:tc>
          <w:tcPr>
            <w:tcW w:type="dxa" w:w="4536"/>
          </w:tcPr>
          <w:p>
            <w:r>
              <w:rPr>
                <w:rFonts w:ascii="Arial" w:hAnsi="Arial"/>
                <w:b w:val="0"/>
                <w:i w:val="0"/>
                <w:color w:val="000000"/>
                <w:sz w:val="20"/>
              </w:rPr>
              <w:t>Executive accountability for pollution performance, policy ownership, and regulatory monitoring.</w:t>
            </w:r>
          </w:p>
        </w:tc>
      </w:tr>
      <w:tr>
        <w:tc>
          <w:tcPr>
            <w:tcW w:type="dxa" w:w="4536"/>
          </w:tcPr>
          <w:p>
            <w:r>
              <w:rPr>
                <w:rFonts w:ascii="Arial" w:hAnsi="Arial"/>
                <w:b/>
                <w:i w:val="0"/>
                <w:color w:val="000000"/>
                <w:sz w:val="20"/>
              </w:rPr>
              <w:t>Regional Environmental Leads</w:t>
            </w:r>
          </w:p>
        </w:tc>
        <w:tc>
          <w:tcPr>
            <w:tcW w:type="dxa" w:w="4536"/>
          </w:tcPr>
          <w:p>
            <w:r>
              <w:rPr>
                <w:rFonts w:ascii="Arial" w:hAnsi="Arial"/>
                <w:b w:val="0"/>
                <w:i w:val="0"/>
                <w:color w:val="000000"/>
                <w:sz w:val="20"/>
              </w:rPr>
              <w:t>Local implementation, site-level pollution prevention action plans, and monitoring data integrity.</w:t>
            </w:r>
          </w:p>
        </w:tc>
      </w:tr>
      <w:tr>
        <w:tc>
          <w:tcPr>
            <w:tcW w:type="dxa" w:w="4536"/>
          </w:tcPr>
          <w:p>
            <w:r>
              <w:rPr>
                <w:rFonts w:ascii="Arial" w:hAnsi="Arial"/>
                <w:b/>
                <w:i w:val="0"/>
                <w:color w:val="000000"/>
                <w:sz w:val="20"/>
              </w:rPr>
              <w:t>Operations &amp; Facilities</w:t>
            </w:r>
          </w:p>
        </w:tc>
        <w:tc>
          <w:tcPr>
            <w:tcW w:type="dxa" w:w="4536"/>
          </w:tcPr>
          <w:p>
            <w:r>
              <w:rPr>
                <w:rFonts w:ascii="Arial" w:hAnsi="Arial"/>
                <w:b w:val="0"/>
                <w:i w:val="0"/>
                <w:color w:val="000000"/>
                <w:sz w:val="20"/>
              </w:rPr>
              <w:t>On-site emission control, abatement equipment operation, and incident response documentation.</w:t>
            </w:r>
          </w:p>
        </w:tc>
      </w:tr>
      <w:tr>
        <w:tc>
          <w:tcPr>
            <w:tcW w:type="dxa" w:w="4536"/>
          </w:tcPr>
          <w:p>
            <w:r>
              <w:rPr>
                <w:rFonts w:ascii="Arial" w:hAnsi="Arial"/>
                <w:b/>
                <w:i w:val="0"/>
                <w:color w:val="000000"/>
                <w:sz w:val="20"/>
              </w:rPr>
              <w:t>Internal Audit</w:t>
            </w:r>
          </w:p>
        </w:tc>
        <w:tc>
          <w:tcPr>
            <w:tcW w:type="dxa" w:w="4536"/>
          </w:tcPr>
          <w:p>
            <w:r>
              <w:rPr>
                <w:rFonts w:ascii="Arial" w:hAnsi="Arial"/>
                <w:b w:val="0"/>
                <w:i w:val="0"/>
                <w:color w:val="000000"/>
                <w:sz w:val="20"/>
              </w:rPr>
              <w:t>Independent assurance, testing of environmental controls, and policy adherence verification.</w:t>
            </w:r>
          </w:p>
        </w:tc>
      </w:tr>
    </w:tbl>
    <w:p>
      <w:pPr>
        <w:pStyle w:val="Heading2"/>
      </w:pPr>
      <w:r>
        <w:rPr>
          <w:rFonts w:ascii="Arial" w:hAnsi="Arial"/>
          <w:b/>
          <w:i w:val="0"/>
          <w:color w:val="000000"/>
          <w:sz w:val="26"/>
        </w:rPr>
        <w:t>5.3.1  Processes to Identify and Assess Material Pollution-Related Impacts, Risks and Opportunities</w:t>
      </w:r>
    </w:p>
    <w:p>
      <w:r>
        <w:rPr>
          <w:rFonts w:ascii="Arial" w:hAnsi="Arial"/>
          <w:b w:val="0"/>
          <w:i w:val="0"/>
          <w:color w:val="00B050"/>
          <w:sz w:val="18"/>
        </w:rPr>
        <w:t>ESRS E2-IRO-1</w:t>
      </w:r>
      <w:r>
        <w:rPr>
          <w:rFonts w:ascii="Arial" w:hAnsi="Arial"/>
          <w:b w:val="0"/>
          <w:i w:val="0"/>
          <w:color w:val="000000"/>
          <w:sz w:val="18"/>
        </w:rPr>
        <w:t xml:space="preserve"> | </w:t>
      </w:r>
      <w:r>
        <w:rPr>
          <w:rFonts w:ascii="Arial" w:hAnsi="Arial"/>
          <w:b w:val="0"/>
          <w:i w:val="0"/>
          <w:color w:val="00B050"/>
          <w:sz w:val="18"/>
        </w:rPr>
        <w:t>ESRS E2-IRO-1-11-(a)</w:t>
      </w:r>
      <w:r>
        <w:rPr>
          <w:rFonts w:ascii="Arial" w:hAnsi="Arial"/>
          <w:b w:val="0"/>
          <w:i w:val="0"/>
          <w:color w:val="000000"/>
          <w:sz w:val="18"/>
        </w:rPr>
        <w:t xml:space="preserve"> | </w:t>
      </w:r>
      <w:r>
        <w:rPr>
          <w:rFonts w:ascii="Arial" w:hAnsi="Arial"/>
          <w:b w:val="0"/>
          <w:i w:val="0"/>
          <w:color w:val="00B050"/>
          <w:sz w:val="18"/>
        </w:rPr>
        <w:t>ESRS E2-IRO-1-11-(b)</w:t>
      </w:r>
    </w:p>
    <w:p>
      <w:pPr>
        <w:pStyle w:val="Heading3"/>
      </w:pPr>
      <w:r>
        <w:rPr>
          <w:rFonts w:ascii="Arial" w:hAnsi="Arial"/>
          <w:b/>
          <w:i w:val="0"/>
          <w:color w:val="000000"/>
          <w:sz w:val="22"/>
        </w:rPr>
        <w:t>5.3.1.1  Information About the Process to Identify Actual and Potential Pollution-Related Impacts, Risks and Opportunities</w:t>
      </w:r>
    </w:p>
    <w:p>
      <w:r>
        <w:rPr>
          <w:rFonts w:ascii="Arial" w:hAnsi="Arial"/>
          <w:b w:val="0"/>
          <w:i w:val="0"/>
          <w:color w:val="000000"/>
          <w:sz w:val="22"/>
        </w:rPr>
        <w:t>XYZ Logistics LLC maintains a formal, structured process to identify and assess material pollution-related impacts, risks, and opportunities across its operations and value chain. The Company applies a systematic double materiality assessment methodology, combining an impact materiality lens — the actual and potential effects of the Company's operations on ecosystems, water bodies, soils, and communities — with a financial materiality lens covering risks and opportunities arising from pollution-related regulatory, reputational, and transition factors. This integrated assessment is conducted annually and forms the foundation of the Company's environmental reporting and strategic planning cycle.</w:t>
      </w:r>
      <w:r>
        <w:rPr>
          <w:rFonts w:ascii="Arial" w:hAnsi="Arial"/>
          <w:b w:val="0"/>
          <w:i w:val="0"/>
          <w:color w:val="000000"/>
          <w:sz w:val="18"/>
        </w:rPr>
        <w:t xml:space="preserve"> [</w:t>
      </w:r>
      <w:r>
        <w:rPr>
          <w:rFonts w:ascii="Arial" w:hAnsi="Arial"/>
          <w:b w:val="0"/>
          <w:i w:val="0"/>
          <w:color w:val="00B050"/>
          <w:sz w:val="18"/>
        </w:rPr>
        <w:t>ESRS E2-IRO-1-11-(a)</w:t>
      </w:r>
      <w:r>
        <w:rPr>
          <w:rFonts w:ascii="Arial" w:hAnsi="Arial"/>
          <w:b w:val="0"/>
          <w:i w:val="0"/>
          <w:color w:val="000000"/>
          <w:sz w:val="18"/>
        </w:rPr>
        <w:t>]</w:t>
      </w:r>
    </w:p>
    <w:p>
      <w:pPr>
        <w:pStyle w:val="Heading3"/>
      </w:pPr>
      <w:r>
        <w:rPr>
          <w:rFonts w:ascii="Arial" w:hAnsi="Arial"/>
          <w:b/>
          <w:i w:val="0"/>
          <w:color w:val="000000"/>
          <w:sz w:val="22"/>
        </w:rPr>
        <w:t>5.3.1.2  Sites and Activities Screened for Pollution-Related Impacts, Risks and Opportunities — and Methodologies, Assumptions and Tools Used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Sites and activities screened for pollution-related impacts, risks, and opportunities</w:t>
            </w:r>
          </w:p>
        </w:tc>
        <w:tc>
          <w:tcPr>
            <w:tcW w:type="dxa" w:w="3024"/>
          </w:tcPr>
          <w:p>
            <w:r>
              <w:rPr>
                <w:rFonts w:ascii="Arial" w:hAnsi="Arial"/>
                <w:b w:val="0"/>
                <w:i w:val="0"/>
                <w:color w:val="00B050"/>
                <w:sz w:val="18"/>
              </w:rPr>
              <w:t>ESRS E2-IRO-1-11-(a)</w:t>
            </w:r>
          </w:p>
        </w:tc>
        <w:tc>
          <w:tcPr>
            <w:tcW w:type="dxa" w:w="3024"/>
          </w:tcPr>
          <w:p>
            <w:r>
              <w:rPr>
                <w:rFonts w:ascii="Arial" w:hAnsi="Arial"/>
                <w:b w:val="0"/>
                <w:i w:val="0"/>
                <w:color w:val="000000"/>
                <w:sz w:val="20"/>
              </w:rPr>
              <w:t>Yes. All operating sites and business activities were screened during FY 2025 as part of the annual environmental risk register review.</w:t>
            </w:r>
          </w:p>
        </w:tc>
      </w:tr>
    </w:tbl>
    <w:p>
      <w:r>
        <w:rPr>
          <w:rFonts w:ascii="Arial" w:hAnsi="Arial"/>
          <w:b w:val="0"/>
          <w:i w:val="0"/>
          <w:color w:val="000000"/>
          <w:sz w:val="22"/>
        </w:rPr>
        <w:t>The screening process applies internationally recognised methodologies, including ISO 14001-aligned environmental aspect and impact evaluation, EU Industrial Emissions Directive (IED) applicability assessments, and site-specific environmental baseline studies where elevated risk is identified. Assumptions underpinning the screening include the application of conservative emission thresholds, worst-case scenario modelling for incident probability assessments, and reference to current EU BAT Conclusions for sector-relevant installations. Geospatial mapping tools are deployed to identify proximity to sensitive receptors including water bodies, Natura 2000 sites, and populated areas.</w:t>
      </w:r>
      <w:r>
        <w:rPr>
          <w:rFonts w:ascii="Arial" w:hAnsi="Arial"/>
          <w:b w:val="0"/>
          <w:i w:val="0"/>
          <w:color w:val="000000"/>
          <w:sz w:val="18"/>
        </w:rPr>
        <w:t xml:space="preserve"> [</w:t>
      </w:r>
      <w:r>
        <w:rPr>
          <w:rFonts w:ascii="Arial" w:hAnsi="Arial"/>
          <w:b w:val="0"/>
          <w:i w:val="0"/>
          <w:color w:val="00B050"/>
          <w:sz w:val="18"/>
        </w:rPr>
        <w:t>ESRS E2-IRO-1-11-(a)</w:t>
      </w:r>
      <w:r>
        <w:rPr>
          <w:rFonts w:ascii="Arial" w:hAnsi="Arial"/>
          <w:b w:val="0"/>
          <w:i w:val="0"/>
          <w:color w:val="000000"/>
          <w:sz w:val="18"/>
        </w:rPr>
        <w:t>]</w:t>
      </w:r>
    </w:p>
    <w:p>
      <w:pPr>
        <w:pStyle w:val="Heading3"/>
      </w:pPr>
      <w:r>
        <w:rPr>
          <w:rFonts w:ascii="Arial" w:hAnsi="Arial"/>
          <w:b/>
          <w:i w:val="0"/>
          <w:color w:val="000000"/>
          <w:sz w:val="22"/>
        </w:rPr>
        <w:t>5.3.1.3  Stakeholder and Community Consultations Conducted in the Pollution Impact Assessment Process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Consultations conducted, particularly with affected communities</w:t>
            </w:r>
          </w:p>
        </w:tc>
        <w:tc>
          <w:tcPr>
            <w:tcW w:type="dxa" w:w="3024"/>
          </w:tcPr>
          <w:p>
            <w:r>
              <w:rPr>
                <w:rFonts w:ascii="Arial" w:hAnsi="Arial"/>
                <w:b w:val="0"/>
                <w:i w:val="0"/>
                <w:color w:val="00B050"/>
                <w:sz w:val="18"/>
              </w:rPr>
              <w:t>ESRS E2-IRO-1-11-(b)</w:t>
            </w:r>
          </w:p>
        </w:tc>
        <w:tc>
          <w:tcPr>
            <w:tcW w:type="dxa" w:w="3024"/>
          </w:tcPr>
          <w:p>
            <w:r>
              <w:rPr>
                <w:rFonts w:ascii="Arial" w:hAnsi="Arial"/>
                <w:b w:val="0"/>
                <w:i w:val="0"/>
                <w:color w:val="000000"/>
                <w:sz w:val="20"/>
              </w:rPr>
              <w:t>Yes. Structured consultations were carried out at all operating sites adjacent to residential or environmentally sensitive areas during FY 2025.</w:t>
            </w:r>
          </w:p>
        </w:tc>
      </w:tr>
    </w:tbl>
    <w:p>
      <w:r>
        <w:rPr>
          <w:rFonts w:ascii="Arial" w:hAnsi="Arial"/>
          <w:b w:val="0"/>
          <w:i w:val="0"/>
          <w:color w:val="000000"/>
          <w:sz w:val="22"/>
        </w:rPr>
        <w:t>Activities included community liaison meetings, engagement with local environmental authorities, and formalised grievance mechanisms accessible to affected parties. The outcomes of these consultations are documented, reviewed by the Pollution Prevention Council, and incorporated into site-level environmental management plans. Where material community-level concerns are identified, corrective actions are tracked through the Company's environmental incident management system and reported to the Board's Environmental and Sustainability Committee.</w:t>
      </w:r>
      <w:r>
        <w:rPr>
          <w:rFonts w:ascii="Arial" w:hAnsi="Arial"/>
          <w:b w:val="0"/>
          <w:i w:val="0"/>
          <w:color w:val="000000"/>
          <w:sz w:val="18"/>
        </w:rPr>
        <w:t xml:space="preserve"> [</w:t>
      </w:r>
      <w:r>
        <w:rPr>
          <w:rFonts w:ascii="Arial" w:hAnsi="Arial"/>
          <w:b w:val="0"/>
          <w:i w:val="0"/>
          <w:color w:val="00B050"/>
          <w:sz w:val="18"/>
        </w:rPr>
        <w:t>ESRS E2-IRO-1-11-(b)</w:t>
      </w:r>
      <w:r>
        <w:rPr>
          <w:rFonts w:ascii="Arial" w:hAnsi="Arial"/>
          <w:b w:val="0"/>
          <w:i w:val="0"/>
          <w:color w:val="000000"/>
          <w:sz w:val="18"/>
        </w:rPr>
        <w:t>]</w:t>
      </w:r>
    </w:p>
    <w:p>
      <w:pPr>
        <w:pStyle w:val="Heading2"/>
      </w:pPr>
      <w:r>
        <w:rPr>
          <w:rFonts w:ascii="Arial" w:hAnsi="Arial"/>
          <w:b/>
          <w:i w:val="0"/>
          <w:color w:val="000000"/>
          <w:sz w:val="26"/>
        </w:rPr>
        <w:t>5.3.2  Policies Related to Pollution</w:t>
      </w:r>
    </w:p>
    <w:p>
      <w:r>
        <w:rPr>
          <w:rFonts w:ascii="Arial" w:hAnsi="Arial"/>
          <w:b w:val="0"/>
          <w:i w:val="0"/>
          <w:color w:val="00B050"/>
          <w:sz w:val="18"/>
        </w:rPr>
        <w:t>ESRS E2-1</w:t>
      </w:r>
      <w:r>
        <w:rPr>
          <w:rFonts w:ascii="Arial" w:hAnsi="Arial"/>
          <w:b w:val="0"/>
          <w:i w:val="0"/>
          <w:color w:val="000000"/>
          <w:sz w:val="18"/>
        </w:rPr>
        <w:t xml:space="preserve"> | </w:t>
      </w:r>
      <w:r>
        <w:rPr>
          <w:rFonts w:ascii="Arial" w:hAnsi="Arial"/>
          <w:b w:val="0"/>
          <w:i w:val="0"/>
          <w:color w:val="00B050"/>
          <w:sz w:val="18"/>
        </w:rPr>
        <w:t>ESRS E2-1-15-(a)</w:t>
      </w:r>
      <w:r>
        <w:rPr>
          <w:rFonts w:ascii="Arial" w:hAnsi="Arial"/>
          <w:b w:val="0"/>
          <w:i w:val="0"/>
          <w:color w:val="000000"/>
          <w:sz w:val="18"/>
        </w:rPr>
        <w:t xml:space="preserve"> | </w:t>
      </w:r>
      <w:r>
        <w:rPr>
          <w:rFonts w:ascii="Arial" w:hAnsi="Arial"/>
          <w:b w:val="0"/>
          <w:i w:val="0"/>
          <w:color w:val="00B050"/>
          <w:sz w:val="18"/>
        </w:rPr>
        <w:t>ESRS E2-1-15-(b)</w:t>
      </w:r>
      <w:r>
        <w:rPr>
          <w:rFonts w:ascii="Arial" w:hAnsi="Arial"/>
          <w:b w:val="0"/>
          <w:i w:val="0"/>
          <w:color w:val="000000"/>
          <w:sz w:val="18"/>
        </w:rPr>
        <w:t xml:space="preserve"> | </w:t>
      </w:r>
      <w:r>
        <w:rPr>
          <w:rFonts w:ascii="Arial" w:hAnsi="Arial"/>
          <w:b w:val="0"/>
          <w:i w:val="0"/>
          <w:color w:val="00B050"/>
          <w:sz w:val="18"/>
        </w:rPr>
        <w:t>ESRS E2-1-15-(c)</w:t>
      </w:r>
      <w:r>
        <w:rPr>
          <w:rFonts w:ascii="Arial" w:hAnsi="Arial"/>
          <w:b w:val="0"/>
          <w:i w:val="0"/>
          <w:color w:val="000000"/>
          <w:sz w:val="18"/>
        </w:rPr>
        <w:t xml:space="preserve"> | </w:t>
      </w:r>
      <w:r>
        <w:rPr>
          <w:rFonts w:ascii="Arial" w:hAnsi="Arial"/>
          <w:b w:val="0"/>
          <w:i w:val="0"/>
          <w:color w:val="00B050"/>
          <w:sz w:val="18"/>
        </w:rPr>
        <w:t>ESRS E2-1-AR-12</w:t>
      </w:r>
    </w:p>
    <w:p>
      <w:pPr>
        <w:pStyle w:val="Heading3"/>
      </w:pPr>
      <w:r>
        <w:rPr>
          <w:rFonts w:ascii="Arial" w:hAnsi="Arial"/>
          <w:b/>
          <w:i w:val="0"/>
          <w:color w:val="000000"/>
          <w:sz w:val="22"/>
        </w:rPr>
        <w:t>5.3.2.1  Policy Coverage: Mitigation of Negative Impacts on Air, Water and Soil</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Policy addresses mitigating negative impacts related to pollution of air, water and soil</w:t>
            </w:r>
          </w:p>
        </w:tc>
        <w:tc>
          <w:tcPr>
            <w:tcW w:type="dxa" w:w="3024"/>
          </w:tcPr>
          <w:p>
            <w:r>
              <w:rPr>
                <w:rFonts w:ascii="Arial" w:hAnsi="Arial"/>
                <w:b w:val="0"/>
                <w:i w:val="0"/>
                <w:color w:val="00B050"/>
                <w:sz w:val="18"/>
              </w:rPr>
              <w:t>ESRS E2-1-15-(a)</w:t>
            </w:r>
          </w:p>
        </w:tc>
        <w:tc>
          <w:tcPr>
            <w:tcW w:type="dxa" w:w="3024"/>
          </w:tcPr>
          <w:p>
            <w:r>
              <w:rPr>
                <w:rFonts w:ascii="Arial" w:hAnsi="Arial"/>
                <w:b w:val="0"/>
                <w:i w:val="0"/>
                <w:color w:val="000000"/>
                <w:sz w:val="20"/>
              </w:rPr>
              <w:t>Yes. The Pollution Prevention and Environmental Stewardship Policy explicitly addresses mitigation across all operating entities and the value chain.</w:t>
            </w:r>
          </w:p>
        </w:tc>
      </w:tr>
    </w:tbl>
    <w:p>
      <w:r>
        <w:rPr>
          <w:rFonts w:ascii="Arial" w:hAnsi="Arial"/>
          <w:b w:val="0"/>
          <w:i w:val="0"/>
          <w:color w:val="000000"/>
          <w:sz w:val="22"/>
        </w:rPr>
        <w:t>The Policy establishes clear emission reduction targets, mandatory best available technique (BAT) adoption requirements for regulated installations, and site-level environmental management plan obligations. Policy commitments on air, water, and soil pollution are reviewed annually in conjunction with updated regulatory standards, monitoring data, and materiality assessment outcomes.</w:t>
      </w:r>
      <w:r>
        <w:rPr>
          <w:rFonts w:ascii="Arial" w:hAnsi="Arial"/>
          <w:b w:val="0"/>
          <w:i w:val="0"/>
          <w:color w:val="000000"/>
          <w:sz w:val="18"/>
        </w:rPr>
        <w:t xml:space="preserve"> [</w:t>
      </w:r>
      <w:r>
        <w:rPr>
          <w:rFonts w:ascii="Arial" w:hAnsi="Arial"/>
          <w:b w:val="0"/>
          <w:i w:val="0"/>
          <w:color w:val="00B050"/>
          <w:sz w:val="18"/>
        </w:rPr>
        <w:t>ESRS E2-1-15-(a)</w:t>
      </w:r>
      <w:r>
        <w:rPr>
          <w:rFonts w:ascii="Arial" w:hAnsi="Arial"/>
          <w:b w:val="0"/>
          <w:i w:val="0"/>
          <w:color w:val="000000"/>
          <w:sz w:val="18"/>
        </w:rPr>
        <w:t>]</w:t>
      </w:r>
    </w:p>
    <w:p>
      <w:pPr>
        <w:pStyle w:val="Heading3"/>
      </w:pPr>
      <w:r>
        <w:rPr>
          <w:rFonts w:ascii="Arial" w:hAnsi="Arial"/>
          <w:b/>
          <w:i w:val="0"/>
          <w:color w:val="000000"/>
          <w:sz w:val="22"/>
        </w:rPr>
        <w:t>5.3.2.2  Policy Coverage: Substitution and Minimisation of Substances of Concern and Phase-Out of Substances of Very High Concern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Policy addresses substituting and minimising use of substances of concern and phasing out substances of very high concern</w:t>
            </w:r>
          </w:p>
        </w:tc>
        <w:tc>
          <w:tcPr>
            <w:tcW w:type="dxa" w:w="3024"/>
          </w:tcPr>
          <w:p>
            <w:r>
              <w:rPr>
                <w:rFonts w:ascii="Arial" w:hAnsi="Arial"/>
                <w:b w:val="0"/>
                <w:i w:val="0"/>
                <w:color w:val="00B050"/>
                <w:sz w:val="18"/>
              </w:rPr>
              <w:t>ESRS E2-1-15-(b)</w:t>
            </w:r>
          </w:p>
        </w:tc>
        <w:tc>
          <w:tcPr>
            <w:tcW w:type="dxa" w:w="3024"/>
          </w:tcPr>
          <w:p>
            <w:r>
              <w:rPr>
                <w:rFonts w:ascii="Arial" w:hAnsi="Arial"/>
                <w:b w:val="0"/>
                <w:i w:val="0"/>
                <w:color w:val="000000"/>
                <w:sz w:val="20"/>
              </w:rPr>
              <w:t>Yes. The commitment is operative across all business functions, supported by a Restricted Substances List aligned with REACH Annex XVII.</w:t>
            </w:r>
          </w:p>
        </w:tc>
      </w:tr>
    </w:tbl>
    <w:p>
      <w:r>
        <w:rPr>
          <w:rFonts w:ascii="Arial" w:hAnsi="Arial"/>
          <w:b w:val="0"/>
          <w:i w:val="0"/>
          <w:color w:val="000000"/>
          <w:sz w:val="22"/>
        </w:rPr>
        <w:t>The Company maintains a Restricted Substances List (RSL) aligned with REACH Regulation Annex XVII and the SVHC Candidate List, and applies a substitution programme requiring annual review of all SoC and SVHC in use, with mandatory substitution timelines for SVHC where technically and economically feasible alternatives exist.</w:t>
      </w:r>
      <w:r>
        <w:rPr>
          <w:rFonts w:ascii="Arial" w:hAnsi="Arial"/>
          <w:b w:val="0"/>
          <w:i w:val="0"/>
          <w:color w:val="000000"/>
          <w:sz w:val="18"/>
        </w:rPr>
        <w:t xml:space="preserve"> [</w:t>
      </w:r>
      <w:r>
        <w:rPr>
          <w:rFonts w:ascii="Arial" w:hAnsi="Arial"/>
          <w:b w:val="0"/>
          <w:i w:val="0"/>
          <w:color w:val="00B050"/>
          <w:sz w:val="18"/>
        </w:rPr>
        <w:t>ESRS E2-1-15-(b)</w:t>
      </w:r>
      <w:r>
        <w:rPr>
          <w:rFonts w:ascii="Arial" w:hAnsi="Arial"/>
          <w:b w:val="0"/>
          <w:i w:val="0"/>
          <w:color w:val="000000"/>
          <w:sz w:val="18"/>
        </w:rPr>
        <w:t>]</w:t>
      </w:r>
    </w:p>
    <w:p>
      <w:pPr>
        <w:pStyle w:val="Heading3"/>
      </w:pPr>
      <w:r>
        <w:rPr>
          <w:rFonts w:ascii="Arial" w:hAnsi="Arial"/>
          <w:b/>
          <w:i w:val="0"/>
          <w:color w:val="000000"/>
          <w:sz w:val="22"/>
        </w:rPr>
        <w:t>5.3.2.3  Policy Coverage: Prevention of and Response to Incidents and Emergency Situations Resulting in Pollution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Policy addresses avoiding incidents and emergency situations resulting in pollution, and controlling or limiting their impact</w:t>
            </w:r>
          </w:p>
        </w:tc>
        <w:tc>
          <w:tcPr>
            <w:tcW w:type="dxa" w:w="3024"/>
          </w:tcPr>
          <w:p>
            <w:r>
              <w:rPr>
                <w:rFonts w:ascii="Arial" w:hAnsi="Arial"/>
                <w:b w:val="0"/>
                <w:i w:val="0"/>
                <w:color w:val="00B050"/>
                <w:sz w:val="18"/>
              </w:rPr>
              <w:t>ESRS E2-1-15-(c)</w:t>
            </w:r>
          </w:p>
        </w:tc>
        <w:tc>
          <w:tcPr>
            <w:tcW w:type="dxa" w:w="3024"/>
          </w:tcPr>
          <w:p>
            <w:r>
              <w:rPr>
                <w:rFonts w:ascii="Arial" w:hAnsi="Arial"/>
                <w:b w:val="0"/>
                <w:i w:val="0"/>
                <w:color w:val="000000"/>
                <w:sz w:val="20"/>
              </w:rPr>
              <w:t>Yes. The obligation is reflected across all operating sites and is subject to mandatory annual testing.</w:t>
            </w:r>
          </w:p>
        </w:tc>
      </w:tr>
    </w:tbl>
    <w:p>
      <w:r>
        <w:rPr>
          <w:rFonts w:ascii="Arial" w:hAnsi="Arial"/>
          <w:b w:val="0"/>
          <w:i w:val="0"/>
          <w:color w:val="000000"/>
          <w:sz w:val="22"/>
        </w:rPr>
        <w:t>Emergency response procedures are maintained at all sites, incorporating spill containment protocols, emergency shutdown procedures, regulatory notification requirements, and post-incident environmental impact assessments. All relevant personnel receive mandatory emergency response training. The Company maintains a centralised incident register, and all pollution-related incidents are subject to root cause analysis and corrective action tracking.</w:t>
      </w:r>
      <w:r>
        <w:rPr>
          <w:rFonts w:ascii="Arial" w:hAnsi="Arial"/>
          <w:b w:val="0"/>
          <w:i w:val="0"/>
          <w:color w:val="000000"/>
          <w:sz w:val="18"/>
        </w:rPr>
        <w:t xml:space="preserve"> [</w:t>
      </w:r>
      <w:r>
        <w:rPr>
          <w:rFonts w:ascii="Arial" w:hAnsi="Arial"/>
          <w:b w:val="0"/>
          <w:i w:val="0"/>
          <w:color w:val="00B050"/>
          <w:sz w:val="18"/>
        </w:rPr>
        <w:t>ESRS E2-1-15-(c)</w:t>
      </w:r>
      <w:r>
        <w:rPr>
          <w:rFonts w:ascii="Arial" w:hAnsi="Arial"/>
          <w:b w:val="0"/>
          <w:i w:val="0"/>
          <w:color w:val="000000"/>
          <w:sz w:val="18"/>
        </w:rPr>
        <w:t>]</w:t>
      </w:r>
    </w:p>
    <w:p>
      <w:pPr>
        <w:pStyle w:val="Heading3"/>
      </w:pPr>
      <w:r>
        <w:rPr>
          <w:rFonts w:ascii="Arial" w:hAnsi="Arial"/>
          <w:b/>
          <w:i w:val="0"/>
          <w:color w:val="000000"/>
          <w:sz w:val="22"/>
        </w:rPr>
        <w:t>5.3.2.4  Contextual Alignment of Pollution Policy with the EU Zero Pollution Action Plan</w:t>
      </w:r>
    </w:p>
    <w:p>
      <w:r>
        <w:rPr>
          <w:rFonts w:ascii="Arial" w:hAnsi="Arial"/>
          <w:b w:val="0"/>
          <w:i w:val="0"/>
          <w:color w:val="000000"/>
          <w:sz w:val="22"/>
        </w:rPr>
        <w:t>XYZ Logistics LLC's pollution-related policy commitments are explicitly contextualised against the EU Zero Pollution Action Plan (ZPAP) and its 2030 targets. The Company has mapped its internal emission reduction targets, SoC substitution commitments, and water quality protection objectives against the ZPAP's headline goals, including the reduction of air pollution health impacts, the reduction of microplastic pollution, and the improvement of water and soil quality. This alignment is reviewed as part of the annual policy review cycle and disclosed in the Company's Annual Sustainability Report.</w:t>
      </w:r>
      <w:r>
        <w:rPr>
          <w:rFonts w:ascii="Arial" w:hAnsi="Arial"/>
          <w:b w:val="0"/>
          <w:i w:val="0"/>
          <w:color w:val="000000"/>
          <w:sz w:val="18"/>
        </w:rPr>
        <w:t xml:space="preserve"> [</w:t>
      </w:r>
      <w:r>
        <w:rPr>
          <w:rFonts w:ascii="Arial" w:hAnsi="Arial"/>
          <w:b w:val="0"/>
          <w:i w:val="0"/>
          <w:color w:val="00B050"/>
          <w:sz w:val="18"/>
        </w:rPr>
        <w:t>ESRS E2-1-AR-12</w:t>
      </w:r>
      <w:r>
        <w:rPr>
          <w:rFonts w:ascii="Arial" w:hAnsi="Arial"/>
          <w:b w:val="0"/>
          <w:i w:val="0"/>
          <w:color w:val="000000"/>
          <w:sz w:val="18"/>
        </w:rPr>
        <w:t>]</w:t>
      </w:r>
    </w:p>
    <w:p>
      <w:pPr>
        <w:pStyle w:val="Heading2"/>
      </w:pPr>
      <w:r>
        <w:rPr>
          <w:rFonts w:ascii="Arial" w:hAnsi="Arial"/>
          <w:b/>
          <w:i w:val="0"/>
          <w:color w:val="000000"/>
          <w:sz w:val="26"/>
        </w:rPr>
        <w:t>5.3.3  Actions and Resources Related to Pollution</w:t>
      </w:r>
    </w:p>
    <w:p>
      <w:r>
        <w:rPr>
          <w:rFonts w:ascii="Arial" w:hAnsi="Arial"/>
          <w:b w:val="0"/>
          <w:i w:val="0"/>
          <w:color w:val="00B050"/>
          <w:sz w:val="18"/>
        </w:rPr>
        <w:t>ESRS E2-2</w:t>
      </w:r>
      <w:r>
        <w:rPr>
          <w:rFonts w:ascii="Arial" w:hAnsi="Arial"/>
          <w:b w:val="0"/>
          <w:i w:val="0"/>
          <w:color w:val="000000"/>
          <w:sz w:val="18"/>
        </w:rPr>
        <w:t xml:space="preserve"> | </w:t>
      </w:r>
      <w:r>
        <w:rPr>
          <w:rFonts w:ascii="Arial" w:hAnsi="Arial"/>
          <w:b w:val="0"/>
          <w:i w:val="0"/>
          <w:color w:val="00B050"/>
          <w:sz w:val="18"/>
        </w:rPr>
        <w:t>ESRS E2-2-19</w:t>
      </w:r>
      <w:r>
        <w:rPr>
          <w:rFonts w:ascii="Arial" w:hAnsi="Arial"/>
          <w:b w:val="0"/>
          <w:i w:val="0"/>
          <w:color w:val="000000"/>
          <w:sz w:val="18"/>
        </w:rPr>
        <w:t xml:space="preserve"> | </w:t>
      </w:r>
      <w:r>
        <w:rPr>
          <w:rFonts w:ascii="Arial" w:hAnsi="Arial"/>
          <w:b w:val="0"/>
          <w:i w:val="0"/>
          <w:color w:val="00B050"/>
          <w:sz w:val="18"/>
        </w:rPr>
        <w:t>ESRS E2-2-AR-13</w:t>
      </w:r>
      <w:r>
        <w:rPr>
          <w:rFonts w:ascii="Arial" w:hAnsi="Arial"/>
          <w:b w:val="0"/>
          <w:i w:val="0"/>
          <w:color w:val="000000"/>
          <w:sz w:val="18"/>
        </w:rPr>
        <w:t xml:space="preserve"> | </w:t>
      </w:r>
      <w:r>
        <w:rPr>
          <w:rFonts w:ascii="Arial" w:hAnsi="Arial"/>
          <w:b w:val="0"/>
          <w:i w:val="0"/>
          <w:color w:val="00B050"/>
          <w:sz w:val="18"/>
        </w:rPr>
        <w:t>ESRS E2-2-AR-15</w:t>
      </w:r>
    </w:p>
    <w:p>
      <w:pPr>
        <w:pStyle w:val="Heading3"/>
      </w:pPr>
      <w:r>
        <w:rPr>
          <w:rFonts w:ascii="Arial" w:hAnsi="Arial"/>
          <w:b/>
          <w:i w:val="0"/>
          <w:color w:val="000000"/>
          <w:sz w:val="22"/>
        </w:rPr>
        <w:t>5.3.3.1  Layer in Mitigation Hierarchy to Which Actions Can Be Allocated — Pollution</w:t>
      </w:r>
    </w:p>
    <w:p>
      <w:r>
        <w:rPr>
          <w:rFonts w:ascii="Arial" w:hAnsi="Arial"/>
          <w:b w:val="0"/>
          <w:i w:val="0"/>
          <w:color w:val="000000"/>
          <w:sz w:val="22"/>
        </w:rPr>
        <w:t>XYZ Logistics LLC's pollution-related actions are structured in accordance with the environmental mitigation hierarchy, prioritising: (i) Avoidance — process redesign to eliminate emission-generating steps, substitution of high-emission materials, and installation of enclosed handling systems for volatile substances; (ii) Reduction — deployment of advanced emission abatement technologies, energy efficiency improvements, and real-time emission monitoring systems; (iii) Restoration — targeted remediation programmes at historically contaminated sites; and (iv) Compensation — compensatory environmental measures applied where residual impacts cannot otherwise be addressed. The majority of FY 2025 pollution actions are allocated to the Avoidance and Reduction layers of the mitigation hierarchy.</w:t>
      </w:r>
      <w:r>
        <w:rPr>
          <w:rFonts w:ascii="Arial" w:hAnsi="Arial"/>
          <w:b w:val="0"/>
          <w:i w:val="0"/>
          <w:color w:val="000000"/>
          <w:sz w:val="18"/>
        </w:rPr>
        <w:t xml:space="preserve"> [</w:t>
      </w:r>
      <w:r>
        <w:rPr>
          <w:rFonts w:ascii="Arial" w:hAnsi="Arial"/>
          <w:b w:val="0"/>
          <w:i w:val="0"/>
          <w:color w:val="00B050"/>
          <w:sz w:val="18"/>
        </w:rPr>
        <w:t>ESRS E2-2-19</w:t>
      </w:r>
      <w:r>
        <w:rPr>
          <w:rFonts w:ascii="Arial" w:hAnsi="Arial"/>
          <w:b w:val="0"/>
          <w:i w:val="0"/>
          <w:color w:val="000000"/>
          <w:sz w:val="18"/>
        </w:rPr>
        <w:t>]</w:t>
      </w:r>
    </w:p>
    <w:p>
      <w:pPr>
        <w:pStyle w:val="Heading3"/>
      </w:pPr>
      <w:r>
        <w:rPr>
          <w:rFonts w:ascii="Arial" w:hAnsi="Arial"/>
          <w:b/>
          <w:i w:val="0"/>
          <w:color w:val="000000"/>
          <w:sz w:val="22"/>
        </w:rPr>
        <w:t>5.3.3.2  Pollution Actions Extending to Upstream and Downstream Value Chain Engagements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Pollution-related actions extend to upstream and downstream value chain engagements</w:t>
            </w:r>
          </w:p>
        </w:tc>
        <w:tc>
          <w:tcPr>
            <w:tcW w:type="dxa" w:w="3024"/>
          </w:tcPr>
          <w:p>
            <w:r>
              <w:rPr>
                <w:rFonts w:ascii="Arial" w:hAnsi="Arial"/>
                <w:b w:val="0"/>
                <w:i w:val="0"/>
                <w:color w:val="00B050"/>
                <w:sz w:val="18"/>
              </w:rPr>
              <w:t>ESRS E2-2-AR-13</w:t>
            </w:r>
          </w:p>
        </w:tc>
        <w:tc>
          <w:tcPr>
            <w:tcW w:type="dxa" w:w="3024"/>
          </w:tcPr>
          <w:p>
            <w:r>
              <w:rPr>
                <w:rFonts w:ascii="Arial" w:hAnsi="Arial"/>
                <w:b w:val="0"/>
                <w:i w:val="0"/>
                <w:color w:val="000000"/>
                <w:sz w:val="20"/>
              </w:rPr>
              <w:t>Yes. Supplier Environmental Assessments are conducted for all Tier 1 suppliers presenting elevated pollution risk, with downstream customer engagement.</w:t>
            </w:r>
          </w:p>
        </w:tc>
      </w:tr>
    </w:tbl>
    <w:p>
      <w:r>
        <w:rPr>
          <w:rFonts w:ascii="Arial" w:hAnsi="Arial"/>
          <w:b w:val="0"/>
          <w:i w:val="0"/>
          <w:color w:val="000000"/>
          <w:sz w:val="22"/>
        </w:rPr>
        <w:t>Supplier Environmental Assessments (SEAs) are conducted for all Tier 1 suppliers assessed as presenting elevated pollution risk. Downstream, XYZ Logistics LLC engages customers on the environmental attributes of its products and services, including guidance on responsible end-of-life management for products containing substances of concern. Value chain engagement outcomes are tracked through the Company's supplier sustainability programme and reported annually.</w:t>
      </w:r>
      <w:r>
        <w:rPr>
          <w:rFonts w:ascii="Arial" w:hAnsi="Arial"/>
          <w:b w:val="0"/>
          <w:i w:val="0"/>
          <w:color w:val="000000"/>
          <w:sz w:val="18"/>
        </w:rPr>
        <w:t xml:space="preserve"> [</w:t>
      </w:r>
      <w:r>
        <w:rPr>
          <w:rFonts w:ascii="Arial" w:hAnsi="Arial"/>
          <w:b w:val="0"/>
          <w:i w:val="0"/>
          <w:color w:val="00B050"/>
          <w:sz w:val="18"/>
        </w:rPr>
        <w:t>ESRS E2-2-AR-13</w:t>
      </w:r>
      <w:r>
        <w:rPr>
          <w:rFonts w:ascii="Arial" w:hAnsi="Arial"/>
          <w:b w:val="0"/>
          <w:i w:val="0"/>
          <w:color w:val="000000"/>
          <w:sz w:val="18"/>
        </w:rPr>
        <w:t>]</w:t>
      </w:r>
    </w:p>
    <w:p>
      <w:pPr>
        <w:pStyle w:val="Heading3"/>
      </w:pPr>
      <w:r>
        <w:rPr>
          <w:rFonts w:ascii="Arial" w:hAnsi="Arial"/>
          <w:b/>
          <w:i w:val="0"/>
          <w:color w:val="000000"/>
          <w:sz w:val="22"/>
        </w:rPr>
        <w:t>5.3.3.3  Layer in Mitigation Hierarchy to Which Resources Can Be Allocated — Pollution</w:t>
      </w:r>
    </w:p>
    <w:p>
      <w:r>
        <w:rPr>
          <w:rFonts w:ascii="Arial" w:hAnsi="Arial"/>
          <w:b w:val="0"/>
          <w:i w:val="0"/>
          <w:color w:val="000000"/>
          <w:sz w:val="22"/>
        </w:rPr>
        <w:t>Financial and human resources allocated to pollution prevention and control are prioritised in accordance with risk ranking from the annual environmental risk register. Resource allocations are directed to the Avoidance and Reduction layers of the mitigation hierarchy as a primary priority, with Restoration-layer resources committed for active contaminated site remediation programmes. The Company's EHS Capital Expenditure (CapEx) budget includes dedicated allocations for emission abatement technology upgrades, site remediation activities, and environmental monitoring infrastructure. Resource allocation decisions are reviewed semi-annually by the Chief Sustainability Officer and presented to the Board's Environmental and Sustainability Committee on an annual basis.</w:t>
      </w:r>
      <w:r>
        <w:rPr>
          <w:rFonts w:ascii="Arial" w:hAnsi="Arial"/>
          <w:b w:val="0"/>
          <w:i w:val="0"/>
          <w:color w:val="000000"/>
          <w:sz w:val="18"/>
        </w:rPr>
        <w:t xml:space="preserve"> [</w:t>
      </w:r>
      <w:r>
        <w:rPr>
          <w:rFonts w:ascii="Arial" w:hAnsi="Arial"/>
          <w:b w:val="0"/>
          <w:i w:val="0"/>
          <w:color w:val="00B050"/>
          <w:sz w:val="18"/>
        </w:rPr>
        <w:t>ESRS E2-2-19</w:t>
      </w:r>
      <w:r>
        <w:rPr>
          <w:rFonts w:ascii="Arial" w:hAnsi="Arial"/>
          <w:b w:val="0"/>
          <w:i w:val="0"/>
          <w:color w:val="000000"/>
          <w:sz w:val="18"/>
        </w:rPr>
        <w:t>]</w:t>
      </w:r>
    </w:p>
    <w:p>
      <w:pPr>
        <w:pStyle w:val="Heading3"/>
      </w:pPr>
      <w:r>
        <w:rPr>
          <w:rFonts w:ascii="Arial" w:hAnsi="Arial"/>
          <w:b/>
          <w:i w:val="0"/>
          <w:color w:val="000000"/>
          <w:sz w:val="22"/>
        </w:rPr>
        <w:t>5.3.3.4  Site-Level Pollution Prevention Action Plans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Action plans implemented at site level</w:t>
            </w:r>
          </w:p>
        </w:tc>
        <w:tc>
          <w:tcPr>
            <w:tcW w:type="dxa" w:w="3024"/>
          </w:tcPr>
          <w:p>
            <w:r>
              <w:rPr>
                <w:rFonts w:ascii="Arial" w:hAnsi="Arial"/>
                <w:b w:val="0"/>
                <w:i w:val="0"/>
                <w:color w:val="00B050"/>
                <w:sz w:val="18"/>
              </w:rPr>
              <w:t>ESRS E2-2-AR-15</w:t>
            </w:r>
          </w:p>
        </w:tc>
        <w:tc>
          <w:tcPr>
            <w:tcW w:type="dxa" w:w="3024"/>
          </w:tcPr>
          <w:p>
            <w:r>
              <w:rPr>
                <w:rFonts w:ascii="Arial" w:hAnsi="Arial"/>
                <w:b w:val="0"/>
                <w:i w:val="0"/>
                <w:color w:val="000000"/>
                <w:sz w:val="20"/>
              </w:rPr>
              <w:t>Yes. Pollution prevention action plans are implemented at site level across all primary operating facilities for the FY 2025 reporting period.</w:t>
            </w:r>
          </w:p>
        </w:tc>
      </w:tr>
    </w:tbl>
    <w:p>
      <w:r>
        <w:rPr>
          <w:rFonts w:ascii="Arial" w:hAnsi="Arial"/>
          <w:b w:val="0"/>
          <w:i w:val="0"/>
          <w:color w:val="000000"/>
          <w:sz w:val="22"/>
        </w:rPr>
        <w:t>These plans cover emission monitoring protocols, substance management procedures, emergency response plans, and maintenance schedules for abatement equipment. Site-level action plans are reviewed annually by Regional Environmental Leads and updated to reflect current risk assessments, regulatory developments, and performance monitoring outcomes. Facilities subject to IED permitting maintain site-specific environmental improvement programmes aligned with applicable BAT Conclusions.</w:t>
      </w:r>
      <w:r>
        <w:rPr>
          <w:rFonts w:ascii="Arial" w:hAnsi="Arial"/>
          <w:b w:val="0"/>
          <w:i w:val="0"/>
          <w:color w:val="000000"/>
          <w:sz w:val="18"/>
        </w:rPr>
        <w:t xml:space="preserve"> [</w:t>
      </w:r>
      <w:r>
        <w:rPr>
          <w:rFonts w:ascii="Arial" w:hAnsi="Arial"/>
          <w:b w:val="0"/>
          <w:i w:val="0"/>
          <w:color w:val="00B050"/>
          <w:sz w:val="18"/>
        </w:rPr>
        <w:t>ESRS E2-2-AR-15</w:t>
      </w:r>
      <w:r>
        <w:rPr>
          <w:rFonts w:ascii="Arial" w:hAnsi="Arial"/>
          <w:b w:val="0"/>
          <w:i w:val="0"/>
          <w:color w:val="000000"/>
          <w:sz w:val="18"/>
        </w:rPr>
        <w:t>]</w:t>
      </w:r>
    </w:p>
    <w:p>
      <w:pPr>
        <w:pStyle w:val="Heading2"/>
      </w:pPr>
      <w:r>
        <w:rPr>
          <w:rFonts w:ascii="Arial" w:hAnsi="Arial"/>
          <w:b/>
          <w:i w:val="0"/>
          <w:color w:val="000000"/>
          <w:sz w:val="26"/>
        </w:rPr>
        <w:t>5.3.4  Targets Related to Pollution</w:t>
      </w:r>
    </w:p>
    <w:p>
      <w:r>
        <w:rPr>
          <w:rFonts w:ascii="Arial" w:hAnsi="Arial"/>
          <w:b w:val="0"/>
          <w:i w:val="0"/>
          <w:color w:val="00B050"/>
          <w:sz w:val="18"/>
        </w:rPr>
        <w:t>ESRS E2-3</w:t>
      </w:r>
      <w:r>
        <w:rPr>
          <w:rFonts w:ascii="Arial" w:hAnsi="Arial"/>
          <w:b w:val="0"/>
          <w:i w:val="0"/>
          <w:color w:val="000000"/>
          <w:sz w:val="18"/>
        </w:rPr>
        <w:t xml:space="preserve"> | </w:t>
      </w:r>
      <w:r>
        <w:rPr>
          <w:rFonts w:ascii="Arial" w:hAnsi="Arial"/>
          <w:b w:val="0"/>
          <w:i w:val="0"/>
          <w:color w:val="00B050"/>
          <w:sz w:val="18"/>
        </w:rPr>
        <w:t>ESRS E2-3-23</w:t>
      </w:r>
      <w:r>
        <w:rPr>
          <w:rFonts w:ascii="Arial" w:hAnsi="Arial"/>
          <w:b w:val="0"/>
          <w:i w:val="0"/>
          <w:color w:val="000000"/>
          <w:sz w:val="18"/>
        </w:rPr>
        <w:t xml:space="preserve"> | </w:t>
      </w:r>
      <w:r>
        <w:rPr>
          <w:rFonts w:ascii="Arial" w:hAnsi="Arial"/>
          <w:b w:val="0"/>
          <w:i w:val="0"/>
          <w:color w:val="00B050"/>
          <w:sz w:val="18"/>
        </w:rPr>
        <w:t>ESRS E2-3-24</w:t>
      </w:r>
      <w:r>
        <w:rPr>
          <w:rFonts w:ascii="Arial" w:hAnsi="Arial"/>
          <w:b w:val="0"/>
          <w:i w:val="0"/>
          <w:color w:val="000000"/>
          <w:sz w:val="18"/>
        </w:rPr>
        <w:t xml:space="preserve"> | </w:t>
      </w:r>
      <w:r>
        <w:rPr>
          <w:rFonts w:ascii="Arial" w:hAnsi="Arial"/>
          <w:b w:val="0"/>
          <w:i w:val="0"/>
          <w:color w:val="00B050"/>
          <w:sz w:val="18"/>
        </w:rPr>
        <w:t>ESRS E2-3-25</w:t>
      </w:r>
      <w:r>
        <w:rPr>
          <w:rFonts w:ascii="Arial" w:hAnsi="Arial"/>
          <w:b w:val="0"/>
          <w:i w:val="0"/>
          <w:color w:val="000000"/>
          <w:sz w:val="18"/>
        </w:rPr>
        <w:t xml:space="preserve"> | </w:t>
      </w:r>
      <w:r>
        <w:rPr>
          <w:rFonts w:ascii="Arial" w:hAnsi="Arial"/>
          <w:b w:val="0"/>
          <w:i w:val="0"/>
          <w:color w:val="00B050"/>
          <w:sz w:val="18"/>
        </w:rPr>
        <w:t>ESRS E2-3-AR-16</w:t>
      </w:r>
      <w:r>
        <w:rPr>
          <w:rFonts w:ascii="Arial" w:hAnsi="Arial"/>
          <w:b w:val="0"/>
          <w:i w:val="0"/>
          <w:color w:val="000000"/>
          <w:sz w:val="18"/>
        </w:rPr>
        <w:t xml:space="preserve"> | </w:t>
      </w:r>
      <w:r>
        <w:rPr>
          <w:rFonts w:ascii="Arial" w:hAnsi="Arial"/>
          <w:b w:val="0"/>
          <w:i w:val="0"/>
          <w:color w:val="00B050"/>
          <w:sz w:val="18"/>
        </w:rPr>
        <w:t>ESRS E2-3-AR-17</w:t>
      </w:r>
      <w:r>
        <w:rPr>
          <w:rFonts w:ascii="Arial" w:hAnsi="Arial"/>
          <w:b w:val="0"/>
          <w:i w:val="0"/>
          <w:color w:val="000000"/>
          <w:sz w:val="18"/>
        </w:rPr>
        <w:t xml:space="preserve"> | </w:t>
      </w:r>
      <w:r>
        <w:rPr>
          <w:rFonts w:ascii="Arial" w:hAnsi="Arial"/>
          <w:b w:val="0"/>
          <w:i w:val="0"/>
          <w:color w:val="00B050"/>
          <w:sz w:val="18"/>
        </w:rPr>
        <w:t>ESRS E2-3-AR-18</w:t>
      </w:r>
    </w:p>
    <w:p>
      <w:pPr>
        <w:pStyle w:val="Heading3"/>
      </w:pPr>
      <w:r>
        <w:rPr>
          <w:rFonts w:ascii="Arial" w:hAnsi="Arial"/>
          <w:b/>
          <w:i w:val="0"/>
          <w:color w:val="000000"/>
          <w:sz w:val="22"/>
        </w:rPr>
        <w:t>5.3.4.1  Target: Prevention and Control of Air Pollutants and Respective Specific Loads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Target relates to the prevention and control of air pollutants and respective specific loads</w:t>
            </w:r>
          </w:p>
        </w:tc>
        <w:tc>
          <w:tcPr>
            <w:tcW w:type="dxa" w:w="3024"/>
          </w:tcPr>
          <w:p>
            <w:r>
              <w:rPr>
                <w:rFonts w:ascii="Arial" w:hAnsi="Arial"/>
                <w:b w:val="0"/>
                <w:i w:val="0"/>
                <w:color w:val="00B050"/>
                <w:sz w:val="18"/>
              </w:rPr>
              <w:t>ESRS E2-3-23-(a)</w:t>
            </w:r>
          </w:p>
        </w:tc>
        <w:tc>
          <w:tcPr>
            <w:tcW w:type="dxa" w:w="3024"/>
          </w:tcPr>
          <w:p>
            <w:r>
              <w:rPr>
                <w:rFonts w:ascii="Arial" w:hAnsi="Arial"/>
                <w:b w:val="0"/>
                <w:i w:val="0"/>
                <w:color w:val="000000"/>
                <w:sz w:val="20"/>
              </w:rPr>
              <w:t>Yes. Quantitative air quality targets are operative for FY 2025.</w:t>
            </w:r>
          </w:p>
        </w:tc>
      </w:tr>
    </w:tbl>
    <w:p>
      <w:r>
        <w:rPr>
          <w:rFonts w:ascii="Arial" w:hAnsi="Arial"/>
          <w:b w:val="0"/>
          <w:i w:val="0"/>
          <w:color w:val="000000"/>
          <w:sz w:val="22"/>
        </w:rPr>
        <w:t>The Company's air quality target for FY 2030 commits to a 40% reduction in total NOx and SOx emissions relative to the FY 2022 baseline, and a 35% reduction in particulate matter (PM2.5 and PM10) over the same period. Annual interim milestones are tracked through the environmental KPI dashboard and reported quarterly to the Board's Environmental and Sustainability Committee. The FY 2025 interim milestone of a 16% reduction in total NOx/SOx emissions relative to baseline was achieved, with a reported 17.2% reduction.</w:t>
      </w:r>
      <w:r>
        <w:rPr>
          <w:rFonts w:ascii="Arial" w:hAnsi="Arial"/>
          <w:b w:val="0"/>
          <w:i w:val="0"/>
          <w:color w:val="000000"/>
          <w:sz w:val="18"/>
        </w:rPr>
        <w:t xml:space="preserve"> [</w:t>
      </w:r>
      <w:r>
        <w:rPr>
          <w:rFonts w:ascii="Arial" w:hAnsi="Arial"/>
          <w:b w:val="0"/>
          <w:i w:val="0"/>
          <w:color w:val="00B050"/>
          <w:sz w:val="18"/>
        </w:rPr>
        <w:t>ESRS E2-3-23-(a)</w:t>
      </w:r>
      <w:r>
        <w:rPr>
          <w:rFonts w:ascii="Arial" w:hAnsi="Arial"/>
          <w:b w:val="0"/>
          <w:i w:val="0"/>
          <w:color w:val="000000"/>
          <w:sz w:val="18"/>
        </w:rPr>
        <w:t>]</w:t>
      </w:r>
    </w:p>
    <w:p>
      <w:pPr>
        <w:pStyle w:val="Heading3"/>
      </w:pPr>
      <w:r>
        <w:rPr>
          <w:rFonts w:ascii="Arial" w:hAnsi="Arial"/>
          <w:b/>
          <w:i w:val="0"/>
          <w:color w:val="000000"/>
          <w:sz w:val="22"/>
        </w:rPr>
        <w:t>5.3.4.2  Target: Prevention and Control of Emissions to Water and Respective Specific Loads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Target relates to the prevention and control of emissions to water and respective specific loads</w:t>
            </w:r>
          </w:p>
        </w:tc>
        <w:tc>
          <w:tcPr>
            <w:tcW w:type="dxa" w:w="3024"/>
          </w:tcPr>
          <w:p>
            <w:r>
              <w:rPr>
                <w:rFonts w:ascii="Arial" w:hAnsi="Arial"/>
                <w:b w:val="0"/>
                <w:i w:val="0"/>
                <w:color w:val="00B050"/>
                <w:sz w:val="18"/>
              </w:rPr>
              <w:t>ESRS E2-3-23-(b)</w:t>
            </w:r>
          </w:p>
        </w:tc>
        <w:tc>
          <w:tcPr>
            <w:tcW w:type="dxa" w:w="3024"/>
          </w:tcPr>
          <w:p>
            <w:r>
              <w:rPr>
                <w:rFonts w:ascii="Arial" w:hAnsi="Arial"/>
                <w:b w:val="0"/>
                <w:i w:val="0"/>
                <w:color w:val="000000"/>
                <w:sz w:val="20"/>
              </w:rPr>
              <w:t>Yes. Water emission targets are operative for FY 2025.</w:t>
            </w:r>
          </w:p>
        </w:tc>
      </w:tr>
    </w:tbl>
    <w:p>
      <w:r>
        <w:rPr>
          <w:rFonts w:ascii="Arial" w:hAnsi="Arial"/>
          <w:b w:val="0"/>
          <w:i w:val="0"/>
          <w:color w:val="000000"/>
          <w:sz w:val="22"/>
        </w:rPr>
        <w:t>The water emission target for FY 2030 commits to a 30% reduction in total suspended solids (TSS) and chemical oxygen demand (COD) loadings to receiving water bodies relative to the FY 2022 baseline, with a specific sub-target of zero direct discharge of untreated process water. Interim FY 2025 performance indicates a 13.5% reduction in TSS and COD loadings. A supplementary target for the elimination of discharges to water bodies in areas of high water stress has been set for FY 2027.</w:t>
      </w:r>
      <w:r>
        <w:rPr>
          <w:rFonts w:ascii="Arial" w:hAnsi="Arial"/>
          <w:b w:val="0"/>
          <w:i w:val="0"/>
          <w:color w:val="000000"/>
          <w:sz w:val="18"/>
        </w:rPr>
        <w:t xml:space="preserve"> [</w:t>
      </w:r>
      <w:r>
        <w:rPr>
          <w:rFonts w:ascii="Arial" w:hAnsi="Arial"/>
          <w:b w:val="0"/>
          <w:i w:val="0"/>
          <w:color w:val="00B050"/>
          <w:sz w:val="18"/>
        </w:rPr>
        <w:t>ESRS E2-3-23-(b)</w:t>
      </w:r>
      <w:r>
        <w:rPr>
          <w:rFonts w:ascii="Arial" w:hAnsi="Arial"/>
          <w:b w:val="0"/>
          <w:i w:val="0"/>
          <w:color w:val="000000"/>
          <w:sz w:val="18"/>
        </w:rPr>
        <w:t>]</w:t>
      </w:r>
    </w:p>
    <w:p>
      <w:pPr>
        <w:pStyle w:val="Heading3"/>
      </w:pPr>
      <w:r>
        <w:rPr>
          <w:rFonts w:ascii="Arial" w:hAnsi="Arial"/>
          <w:b/>
          <w:i w:val="0"/>
          <w:color w:val="000000"/>
          <w:sz w:val="22"/>
        </w:rPr>
        <w:t>5.3.4.3  Target: Prevention and Control of Pollution to Soil and Respective Specific Loads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Target relates to the prevention and control of pollution to soil and respective specific loads</w:t>
            </w:r>
          </w:p>
        </w:tc>
        <w:tc>
          <w:tcPr>
            <w:tcW w:type="dxa" w:w="3024"/>
          </w:tcPr>
          <w:p>
            <w:r>
              <w:rPr>
                <w:rFonts w:ascii="Arial" w:hAnsi="Arial"/>
                <w:b w:val="0"/>
                <w:i w:val="0"/>
                <w:color w:val="00B050"/>
                <w:sz w:val="18"/>
              </w:rPr>
              <w:t>ESRS E2-3-23-(c)</w:t>
            </w:r>
          </w:p>
        </w:tc>
        <w:tc>
          <w:tcPr>
            <w:tcW w:type="dxa" w:w="3024"/>
          </w:tcPr>
          <w:p>
            <w:r>
              <w:rPr>
                <w:rFonts w:ascii="Arial" w:hAnsi="Arial"/>
                <w:b w:val="0"/>
                <w:i w:val="0"/>
                <w:color w:val="000000"/>
                <w:sz w:val="20"/>
              </w:rPr>
              <w:t>Yes. Soil pollution targets are operative for FY 2025.</w:t>
            </w:r>
          </w:p>
        </w:tc>
      </w:tr>
    </w:tbl>
    <w:p>
      <w:r>
        <w:rPr>
          <w:rFonts w:ascii="Arial" w:hAnsi="Arial"/>
          <w:b w:val="0"/>
          <w:i w:val="0"/>
          <w:color w:val="000000"/>
          <w:sz w:val="22"/>
        </w:rPr>
        <w:t>These targets are centred on the elimination of uncontrolled releases of hazardous substances to land, the progressive remediation of historically contaminated sites, and the reduction of diffuse soil contamination. The FY 2030 soil pollution target requires all active contaminated site remediation programmes to have achieved regulatory closure or be at advanced remediation stage. As of FY 2025, three of seven identified legacy contaminated sites are at advanced remediation stage, and one has achieved regulatory closure.</w:t>
      </w:r>
      <w:r>
        <w:rPr>
          <w:rFonts w:ascii="Arial" w:hAnsi="Arial"/>
          <w:b w:val="0"/>
          <w:i w:val="0"/>
          <w:color w:val="000000"/>
          <w:sz w:val="18"/>
        </w:rPr>
        <w:t xml:space="preserve"> [</w:t>
      </w:r>
      <w:r>
        <w:rPr>
          <w:rFonts w:ascii="Arial" w:hAnsi="Arial"/>
          <w:b w:val="0"/>
          <w:i w:val="0"/>
          <w:color w:val="00B050"/>
          <w:sz w:val="18"/>
        </w:rPr>
        <w:t>ESRS E2-3-23-(c)</w:t>
      </w:r>
      <w:r>
        <w:rPr>
          <w:rFonts w:ascii="Arial" w:hAnsi="Arial"/>
          <w:b w:val="0"/>
          <w:i w:val="0"/>
          <w:color w:val="000000"/>
          <w:sz w:val="18"/>
        </w:rPr>
        <w:t>]</w:t>
      </w:r>
    </w:p>
    <w:p>
      <w:pPr>
        <w:pStyle w:val="Heading3"/>
      </w:pPr>
      <w:r>
        <w:rPr>
          <w:rFonts w:ascii="Arial" w:hAnsi="Arial"/>
          <w:b/>
          <w:i w:val="0"/>
          <w:color w:val="000000"/>
          <w:sz w:val="22"/>
        </w:rPr>
        <w:t>5.3.4.4  Target: Prevention and Control of Substances of Concern and Substances of Very High Concern</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Target relates to the prevention and control of substances of concern and substances of very high concern</w:t>
            </w:r>
          </w:p>
        </w:tc>
        <w:tc>
          <w:tcPr>
            <w:tcW w:type="dxa" w:w="3024"/>
          </w:tcPr>
          <w:p>
            <w:r>
              <w:rPr>
                <w:rFonts w:ascii="Arial" w:hAnsi="Arial"/>
                <w:b w:val="0"/>
                <w:i w:val="0"/>
                <w:color w:val="00B050"/>
                <w:sz w:val="18"/>
              </w:rPr>
              <w:t>ESRS E2-3-23-(d)</w:t>
            </w:r>
          </w:p>
        </w:tc>
        <w:tc>
          <w:tcPr>
            <w:tcW w:type="dxa" w:w="3024"/>
          </w:tcPr>
          <w:p>
            <w:r>
              <w:rPr>
                <w:rFonts w:ascii="Arial" w:hAnsi="Arial"/>
                <w:b w:val="0"/>
                <w:i w:val="0"/>
                <w:color w:val="000000"/>
                <w:sz w:val="20"/>
              </w:rPr>
              <w:t>Yes. SoC and SVHC targets are operative for FY 2025.</w:t>
            </w:r>
          </w:p>
        </w:tc>
      </w:tr>
    </w:tbl>
    <w:p>
      <w:r>
        <w:rPr>
          <w:rFonts w:ascii="Arial" w:hAnsi="Arial"/>
          <w:b w:val="0"/>
          <w:i w:val="0"/>
          <w:color w:val="000000"/>
          <w:sz w:val="22"/>
        </w:rPr>
        <w:t>The SVHC phase-out target for FY 2028 requires the substitution or elimination of all SVHC for which technically and economically feasible alternatives have been identified through the annual RSL review. The SoC minimisation target requires a 25% reduction in total SoC generated, procured, or used in production by FY 2030 relative to the FY 2022 baseline. As of FY 2025, 4 of 11 identified SVHC substitution projects have been completed.</w:t>
      </w:r>
      <w:r>
        <w:rPr>
          <w:rFonts w:ascii="Arial" w:hAnsi="Arial"/>
          <w:b w:val="0"/>
          <w:i w:val="0"/>
          <w:color w:val="000000"/>
          <w:sz w:val="18"/>
        </w:rPr>
        <w:t xml:space="preserve"> [</w:t>
      </w:r>
      <w:r>
        <w:rPr>
          <w:rFonts w:ascii="Arial" w:hAnsi="Arial"/>
          <w:b w:val="0"/>
          <w:i w:val="0"/>
          <w:color w:val="00B050"/>
          <w:sz w:val="18"/>
        </w:rPr>
        <w:t>ESRS E2-3-23-(d)</w:t>
      </w:r>
      <w:r>
        <w:rPr>
          <w:rFonts w:ascii="Arial" w:hAnsi="Arial"/>
          <w:b w:val="0"/>
          <w:i w:val="0"/>
          <w:color w:val="000000"/>
          <w:sz w:val="18"/>
        </w:rPr>
        <w:t>]</w:t>
      </w:r>
    </w:p>
    <w:p>
      <w:pPr>
        <w:pStyle w:val="Heading3"/>
      </w:pPr>
      <w:r>
        <w:rPr>
          <w:rFonts w:ascii="Arial" w:hAnsi="Arial"/>
          <w:b/>
          <w:i w:val="0"/>
          <w:color w:val="000000"/>
          <w:sz w:val="22"/>
        </w:rPr>
        <w:t>5.3.4.5  Ecological Thresholds and Entity-Specific Allocations Considered When Setting Pollution-Related Targets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Ecological thresholds and entity-specific allocations taken into consideration when setting pollution-related targets</w:t>
            </w:r>
          </w:p>
        </w:tc>
        <w:tc>
          <w:tcPr>
            <w:tcW w:type="dxa" w:w="3024"/>
          </w:tcPr>
          <w:p>
            <w:r>
              <w:rPr>
                <w:rFonts w:ascii="Arial" w:hAnsi="Arial"/>
                <w:b w:val="0"/>
                <w:i w:val="0"/>
                <w:color w:val="00B050"/>
                <w:sz w:val="18"/>
              </w:rPr>
              <w:t>ESRS E2-3-24</w:t>
            </w:r>
            <w:r>
              <w:rPr>
                <w:rFonts w:ascii="Arial" w:hAnsi="Arial"/>
                <w:b w:val="0"/>
                <w:i w:val="0"/>
                <w:color w:val="000000"/>
                <w:sz w:val="18"/>
              </w:rPr>
              <w:t xml:space="preserve"> | </w:t>
            </w:r>
            <w:r>
              <w:rPr>
                <w:rFonts w:ascii="Arial" w:hAnsi="Arial"/>
                <w:b w:val="0"/>
                <w:i w:val="0"/>
                <w:color w:val="00B050"/>
                <w:sz w:val="18"/>
              </w:rPr>
              <w:t>ESRS E2-3-AR-16-(a)</w:t>
            </w:r>
          </w:p>
        </w:tc>
        <w:tc>
          <w:tcPr>
            <w:tcW w:type="dxa" w:w="3024"/>
          </w:tcPr>
          <w:p>
            <w:r>
              <w:rPr>
                <w:rFonts w:ascii="Arial" w:hAnsi="Arial"/>
                <w:b w:val="0"/>
                <w:i w:val="0"/>
                <w:color w:val="000000"/>
                <w:sz w:val="20"/>
              </w:rPr>
              <w:t>Yes. Ecological thresholds were identified at local, national, and global levels and incorporated into the target-setting process.</w:t>
            </w:r>
          </w:p>
        </w:tc>
      </w:tr>
    </w:tbl>
    <w:p>
      <w:r>
        <w:rPr>
          <w:rFonts w:ascii="Arial" w:hAnsi="Arial"/>
          <w:b w:val="0"/>
          <w:i w:val="0"/>
          <w:color w:val="000000"/>
          <w:sz w:val="22"/>
        </w:rPr>
        <w:t>Ecological thresholds — including applicable environmental quality standards (EQS) for water bodies and air quality limit values under EU Directive 2008/50/EC — have been incorporated into the target-setting process. Ecological thresholds were identified through regulatory limit benchmarking, scientific literature review, and consultation with competent environmental authorities. Entity-specific emission allocations were determined through a top-down allocation approach distributing the Company's permitted emission budget across operating sites on the basis of site throughput, receptor sensitivity, and applicable permit conditions.</w:t>
      </w:r>
      <w:r>
        <w:rPr>
          <w:rFonts w:ascii="Arial" w:hAnsi="Arial"/>
          <w:b w:val="0"/>
          <w:i w:val="0"/>
          <w:color w:val="000000"/>
          <w:sz w:val="18"/>
        </w:rPr>
        <w:t xml:space="preserve"> [</w:t>
      </w:r>
      <w:r>
        <w:rPr>
          <w:rFonts w:ascii="Arial" w:hAnsi="Arial"/>
          <w:b w:val="0"/>
          <w:i w:val="0"/>
          <w:color w:val="00B050"/>
          <w:sz w:val="18"/>
        </w:rPr>
        <w:t>ESRS E2-3-24</w:t>
      </w:r>
      <w:r>
        <w:rPr>
          <w:rFonts w:ascii="Arial" w:hAnsi="Arial"/>
          <w:b w:val="0"/>
          <w:i w:val="0"/>
          <w:color w:val="000000"/>
          <w:sz w:val="18"/>
        </w:rPr>
        <w:t xml:space="preserve"> | </w:t>
      </w:r>
      <w:r>
        <w:rPr>
          <w:rFonts w:ascii="Arial" w:hAnsi="Arial"/>
          <w:b w:val="0"/>
          <w:i w:val="0"/>
          <w:color w:val="00B050"/>
          <w:sz w:val="18"/>
        </w:rPr>
        <w:t>ESRS E2-3-AR-16-(a)</w:t>
      </w:r>
      <w:r>
        <w:rPr>
          <w:rFonts w:ascii="Arial" w:hAnsi="Arial"/>
          <w:b w:val="0"/>
          <w:i w:val="0"/>
          <w:color w:val="000000"/>
          <w:sz w:val="18"/>
        </w:rPr>
        <w:t>]</w:t>
      </w:r>
    </w:p>
    <w:p>
      <w:pPr>
        <w:pStyle w:val="Heading3"/>
      </w:pPr>
      <w:r>
        <w:rPr>
          <w:rFonts w:ascii="Arial" w:hAnsi="Arial"/>
          <w:b/>
          <w:i w:val="0"/>
          <w:color w:val="000000"/>
          <w:sz w:val="22"/>
        </w:rPr>
        <w:t>5.3.4.6  Methodology for Identifying Ecological Thresholds and Determining Entity-Specific Allocations</w:t>
      </w:r>
    </w:p>
    <w:p>
      <w:r>
        <w:rPr>
          <w:rFonts w:ascii="Arial" w:hAnsi="Arial"/>
          <w:b w:val="0"/>
          <w:i w:val="0"/>
          <w:color w:val="000000"/>
          <w:sz w:val="22"/>
        </w:rPr>
        <w:t>The methodology applied to identify ecological thresholds combines: (i) a regulatory benchmark approach referencing applicable EU environmental quality standards, IED permit conditions, and EU BAT Conclusions; (ii) a scientific literature review drawing on current ecological risk assessment frameworks; and (iii) site-specific environmental carrying capacity assessments prepared by accredited environmental consultants. Entity-specific thresholds for each operating site were determined through proportional allocation modelling, applying site emission intensity ratios adjusted for receptor sensitivity classifications established through geospatial environmental sensitivity mapping.</w:t>
      </w:r>
      <w:r>
        <w:rPr>
          <w:rFonts w:ascii="Arial" w:hAnsi="Arial"/>
          <w:b w:val="0"/>
          <w:i w:val="0"/>
          <w:color w:val="000000"/>
          <w:sz w:val="18"/>
        </w:rPr>
        <w:t xml:space="preserve"> [</w:t>
      </w:r>
      <w:r>
        <w:rPr>
          <w:rFonts w:ascii="Arial" w:hAnsi="Arial"/>
          <w:b w:val="0"/>
          <w:i w:val="0"/>
          <w:color w:val="00B050"/>
          <w:sz w:val="18"/>
        </w:rPr>
        <w:t>ESRS E2-3-24</w:t>
      </w:r>
      <w:r>
        <w:rPr>
          <w:rFonts w:ascii="Arial" w:hAnsi="Arial"/>
          <w:b w:val="0"/>
          <w:i w:val="0"/>
          <w:color w:val="000000"/>
          <w:sz w:val="18"/>
        </w:rPr>
        <w:t xml:space="preserve"> | </w:t>
      </w:r>
      <w:r>
        <w:rPr>
          <w:rFonts w:ascii="Arial" w:hAnsi="Arial"/>
          <w:b w:val="0"/>
          <w:i w:val="0"/>
          <w:color w:val="00B050"/>
          <w:sz w:val="18"/>
        </w:rPr>
        <w:t>ESRS E2-3-AR-16-(a)</w:t>
      </w:r>
      <w:r>
        <w:rPr>
          <w:rFonts w:ascii="Arial" w:hAnsi="Arial"/>
          <w:b w:val="0"/>
          <w:i w:val="0"/>
          <w:color w:val="000000"/>
          <w:sz w:val="18"/>
        </w:rPr>
        <w:t xml:space="preserve"> | </w:t>
      </w:r>
      <w:r>
        <w:rPr>
          <w:rFonts w:ascii="Arial" w:hAnsi="Arial"/>
          <w:b w:val="0"/>
          <w:i w:val="0"/>
          <w:color w:val="00B050"/>
          <w:sz w:val="18"/>
        </w:rPr>
        <w:t>ESRS E2-3-AR-16-(b)</w:t>
      </w:r>
      <w:r>
        <w:rPr>
          <w:rFonts w:ascii="Arial" w:hAnsi="Arial"/>
          <w:b w:val="0"/>
          <w:i w:val="0"/>
          <w:color w:val="000000"/>
          <w:sz w:val="18"/>
        </w:rPr>
        <w:t>]</w:t>
      </w:r>
    </w:p>
    <w:p>
      <w:pPr>
        <w:pStyle w:val="Heading3"/>
      </w:pPr>
      <w:r>
        <w:rPr>
          <w:rFonts w:ascii="Arial" w:hAnsi="Arial"/>
          <w:b/>
          <w:i w:val="0"/>
          <w:color w:val="000000"/>
          <w:sz w:val="22"/>
        </w:rPr>
        <w:t>5.3.4.7  Responsibility for Respecting Ecological Thresholds, Mandatory/Voluntary Status, and Substantial Contribution Criteria</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Pollution-related target is mandatory (required by legislation) or voluntary</w:t>
            </w:r>
          </w:p>
        </w:tc>
        <w:tc>
          <w:tcPr>
            <w:tcW w:type="dxa" w:w="3024"/>
          </w:tcPr>
          <w:p>
            <w:r>
              <w:rPr>
                <w:rFonts w:ascii="Arial" w:hAnsi="Arial"/>
                <w:b w:val="0"/>
                <w:i w:val="0"/>
                <w:color w:val="00B050"/>
                <w:sz w:val="18"/>
              </w:rPr>
              <w:t>ESRS E2-3-25</w:t>
            </w:r>
          </w:p>
        </w:tc>
        <w:tc>
          <w:tcPr>
            <w:tcW w:type="dxa" w:w="3024"/>
          </w:tcPr>
          <w:p>
            <w:r>
              <w:rPr>
                <w:rFonts w:ascii="Arial" w:hAnsi="Arial"/>
                <w:b w:val="0"/>
                <w:i w:val="0"/>
                <w:color w:val="000000"/>
                <w:sz w:val="20"/>
              </w:rPr>
              <w:t>Mandatory and voluntary. Targets comprise mandatory components required by IED and REACH and voluntary components aligned with the EU Zero Pollution Action Plan.</w:t>
            </w:r>
          </w:p>
        </w:tc>
      </w:tr>
      <w:tr>
        <w:tc>
          <w:tcPr>
            <w:tcW w:type="dxa" w:w="3024"/>
          </w:tcPr>
          <w:p>
            <w:r>
              <w:rPr>
                <w:rFonts w:ascii="Arial" w:hAnsi="Arial"/>
                <w:b w:val="0"/>
                <w:i w:val="0"/>
                <w:color w:val="000000"/>
                <w:sz w:val="20"/>
              </w:rPr>
              <w:t>Target addresses shortcomings related to the Substantial Contribution criteria for Pollution Prevention and Control</w:t>
            </w:r>
          </w:p>
        </w:tc>
        <w:tc>
          <w:tcPr>
            <w:tcW w:type="dxa" w:w="3024"/>
          </w:tcPr>
          <w:p>
            <w:r>
              <w:rPr>
                <w:rFonts w:ascii="Arial" w:hAnsi="Arial"/>
                <w:b w:val="0"/>
                <w:i w:val="0"/>
                <w:color w:val="00B050"/>
                <w:sz w:val="18"/>
              </w:rPr>
              <w:t>ESRS E2-3-AR-17</w:t>
            </w:r>
          </w:p>
        </w:tc>
        <w:tc>
          <w:tcPr>
            <w:tcW w:type="dxa" w:w="3024"/>
          </w:tcPr>
          <w:p>
            <w:r>
              <w:rPr>
                <w:rFonts w:ascii="Arial" w:hAnsi="Arial"/>
                <w:b w:val="0"/>
                <w:i w:val="0"/>
                <w:color w:val="000000"/>
                <w:sz w:val="20"/>
              </w:rPr>
              <w:t>Yes. The mandatory components address shortcomings identified under the EU Taxonomy Substantial Contribution criteria.</w:t>
            </w:r>
          </w:p>
        </w:tc>
      </w:tr>
    </w:tbl>
    <w:p>
      <w:r>
        <w:rPr>
          <w:rFonts w:ascii="Arial" w:hAnsi="Arial"/>
          <w:b w:val="0"/>
          <w:i w:val="0"/>
          <w:color w:val="000000"/>
          <w:sz w:val="22"/>
        </w:rPr>
        <w:t>Responsibility for monitoring performance against ecological thresholds rests with Regional Environmental Leads, with escalation obligations to the Chief Sustainability Officer where site-level allocations are at risk of being exceeded. Pollution reduction targets comprise both mandatory targets required by applicable environmental permitting conditions and EU regulatory frameworks (including IED and REACH), and voluntary commitments adopted in alignment with the EU Zero Pollution Action Plan. The voluntary components represent additional ambition beyond regulatory minimum requirements.</w:t>
      </w:r>
      <w:r>
        <w:rPr>
          <w:rFonts w:ascii="Arial" w:hAnsi="Arial"/>
          <w:b w:val="0"/>
          <w:i w:val="0"/>
          <w:color w:val="000000"/>
          <w:sz w:val="18"/>
        </w:rPr>
        <w:t xml:space="preserve"> [</w:t>
      </w:r>
      <w:r>
        <w:rPr>
          <w:rFonts w:ascii="Arial" w:hAnsi="Arial"/>
          <w:b w:val="0"/>
          <w:i w:val="0"/>
          <w:color w:val="00B050"/>
          <w:sz w:val="18"/>
        </w:rPr>
        <w:t>ESRS E2-3-24</w:t>
      </w:r>
      <w:r>
        <w:rPr>
          <w:rFonts w:ascii="Arial" w:hAnsi="Arial"/>
          <w:b w:val="0"/>
          <w:i w:val="0"/>
          <w:color w:val="000000"/>
          <w:sz w:val="18"/>
        </w:rPr>
        <w:t xml:space="preserve"> | </w:t>
      </w:r>
      <w:r>
        <w:rPr>
          <w:rFonts w:ascii="Arial" w:hAnsi="Arial"/>
          <w:b w:val="0"/>
          <w:i w:val="0"/>
          <w:color w:val="00B050"/>
          <w:sz w:val="18"/>
        </w:rPr>
        <w:t>ESRS E2-3-AR-16-(c)</w:t>
      </w:r>
      <w:r>
        <w:rPr>
          <w:rFonts w:ascii="Arial" w:hAnsi="Arial"/>
          <w:b w:val="0"/>
          <w:i w:val="0"/>
          <w:color w:val="000000"/>
          <w:sz w:val="18"/>
        </w:rPr>
        <w:t xml:space="preserve"> | </w:t>
      </w:r>
      <w:r>
        <w:rPr>
          <w:rFonts w:ascii="Arial" w:hAnsi="Arial"/>
          <w:b w:val="0"/>
          <w:i w:val="0"/>
          <w:color w:val="00B050"/>
          <w:sz w:val="18"/>
        </w:rPr>
        <w:t>ESRS E2-3-25</w:t>
      </w:r>
      <w:r>
        <w:rPr>
          <w:rFonts w:ascii="Arial" w:hAnsi="Arial"/>
          <w:b w:val="0"/>
          <w:i w:val="0"/>
          <w:color w:val="000000"/>
          <w:sz w:val="18"/>
        </w:rPr>
        <w:t xml:space="preserve"> | </w:t>
      </w:r>
      <w:r>
        <w:rPr>
          <w:rFonts w:ascii="Arial" w:hAnsi="Arial"/>
          <w:b w:val="0"/>
          <w:i w:val="0"/>
          <w:color w:val="00B050"/>
          <w:sz w:val="18"/>
        </w:rPr>
        <w:t>ESRS E2-3-AR-17</w:t>
      </w:r>
      <w:r>
        <w:rPr>
          <w:rFonts w:ascii="Arial" w:hAnsi="Arial"/>
          <w:b w:val="0"/>
          <w:i w:val="0"/>
          <w:color w:val="000000"/>
          <w:sz w:val="18"/>
        </w:rPr>
        <w:t>]</w:t>
      </w:r>
    </w:p>
    <w:p>
      <w:pPr>
        <w:pStyle w:val="Heading3"/>
      </w:pPr>
      <w:r>
        <w:rPr>
          <w:rFonts w:ascii="Arial" w:hAnsi="Arial"/>
          <w:b/>
          <w:i w:val="0"/>
          <w:color w:val="000000"/>
          <w:sz w:val="22"/>
        </w:rPr>
        <w:t>5.3.4.8  Pollution Targets Implemented at Site Level</w:t>
      </w:r>
    </w:p>
    <w:p>
      <w:r>
        <w:rPr>
          <w:rFonts w:ascii="Arial" w:hAnsi="Arial"/>
          <w:b w:val="0"/>
          <w:i w:val="0"/>
          <w:color w:val="000000"/>
          <w:sz w:val="22"/>
        </w:rPr>
        <w:t>Site-level implementation of all pollution targets is tracked through the EHS incident and performance management system, with quarterly progress reporting to the Board's Environmental and Sustainability Committee. Each operating site maintains a site-level pollution target implementation plan, reviewed annually by Regional Environmental Leads and updated to reflect current risk assessments, regulatory developments, and monitoring data outcomes. As of year-end FY 2025, all primary operating sites have operational site-level pollution target implementation plans in place.</w:t>
      </w:r>
      <w:r>
        <w:rPr>
          <w:rFonts w:ascii="Arial" w:hAnsi="Arial"/>
          <w:b w:val="0"/>
          <w:i w:val="0"/>
          <w:color w:val="000000"/>
          <w:sz w:val="18"/>
        </w:rPr>
        <w:t xml:space="preserve"> [</w:t>
      </w:r>
      <w:r>
        <w:rPr>
          <w:rFonts w:ascii="Arial" w:hAnsi="Arial"/>
          <w:b w:val="0"/>
          <w:i w:val="0"/>
          <w:color w:val="00B050"/>
          <w:sz w:val="18"/>
        </w:rPr>
        <w:t>ESRS E2-3-AR-18</w:t>
      </w:r>
      <w:r>
        <w:rPr>
          <w:rFonts w:ascii="Arial" w:hAnsi="Arial"/>
          <w:b w:val="0"/>
          <w:i w:val="0"/>
          <w:color w:val="000000"/>
          <w:sz w:val="18"/>
        </w:rPr>
        <w:t>]</w:t>
      </w:r>
    </w:p>
    <w:p>
      <w:pPr>
        <w:pStyle w:val="Heading2"/>
      </w:pPr>
      <w:r>
        <w:rPr>
          <w:rFonts w:ascii="Arial" w:hAnsi="Arial"/>
          <w:b/>
          <w:i w:val="0"/>
          <w:color w:val="000000"/>
          <w:sz w:val="26"/>
        </w:rPr>
        <w:t>5.3.5  Pollution of Air</w:t>
      </w:r>
    </w:p>
    <w:p>
      <w:r>
        <w:rPr>
          <w:rFonts w:ascii="Arial" w:hAnsi="Arial"/>
          <w:b w:val="0"/>
          <w:i w:val="0"/>
          <w:color w:val="00B050"/>
          <w:sz w:val="18"/>
        </w:rPr>
        <w:t>ESRS E2-4</w:t>
      </w:r>
      <w:r>
        <w:rPr>
          <w:rFonts w:ascii="Arial" w:hAnsi="Arial"/>
          <w:b w:val="0"/>
          <w:i w:val="0"/>
          <w:color w:val="000000"/>
          <w:sz w:val="18"/>
        </w:rPr>
        <w:t xml:space="preserve"> |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ESRS E2-4-AR-20</w:t>
      </w:r>
      <w:r>
        <w:rPr>
          <w:rFonts w:ascii="Arial" w:hAnsi="Arial"/>
          <w:b w:val="0"/>
          <w:i w:val="0"/>
          <w:color w:val="000000"/>
          <w:sz w:val="18"/>
        </w:rPr>
        <w:t xml:space="preserve"> | </w:t>
      </w:r>
      <w:r>
        <w:rPr>
          <w:rFonts w:ascii="Arial" w:hAnsi="Arial"/>
          <w:b w:val="0"/>
          <w:i w:val="0"/>
          <w:color w:val="00B050"/>
          <w:sz w:val="18"/>
        </w:rPr>
        <w:t>ESRS E2-4-AR-22</w:t>
      </w:r>
      <w:r>
        <w:rPr>
          <w:rFonts w:ascii="Arial" w:hAnsi="Arial"/>
          <w:b w:val="0"/>
          <w:i w:val="0"/>
          <w:color w:val="000000"/>
          <w:sz w:val="18"/>
        </w:rPr>
        <w:t xml:space="preserve"> | </w:t>
      </w:r>
      <w:r>
        <w:rPr>
          <w:rFonts w:ascii="Arial" w:hAnsi="Arial"/>
          <w:b w:val="0"/>
          <w:i w:val="0"/>
          <w:color w:val="00B050"/>
          <w:sz w:val="18"/>
        </w:rPr>
        <w:t>ESRS E2-4-30</w:t>
      </w:r>
      <w:r>
        <w:rPr>
          <w:rFonts w:ascii="Arial" w:hAnsi="Arial"/>
          <w:b w:val="0"/>
          <w:i w:val="0"/>
          <w:color w:val="000000"/>
          <w:sz w:val="18"/>
        </w:rPr>
        <w:t xml:space="preserve"> | </w:t>
      </w:r>
      <w:r>
        <w:rPr>
          <w:rFonts w:ascii="Arial" w:hAnsi="Arial"/>
          <w:b w:val="0"/>
          <w:i w:val="0"/>
          <w:color w:val="00B050"/>
          <w:sz w:val="18"/>
        </w:rPr>
        <w:t>ESRS E2-4-31</w:t>
      </w:r>
      <w:r>
        <w:rPr>
          <w:rFonts w:ascii="Arial" w:hAnsi="Arial"/>
          <w:b w:val="0"/>
          <w:i w:val="0"/>
          <w:color w:val="000000"/>
          <w:sz w:val="18"/>
        </w:rPr>
        <w:t xml:space="preserve"> | </w:t>
      </w:r>
      <w:r>
        <w:rPr>
          <w:rFonts w:ascii="Arial" w:hAnsi="Arial"/>
          <w:b w:val="0"/>
          <w:i w:val="0"/>
          <w:color w:val="0070C0"/>
          <w:sz w:val="18"/>
        </w:rPr>
        <w:t>GRI 305-7</w:t>
      </w:r>
    </w:p>
    <w:p>
      <w:pPr>
        <w:pStyle w:val="Heading3"/>
      </w:pPr>
      <w:r>
        <w:rPr>
          <w:rFonts w:ascii="Arial" w:hAnsi="Arial"/>
          <w:b/>
          <w:i w:val="0"/>
          <w:color w:val="000000"/>
          <w:sz w:val="22"/>
        </w:rPr>
        <w:t>5.3.5.1  Quantify Emissions to Air by Pollutant — Summary</w:t>
      </w:r>
    </w:p>
    <w:p>
      <w:r>
        <w:rPr>
          <w:rFonts w:ascii="Arial" w:hAnsi="Arial"/>
          <w:b/>
          <w:i w:val="0"/>
          <w:color w:val="000000"/>
          <w:sz w:val="20"/>
        </w:rPr>
        <w:t>Table 5.3.5.1 — Emissions to Air by Pollutant (FY 2024 vs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 xml:space="preserve"> | </w:t>
      </w:r>
      <w:r>
        <w:rPr>
          <w:rFonts w:ascii="Arial" w:hAnsi="Arial"/>
          <w:b w:val="0"/>
          <w:i w:val="0"/>
          <w:color w:val="0070C0"/>
          <w:sz w:val="18"/>
        </w:rPr>
        <w:t>GRI 305-7</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(metric tonnes)</w:t>
            </w:r>
          </w:p>
        </w:tc>
        <w:tc>
          <w:tcPr>
            <w:tcW w:type="dxa" w:w="3024"/>
            <w:shd w:val="clear" w:color="auto" w:fill="D9D9D9"/>
          </w:tcPr>
          <w:p>
            <w:r>
              <w:rPr>
                <w:rFonts w:ascii="Arial" w:hAnsi="Arial"/>
                <w:b/>
                <w:i w:val="0"/>
                <w:color w:val="000000"/>
                <w:sz w:val="20"/>
              </w:rPr>
              <w:t>FY 2025 (metric tonnes)</w:t>
            </w:r>
          </w:p>
        </w:tc>
      </w:tr>
      <w:tr>
        <w:tc>
          <w:tcPr>
            <w:tcW w:type="dxa" w:w="3024"/>
          </w:tcPr>
          <w:p>
            <w:r>
              <w:rPr>
                <w:rFonts w:ascii="Arial" w:hAnsi="Arial"/>
                <w:b w:val="0"/>
                <w:i w:val="0"/>
                <w:color w:val="000000"/>
                <w:sz w:val="20"/>
              </w:rPr>
              <w:t>Nitrogen Oxides (NOx)</w:t>
            </w:r>
          </w:p>
        </w:tc>
        <w:tc>
          <w:tcPr>
            <w:tcW w:type="dxa" w:w="3024"/>
          </w:tcPr>
          <w:p>
            <w:r>
              <w:rPr>
                <w:rFonts w:ascii="Arial" w:hAnsi="Arial"/>
                <w:b w:val="0"/>
                <w:i w:val="0"/>
                <w:color w:val="000000"/>
                <w:sz w:val="20"/>
              </w:rPr>
              <w:t>1,245.8</w:t>
            </w:r>
          </w:p>
        </w:tc>
        <w:tc>
          <w:tcPr>
            <w:tcW w:type="dxa" w:w="3024"/>
          </w:tcPr>
          <w:p>
            <w:r>
              <w:rPr>
                <w:rFonts w:ascii="Arial" w:hAnsi="Arial"/>
                <w:b w:val="0"/>
                <w:i w:val="0"/>
                <w:color w:val="000000"/>
                <w:sz w:val="20"/>
              </w:rPr>
              <w:t>1,141.0</w:t>
            </w:r>
          </w:p>
        </w:tc>
      </w:tr>
      <w:tr>
        <w:tc>
          <w:tcPr>
            <w:tcW w:type="dxa" w:w="3024"/>
          </w:tcPr>
          <w:p>
            <w:r>
              <w:rPr>
                <w:rFonts w:ascii="Arial" w:hAnsi="Arial"/>
                <w:b w:val="0"/>
                <w:i w:val="0"/>
                <w:color w:val="000000"/>
                <w:sz w:val="20"/>
              </w:rPr>
              <w:t>Sulphur Oxides (SOx)</w:t>
            </w:r>
          </w:p>
        </w:tc>
        <w:tc>
          <w:tcPr>
            <w:tcW w:type="dxa" w:w="3024"/>
          </w:tcPr>
          <w:p>
            <w:r>
              <w:rPr>
                <w:rFonts w:ascii="Arial" w:hAnsi="Arial"/>
                <w:b w:val="0"/>
                <w:i w:val="0"/>
                <w:color w:val="000000"/>
                <w:sz w:val="20"/>
              </w:rPr>
              <w:t>387.4</w:t>
            </w:r>
          </w:p>
        </w:tc>
        <w:tc>
          <w:tcPr>
            <w:tcW w:type="dxa" w:w="3024"/>
          </w:tcPr>
          <w:p>
            <w:r>
              <w:rPr>
                <w:rFonts w:ascii="Arial" w:hAnsi="Arial"/>
                <w:b w:val="0"/>
                <w:i w:val="0"/>
                <w:color w:val="000000"/>
                <w:sz w:val="20"/>
              </w:rPr>
              <w:t>343.9</w:t>
            </w:r>
          </w:p>
        </w:tc>
      </w:tr>
      <w:tr>
        <w:tc>
          <w:tcPr>
            <w:tcW w:type="dxa" w:w="3024"/>
          </w:tcPr>
          <w:p>
            <w:r>
              <w:rPr>
                <w:rFonts w:ascii="Arial" w:hAnsi="Arial"/>
                <w:b w:val="0"/>
                <w:i w:val="0"/>
                <w:color w:val="000000"/>
                <w:sz w:val="20"/>
              </w:rPr>
              <w:t>Particulate Matter (PM10)</w:t>
            </w:r>
          </w:p>
        </w:tc>
        <w:tc>
          <w:tcPr>
            <w:tcW w:type="dxa" w:w="3024"/>
          </w:tcPr>
          <w:p>
            <w:r>
              <w:rPr>
                <w:rFonts w:ascii="Arial" w:hAnsi="Arial"/>
                <w:b w:val="0"/>
                <w:i w:val="0"/>
                <w:color w:val="000000"/>
                <w:sz w:val="20"/>
              </w:rPr>
              <w:t>92.6</w:t>
            </w:r>
          </w:p>
        </w:tc>
        <w:tc>
          <w:tcPr>
            <w:tcW w:type="dxa" w:w="3024"/>
          </w:tcPr>
          <w:p>
            <w:r>
              <w:rPr>
                <w:rFonts w:ascii="Arial" w:hAnsi="Arial"/>
                <w:b w:val="0"/>
                <w:i w:val="0"/>
                <w:color w:val="000000"/>
                <w:sz w:val="20"/>
              </w:rPr>
              <w:t>86.4</w:t>
            </w:r>
          </w:p>
        </w:tc>
      </w:tr>
      <w:tr>
        <w:tc>
          <w:tcPr>
            <w:tcW w:type="dxa" w:w="3024"/>
          </w:tcPr>
          <w:p>
            <w:r>
              <w:rPr>
                <w:rFonts w:ascii="Arial" w:hAnsi="Arial"/>
                <w:b w:val="0"/>
                <w:i w:val="0"/>
                <w:color w:val="000000"/>
                <w:sz w:val="20"/>
              </w:rPr>
              <w:t>Particulate Matter (PM2.5)</w:t>
            </w:r>
          </w:p>
        </w:tc>
        <w:tc>
          <w:tcPr>
            <w:tcW w:type="dxa" w:w="3024"/>
          </w:tcPr>
          <w:p>
            <w:r>
              <w:rPr>
                <w:rFonts w:ascii="Arial" w:hAnsi="Arial"/>
                <w:b w:val="0"/>
                <w:i w:val="0"/>
                <w:color w:val="000000"/>
                <w:sz w:val="20"/>
              </w:rPr>
              <w:t>61.4</w:t>
            </w:r>
          </w:p>
        </w:tc>
        <w:tc>
          <w:tcPr>
            <w:tcW w:type="dxa" w:w="3024"/>
          </w:tcPr>
          <w:p>
            <w:r>
              <w:rPr>
                <w:rFonts w:ascii="Arial" w:hAnsi="Arial"/>
                <w:b w:val="0"/>
                <w:i w:val="0"/>
                <w:color w:val="000000"/>
                <w:sz w:val="20"/>
              </w:rPr>
              <w:t>55.7</w:t>
            </w:r>
          </w:p>
        </w:tc>
      </w:tr>
      <w:tr>
        <w:tc>
          <w:tcPr>
            <w:tcW w:type="dxa" w:w="3024"/>
          </w:tcPr>
          <w:p>
            <w:r>
              <w:rPr>
                <w:rFonts w:ascii="Arial" w:hAnsi="Arial"/>
                <w:b w:val="0"/>
                <w:i w:val="0"/>
                <w:color w:val="000000"/>
                <w:sz w:val="20"/>
              </w:rPr>
              <w:t>Volatile Organic Compounds (VOC)</w:t>
            </w:r>
          </w:p>
        </w:tc>
        <w:tc>
          <w:tcPr>
            <w:tcW w:type="dxa" w:w="3024"/>
          </w:tcPr>
          <w:p>
            <w:r>
              <w:rPr>
                <w:rFonts w:ascii="Arial" w:hAnsi="Arial"/>
                <w:b w:val="0"/>
                <w:i w:val="0"/>
                <w:color w:val="000000"/>
                <w:sz w:val="20"/>
              </w:rPr>
              <w:t>234.1</w:t>
            </w:r>
          </w:p>
        </w:tc>
        <w:tc>
          <w:tcPr>
            <w:tcW w:type="dxa" w:w="3024"/>
          </w:tcPr>
          <w:p>
            <w:r>
              <w:rPr>
                <w:rFonts w:ascii="Arial" w:hAnsi="Arial"/>
                <w:b w:val="0"/>
                <w:i w:val="0"/>
                <w:color w:val="000000"/>
                <w:sz w:val="20"/>
              </w:rPr>
              <w:t>218.6</w:t>
            </w:r>
          </w:p>
        </w:tc>
      </w:tr>
      <w:tr>
        <w:tc>
          <w:tcPr>
            <w:tcW w:type="dxa" w:w="3024"/>
          </w:tcPr>
          <w:p>
            <w:r>
              <w:rPr>
                <w:rFonts w:ascii="Arial" w:hAnsi="Arial"/>
                <w:b w:val="0"/>
                <w:i w:val="0"/>
                <w:color w:val="000000"/>
                <w:sz w:val="20"/>
              </w:rPr>
              <w:t>Carbon Monoxide (CO)</w:t>
            </w:r>
          </w:p>
        </w:tc>
        <w:tc>
          <w:tcPr>
            <w:tcW w:type="dxa" w:w="3024"/>
          </w:tcPr>
          <w:p>
            <w:r>
              <w:rPr>
                <w:rFonts w:ascii="Arial" w:hAnsi="Arial"/>
                <w:b w:val="0"/>
                <w:i w:val="0"/>
                <w:color w:val="000000"/>
                <w:sz w:val="20"/>
              </w:rPr>
              <w:t>156.3</w:t>
            </w:r>
          </w:p>
        </w:tc>
        <w:tc>
          <w:tcPr>
            <w:tcW w:type="dxa" w:w="3024"/>
          </w:tcPr>
          <w:p>
            <w:r>
              <w:rPr>
                <w:rFonts w:ascii="Arial" w:hAnsi="Arial"/>
                <w:b w:val="0"/>
                <w:i w:val="0"/>
                <w:color w:val="000000"/>
                <w:sz w:val="20"/>
              </w:rPr>
              <w:t>148.2</w:t>
            </w:r>
          </w:p>
        </w:tc>
      </w:tr>
      <w:tr>
        <w:tc>
          <w:tcPr>
            <w:tcW w:type="dxa" w:w="3024"/>
          </w:tcPr>
          <w:p>
            <w:r>
              <w:rPr>
                <w:rFonts w:ascii="Arial" w:hAnsi="Arial"/>
                <w:b w:val="0"/>
                <w:i w:val="0"/>
                <w:color w:val="000000"/>
                <w:sz w:val="20"/>
              </w:rPr>
              <w:t>Ammonia (NH3)</w:t>
            </w:r>
          </w:p>
        </w:tc>
        <w:tc>
          <w:tcPr>
            <w:tcW w:type="dxa" w:w="3024"/>
          </w:tcPr>
          <w:p>
            <w:r>
              <w:rPr>
                <w:rFonts w:ascii="Arial" w:hAnsi="Arial"/>
                <w:b w:val="0"/>
                <w:i w:val="0"/>
                <w:color w:val="000000"/>
                <w:sz w:val="20"/>
              </w:rPr>
              <w:t>18.9</w:t>
            </w:r>
          </w:p>
        </w:tc>
        <w:tc>
          <w:tcPr>
            <w:tcW w:type="dxa" w:w="3024"/>
          </w:tcPr>
          <w:p>
            <w:r>
              <w:rPr>
                <w:rFonts w:ascii="Arial" w:hAnsi="Arial"/>
                <w:b w:val="0"/>
                <w:i w:val="0"/>
                <w:color w:val="000000"/>
                <w:sz w:val="20"/>
              </w:rPr>
              <w:t>17.4</w:t>
            </w:r>
          </w:p>
        </w:tc>
      </w:tr>
      <w:tr>
        <w:tc>
          <w:tcPr>
            <w:tcW w:type="dxa" w:w="3024"/>
          </w:tcPr>
          <w:p>
            <w:r>
              <w:rPr>
                <w:rFonts w:ascii="Arial" w:hAnsi="Arial"/>
                <w:b w:val="0"/>
                <w:i w:val="0"/>
                <w:color w:val="000000"/>
                <w:sz w:val="20"/>
              </w:rPr>
              <w:t>Persistent Organic Pollutants (POP)</w:t>
            </w:r>
          </w:p>
        </w:tc>
        <w:tc>
          <w:tcPr>
            <w:tcW w:type="dxa" w:w="3024"/>
          </w:tcPr>
          <w:p>
            <w:r>
              <w:rPr>
                <w:rFonts w:ascii="Arial" w:hAnsi="Arial"/>
                <w:b w:val="0"/>
                <w:i w:val="0"/>
                <w:color w:val="000000"/>
                <w:sz w:val="20"/>
              </w:rPr>
              <w:t>0.34</w:t>
            </w:r>
          </w:p>
        </w:tc>
        <w:tc>
          <w:tcPr>
            <w:tcW w:type="dxa" w:w="3024"/>
          </w:tcPr>
          <w:p>
            <w:r>
              <w:rPr>
                <w:rFonts w:ascii="Arial" w:hAnsi="Arial"/>
                <w:b w:val="0"/>
                <w:i w:val="0"/>
                <w:color w:val="000000"/>
                <w:sz w:val="20"/>
              </w:rPr>
              <w:t>0.29</w:t>
            </w:r>
          </w:p>
        </w:tc>
      </w:tr>
      <w:tr>
        <w:tc>
          <w:tcPr>
            <w:tcW w:type="dxa" w:w="3024"/>
          </w:tcPr>
          <w:p>
            <w:r>
              <w:rPr>
                <w:rFonts w:ascii="Arial" w:hAnsi="Arial"/>
                <w:b w:val="0"/>
                <w:i w:val="0"/>
                <w:color w:val="000000"/>
                <w:sz w:val="20"/>
              </w:rPr>
              <w:t>Hazardous Air Pollutants (HAP)</w:t>
            </w:r>
          </w:p>
        </w:tc>
        <w:tc>
          <w:tcPr>
            <w:tcW w:type="dxa" w:w="3024"/>
          </w:tcPr>
          <w:p>
            <w:r>
              <w:rPr>
                <w:rFonts w:ascii="Arial" w:hAnsi="Arial"/>
                <w:b w:val="0"/>
                <w:i w:val="0"/>
                <w:color w:val="000000"/>
                <w:sz w:val="20"/>
              </w:rPr>
              <w:t>12.7</w:t>
            </w:r>
          </w:p>
        </w:tc>
        <w:tc>
          <w:tcPr>
            <w:tcW w:type="dxa" w:w="3024"/>
          </w:tcPr>
          <w:p>
            <w:r>
              <w:rPr>
                <w:rFonts w:ascii="Arial" w:hAnsi="Arial"/>
                <w:b w:val="0"/>
                <w:i w:val="0"/>
                <w:color w:val="000000"/>
                <w:sz w:val="20"/>
              </w:rPr>
              <w:t>11.3</w:t>
            </w:r>
          </w:p>
        </w:tc>
      </w:tr>
      <w:tr>
        <w:tc>
          <w:tcPr>
            <w:tcW w:type="dxa" w:w="3024"/>
            <w:shd w:val="clear" w:color="auto" w:fill="F3F3F3"/>
          </w:tcPr>
          <w:p>
            <w:r>
              <w:rPr>
                <w:rFonts w:ascii="Arial" w:hAnsi="Arial"/>
                <w:b/>
                <w:i w:val="0"/>
                <w:color w:val="000000"/>
                <w:sz w:val="20"/>
              </w:rPr>
              <w:t>Total Emissions to Air</w:t>
            </w:r>
          </w:p>
        </w:tc>
        <w:tc>
          <w:tcPr>
            <w:tcW w:type="dxa" w:w="3024"/>
            <w:shd w:val="clear" w:color="auto" w:fill="F3F3F3"/>
          </w:tcPr>
          <w:p>
            <w:r>
              <w:rPr>
                <w:rFonts w:ascii="Arial" w:hAnsi="Arial"/>
                <w:b/>
                <w:i w:val="0"/>
                <w:color w:val="000000"/>
                <w:sz w:val="20"/>
              </w:rPr>
              <w:t>2,209.5</w:t>
            </w:r>
          </w:p>
        </w:tc>
        <w:tc>
          <w:tcPr>
            <w:tcW w:type="dxa" w:w="3024"/>
            <w:shd w:val="clear" w:color="auto" w:fill="F3F3F3"/>
          </w:tcPr>
          <w:p>
            <w:r>
              <w:rPr>
                <w:rFonts w:ascii="Arial" w:hAnsi="Arial"/>
                <w:b/>
                <w:i w:val="0"/>
                <w:color w:val="000000"/>
                <w:sz w:val="20"/>
              </w:rPr>
              <w:t>2,023.0</w:t>
            </w:r>
          </w:p>
        </w:tc>
      </w:tr>
    </w:tbl>
    <w:p>
      <w:pPr>
        <w:pStyle w:val="Heading3"/>
      </w:pPr>
      <w:r>
        <w:rPr>
          <w:rFonts w:ascii="Arial" w:hAnsi="Arial"/>
          <w:b/>
          <w:i w:val="0"/>
          <w:color w:val="000000"/>
          <w:sz w:val="22"/>
        </w:rPr>
        <w:t>5.3.5.2  Quantify Emissions to Air by Pollutant — By Sector</w:t>
      </w:r>
    </w:p>
    <w:p>
      <w:r>
        <w:rPr>
          <w:rFonts w:ascii="Arial" w:hAnsi="Arial"/>
          <w:b/>
          <w:i w:val="0"/>
          <w:color w:val="000000"/>
          <w:sz w:val="20"/>
        </w:rPr>
        <w:t>Table 5.3.5.2 — Emissions to Air by Pollutant (By Sector)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S1</w:t>
            </w:r>
          </w:p>
        </w:tc>
        <w:tc>
          <w:tcPr>
            <w:tcW w:type="dxa" w:w="756"/>
            <w:shd w:val="clear" w:color="auto" w:fill="D9D9D9"/>
          </w:tcPr>
          <w:p>
            <w:r>
              <w:rPr>
                <w:rFonts w:ascii="Arial" w:hAnsi="Arial"/>
                <w:b/>
                <w:i w:val="0"/>
                <w:color w:val="000000"/>
                <w:sz w:val="20"/>
              </w:rPr>
              <w:t>S2</w:t>
            </w:r>
          </w:p>
        </w:tc>
        <w:tc>
          <w:tcPr>
            <w:tcW w:type="dxa" w:w="756"/>
            <w:shd w:val="clear" w:color="auto" w:fill="D9D9D9"/>
          </w:tcPr>
          <w:p>
            <w:r>
              <w:rPr>
                <w:rFonts w:ascii="Arial" w:hAnsi="Arial"/>
                <w:b/>
                <w:i w:val="0"/>
                <w:color w:val="000000"/>
                <w:sz w:val="20"/>
              </w:rPr>
              <w:t>S3</w:t>
            </w:r>
          </w:p>
        </w:tc>
        <w:tc>
          <w:tcPr>
            <w:tcW w:type="dxa" w:w="756"/>
            <w:shd w:val="clear" w:color="auto" w:fill="D9D9D9"/>
          </w:tcPr>
          <w:p>
            <w:r>
              <w:rPr>
                <w:rFonts w:ascii="Arial" w:hAnsi="Arial"/>
                <w:b/>
                <w:i w:val="0"/>
                <w:color w:val="000000"/>
                <w:sz w:val="20"/>
              </w:rPr>
              <w:t>S4</w:t>
            </w:r>
          </w:p>
        </w:tc>
        <w:tc>
          <w:tcPr>
            <w:tcW w:type="dxa" w:w="756"/>
            <w:shd w:val="clear" w:color="auto" w:fill="D9D9D9"/>
          </w:tcPr>
          <w:p>
            <w:r>
              <w:rPr>
                <w:rFonts w:ascii="Arial" w:hAnsi="Arial"/>
                <w:b/>
                <w:i w:val="0"/>
                <w:color w:val="000000"/>
                <w:sz w:val="20"/>
              </w:rPr>
              <w:t>S5</w:t>
            </w:r>
          </w:p>
        </w:tc>
        <w:tc>
          <w:tcPr>
            <w:tcW w:type="dxa" w:w="756"/>
            <w:shd w:val="clear" w:color="auto" w:fill="D9D9D9"/>
          </w:tcPr>
          <w:p>
            <w:r>
              <w:rPr>
                <w:rFonts w:ascii="Arial" w:hAnsi="Arial"/>
                <w:b/>
                <w:i w:val="0"/>
                <w:color w:val="000000"/>
                <w:sz w:val="20"/>
              </w:rPr>
              <w:t>S6</w:t>
            </w:r>
          </w:p>
        </w:tc>
        <w:tc>
          <w:tcPr>
            <w:tcW w:type="dxa" w:w="756"/>
            <w:shd w:val="clear" w:color="auto" w:fill="D9D9D9"/>
          </w:tcPr>
          <w:p>
            <w:r>
              <w:rPr>
                <w:rFonts w:ascii="Arial" w:hAnsi="Arial"/>
                <w:b/>
                <w:i w:val="0"/>
                <w:color w:val="000000"/>
                <w:sz w:val="20"/>
              </w:rPr>
              <w:t>S7</w:t>
            </w:r>
          </w:p>
        </w:tc>
        <w:tc>
          <w:tcPr>
            <w:tcW w:type="dxa" w:w="756"/>
            <w:shd w:val="clear" w:color="auto" w:fill="D9D9D9"/>
          </w:tcPr>
          <w:p>
            <w:r>
              <w:rPr>
                <w:rFonts w:ascii="Arial" w:hAnsi="Arial"/>
                <w:b/>
                <w:i w:val="0"/>
                <w:color w:val="000000"/>
                <w:sz w:val="20"/>
              </w:rPr>
              <w:t>S8</w:t>
            </w:r>
          </w:p>
        </w:tc>
        <w:tc>
          <w:tcPr>
            <w:tcW w:type="dxa" w:w="756"/>
            <w:shd w:val="clear" w:color="auto" w:fill="D9D9D9"/>
          </w:tcPr>
          <w:p>
            <w:r>
              <w:rPr>
                <w:rFonts w:ascii="Arial" w:hAnsi="Arial"/>
                <w:b/>
                <w:i w:val="0"/>
                <w:color w:val="000000"/>
                <w:sz w:val="20"/>
              </w:rPr>
              <w:t>S9</w:t>
            </w:r>
          </w:p>
        </w:tc>
        <w:tc>
          <w:tcPr>
            <w:tcW w:type="dxa" w:w="756"/>
            <w:shd w:val="clear" w:color="auto" w:fill="D9D9D9"/>
          </w:tcPr>
          <w:p>
            <w:r>
              <w:rPr>
                <w:rFonts w:ascii="Arial" w:hAnsi="Arial"/>
                <w:b/>
                <w:i w:val="0"/>
                <w:color w:val="000000"/>
                <w:sz w:val="20"/>
              </w:rPr>
              <w:t>S10</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NOx</w:t>
            </w:r>
          </w:p>
        </w:tc>
        <w:tc>
          <w:tcPr>
            <w:tcW w:type="dxa" w:w="756"/>
          </w:tcPr>
          <w:p>
            <w:r>
              <w:rPr>
                <w:rFonts w:ascii="Arial" w:hAnsi="Arial"/>
                <w:b w:val="0"/>
                <w:i w:val="0"/>
                <w:color w:val="000000"/>
                <w:sz w:val="20"/>
              </w:rPr>
              <w:t>127</w:t>
            </w:r>
          </w:p>
        </w:tc>
        <w:tc>
          <w:tcPr>
            <w:tcW w:type="dxa" w:w="756"/>
          </w:tcPr>
          <w:p>
            <w:r>
              <w:rPr>
                <w:rFonts w:ascii="Arial" w:hAnsi="Arial"/>
                <w:b w:val="0"/>
                <w:i w:val="0"/>
                <w:color w:val="000000"/>
                <w:sz w:val="20"/>
              </w:rPr>
              <w:t>114</w:t>
            </w:r>
          </w:p>
        </w:tc>
        <w:tc>
          <w:tcPr>
            <w:tcW w:type="dxa" w:w="756"/>
          </w:tcPr>
          <w:p>
            <w:r>
              <w:rPr>
                <w:rFonts w:ascii="Arial" w:hAnsi="Arial"/>
                <w:b w:val="0"/>
                <w:i w:val="0"/>
                <w:color w:val="000000"/>
                <w:sz w:val="20"/>
              </w:rPr>
              <w:t>98</w:t>
            </w:r>
          </w:p>
        </w:tc>
        <w:tc>
          <w:tcPr>
            <w:tcW w:type="dxa" w:w="756"/>
          </w:tcPr>
          <w:p>
            <w:r>
              <w:rPr>
                <w:rFonts w:ascii="Arial" w:hAnsi="Arial"/>
                <w:b w:val="0"/>
                <w:i w:val="0"/>
                <w:color w:val="000000"/>
                <w:sz w:val="20"/>
              </w:rPr>
              <w:t>124</w:t>
            </w:r>
          </w:p>
        </w:tc>
        <w:tc>
          <w:tcPr>
            <w:tcW w:type="dxa" w:w="756"/>
          </w:tcPr>
          <w:p>
            <w:r>
              <w:rPr>
                <w:rFonts w:ascii="Arial" w:hAnsi="Arial"/>
                <w:b w:val="0"/>
                <w:i w:val="0"/>
                <w:color w:val="000000"/>
                <w:sz w:val="20"/>
              </w:rPr>
              <w:t>87</w:t>
            </w:r>
          </w:p>
        </w:tc>
        <w:tc>
          <w:tcPr>
            <w:tcW w:type="dxa" w:w="756"/>
          </w:tcPr>
          <w:p>
            <w:r>
              <w:rPr>
                <w:rFonts w:ascii="Arial" w:hAnsi="Arial"/>
                <w:b w:val="0"/>
                <w:i w:val="0"/>
                <w:color w:val="000000"/>
                <w:sz w:val="20"/>
              </w:rPr>
              <w:t>81</w:t>
            </w:r>
          </w:p>
        </w:tc>
        <w:tc>
          <w:tcPr>
            <w:tcW w:type="dxa" w:w="756"/>
          </w:tcPr>
          <w:p>
            <w:r>
              <w:rPr>
                <w:rFonts w:ascii="Arial" w:hAnsi="Arial"/>
                <w:b w:val="0"/>
                <w:i w:val="0"/>
                <w:color w:val="000000"/>
                <w:sz w:val="20"/>
              </w:rPr>
              <w:t>72</w:t>
            </w:r>
          </w:p>
        </w:tc>
        <w:tc>
          <w:tcPr>
            <w:tcW w:type="dxa" w:w="756"/>
          </w:tcPr>
          <w:p>
            <w:r>
              <w:rPr>
                <w:rFonts w:ascii="Arial" w:hAnsi="Arial"/>
                <w:b w:val="0"/>
                <w:i w:val="0"/>
                <w:color w:val="000000"/>
                <w:sz w:val="20"/>
              </w:rPr>
              <w:t>104</w:t>
            </w:r>
          </w:p>
        </w:tc>
        <w:tc>
          <w:tcPr>
            <w:tcW w:type="dxa" w:w="756"/>
          </w:tcPr>
          <w:p>
            <w:r>
              <w:rPr>
                <w:rFonts w:ascii="Arial" w:hAnsi="Arial"/>
                <w:b w:val="0"/>
                <w:i w:val="0"/>
                <w:color w:val="000000"/>
                <w:sz w:val="20"/>
              </w:rPr>
              <w:t>95</w:t>
            </w:r>
          </w:p>
        </w:tc>
        <w:tc>
          <w:tcPr>
            <w:tcW w:type="dxa" w:w="756"/>
          </w:tcPr>
          <w:p>
            <w:r>
              <w:rPr>
                <w:rFonts w:ascii="Arial" w:hAnsi="Arial"/>
                <w:b w:val="0"/>
                <w:i w:val="0"/>
                <w:color w:val="000000"/>
                <w:sz w:val="20"/>
              </w:rPr>
              <w:t>89</w:t>
            </w:r>
          </w:p>
        </w:tc>
        <w:tc>
          <w:tcPr>
            <w:tcW w:type="dxa" w:w="756"/>
          </w:tcPr>
          <w:p>
            <w:r>
              <w:rPr>
                <w:rFonts w:ascii="Arial" w:hAnsi="Arial"/>
                <w:b w:val="0"/>
                <w:i w:val="0"/>
                <w:color w:val="000000"/>
                <w:sz w:val="20"/>
              </w:rPr>
              <w:t>991</w:t>
            </w:r>
          </w:p>
        </w:tc>
      </w:tr>
      <w:tr>
        <w:tc>
          <w:tcPr>
            <w:tcW w:type="dxa" w:w="756"/>
          </w:tcPr>
          <w:p>
            <w:r>
              <w:rPr>
                <w:rFonts w:ascii="Arial" w:hAnsi="Arial"/>
                <w:b w:val="0"/>
                <w:i w:val="0"/>
                <w:color w:val="000000"/>
                <w:sz w:val="20"/>
              </w:rPr>
              <w:t>SOx</w:t>
            </w:r>
          </w:p>
        </w:tc>
        <w:tc>
          <w:tcPr>
            <w:tcW w:type="dxa" w:w="756"/>
          </w:tcPr>
          <w:p>
            <w:r>
              <w:rPr>
                <w:rFonts w:ascii="Arial" w:hAnsi="Arial"/>
                <w:b w:val="0"/>
                <w:i w:val="0"/>
                <w:color w:val="000000"/>
                <w:sz w:val="20"/>
              </w:rPr>
              <w:t>38</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28</w:t>
            </w:r>
          </w:p>
        </w:tc>
        <w:tc>
          <w:tcPr>
            <w:tcW w:type="dxa" w:w="756"/>
          </w:tcPr>
          <w:p>
            <w:r>
              <w:rPr>
                <w:rFonts w:ascii="Arial" w:hAnsi="Arial"/>
                <w:b w:val="0"/>
                <w:i w:val="0"/>
                <w:color w:val="000000"/>
                <w:sz w:val="20"/>
              </w:rPr>
              <w:t>37</w:t>
            </w:r>
          </w:p>
        </w:tc>
        <w:tc>
          <w:tcPr>
            <w:tcW w:type="dxa" w:w="756"/>
          </w:tcPr>
          <w:p>
            <w:r>
              <w:rPr>
                <w:rFonts w:ascii="Arial" w:hAnsi="Arial"/>
                <w:b w:val="0"/>
                <w:i w:val="0"/>
                <w:color w:val="000000"/>
                <w:sz w:val="20"/>
              </w:rPr>
              <w:t>25</w:t>
            </w:r>
          </w:p>
        </w:tc>
        <w:tc>
          <w:tcPr>
            <w:tcW w:type="dxa" w:w="756"/>
          </w:tcPr>
          <w:p>
            <w:r>
              <w:rPr>
                <w:rFonts w:ascii="Arial" w:hAnsi="Arial"/>
                <w:b w:val="0"/>
                <w:i w:val="0"/>
                <w:color w:val="000000"/>
                <w:sz w:val="20"/>
              </w:rPr>
              <w:t>24</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31</w:t>
            </w:r>
          </w:p>
        </w:tc>
        <w:tc>
          <w:tcPr>
            <w:tcW w:type="dxa" w:w="756"/>
          </w:tcPr>
          <w:p>
            <w:r>
              <w:rPr>
                <w:rFonts w:ascii="Arial" w:hAnsi="Arial"/>
                <w:b w:val="0"/>
                <w:i w:val="0"/>
                <w:color w:val="000000"/>
                <w:sz w:val="20"/>
              </w:rPr>
              <w:t>28</w:t>
            </w:r>
          </w:p>
        </w:tc>
        <w:tc>
          <w:tcPr>
            <w:tcW w:type="dxa" w:w="756"/>
          </w:tcPr>
          <w:p>
            <w:r>
              <w:rPr>
                <w:rFonts w:ascii="Arial" w:hAnsi="Arial"/>
                <w:b w:val="0"/>
                <w:i w:val="0"/>
                <w:color w:val="000000"/>
                <w:sz w:val="20"/>
              </w:rPr>
              <w:t>25</w:t>
            </w:r>
          </w:p>
        </w:tc>
        <w:tc>
          <w:tcPr>
            <w:tcW w:type="dxa" w:w="756"/>
          </w:tcPr>
          <w:p>
            <w:r>
              <w:rPr>
                <w:rFonts w:ascii="Arial" w:hAnsi="Arial"/>
                <w:b w:val="0"/>
                <w:i w:val="0"/>
                <w:color w:val="000000"/>
                <w:sz w:val="20"/>
              </w:rPr>
              <w:t>291</w:t>
            </w:r>
          </w:p>
        </w:tc>
      </w:tr>
      <w:tr>
        <w:tc>
          <w:tcPr>
            <w:tcW w:type="dxa" w:w="756"/>
          </w:tcPr>
          <w:p>
            <w:r>
              <w:rPr>
                <w:rFonts w:ascii="Arial" w:hAnsi="Arial"/>
                <w:b w:val="0"/>
                <w:i w:val="0"/>
                <w:color w:val="000000"/>
                <w:sz w:val="20"/>
              </w:rPr>
              <w:t>PM10</w:t>
            </w:r>
          </w:p>
        </w:tc>
        <w:tc>
          <w:tcPr>
            <w:tcW w:type="dxa" w:w="756"/>
          </w:tcPr>
          <w:p>
            <w:r>
              <w:rPr>
                <w:rFonts w:ascii="Arial" w:hAnsi="Arial"/>
                <w:b w:val="0"/>
                <w:i w:val="0"/>
                <w:color w:val="000000"/>
                <w:sz w:val="20"/>
              </w:rPr>
              <w:t>9.8</w:t>
            </w:r>
          </w:p>
        </w:tc>
        <w:tc>
          <w:tcPr>
            <w:tcW w:type="dxa" w:w="756"/>
          </w:tcPr>
          <w:p>
            <w:r>
              <w:rPr>
                <w:rFonts w:ascii="Arial" w:hAnsi="Arial"/>
                <w:b w:val="0"/>
                <w:i w:val="0"/>
                <w:color w:val="000000"/>
                <w:sz w:val="20"/>
              </w:rPr>
              <w:t>8.6</w:t>
            </w:r>
          </w:p>
        </w:tc>
        <w:tc>
          <w:tcPr>
            <w:tcW w:type="dxa" w:w="756"/>
          </w:tcPr>
          <w:p>
            <w:r>
              <w:rPr>
                <w:rFonts w:ascii="Arial" w:hAnsi="Arial"/>
                <w:b w:val="0"/>
                <w:i w:val="0"/>
                <w:color w:val="000000"/>
                <w:sz w:val="20"/>
              </w:rPr>
              <w:t>7.4</w:t>
            </w:r>
          </w:p>
        </w:tc>
        <w:tc>
          <w:tcPr>
            <w:tcW w:type="dxa" w:w="756"/>
          </w:tcPr>
          <w:p>
            <w:r>
              <w:rPr>
                <w:rFonts w:ascii="Arial" w:hAnsi="Arial"/>
                <w:b w:val="0"/>
                <w:i w:val="0"/>
                <w:color w:val="000000"/>
                <w:sz w:val="20"/>
              </w:rPr>
              <w:t>9.2</w:t>
            </w:r>
          </w:p>
        </w:tc>
        <w:tc>
          <w:tcPr>
            <w:tcW w:type="dxa" w:w="756"/>
          </w:tcPr>
          <w:p>
            <w:r>
              <w:rPr>
                <w:rFonts w:ascii="Arial" w:hAnsi="Arial"/>
                <w:b w:val="0"/>
                <w:i w:val="0"/>
                <w:color w:val="000000"/>
                <w:sz w:val="20"/>
              </w:rPr>
              <w:t>6.4</w:t>
            </w:r>
          </w:p>
        </w:tc>
        <w:tc>
          <w:tcPr>
            <w:tcW w:type="dxa" w:w="756"/>
          </w:tcPr>
          <w:p>
            <w:r>
              <w:rPr>
                <w:rFonts w:ascii="Arial" w:hAnsi="Arial"/>
                <w:b w:val="0"/>
                <w:i w:val="0"/>
                <w:color w:val="000000"/>
                <w:sz w:val="20"/>
              </w:rPr>
              <w:t>6.0</w:t>
            </w:r>
          </w:p>
        </w:tc>
        <w:tc>
          <w:tcPr>
            <w:tcW w:type="dxa" w:w="756"/>
          </w:tcPr>
          <w:p>
            <w:r>
              <w:rPr>
                <w:rFonts w:ascii="Arial" w:hAnsi="Arial"/>
                <w:b w:val="0"/>
                <w:i w:val="0"/>
                <w:color w:val="000000"/>
                <w:sz w:val="20"/>
              </w:rPr>
              <w:t>5.4</w:t>
            </w:r>
          </w:p>
        </w:tc>
        <w:tc>
          <w:tcPr>
            <w:tcW w:type="dxa" w:w="756"/>
          </w:tcPr>
          <w:p>
            <w:r>
              <w:rPr>
                <w:rFonts w:ascii="Arial" w:hAnsi="Arial"/>
                <w:b w:val="0"/>
                <w:i w:val="0"/>
                <w:color w:val="000000"/>
                <w:sz w:val="20"/>
              </w:rPr>
              <w:t>7.8</w:t>
            </w:r>
          </w:p>
        </w:tc>
        <w:tc>
          <w:tcPr>
            <w:tcW w:type="dxa" w:w="756"/>
          </w:tcPr>
          <w:p>
            <w:r>
              <w:rPr>
                <w:rFonts w:ascii="Arial" w:hAnsi="Arial"/>
                <w:b w:val="0"/>
                <w:i w:val="0"/>
                <w:color w:val="000000"/>
                <w:sz w:val="20"/>
              </w:rPr>
              <w:t>7.0</w:t>
            </w:r>
          </w:p>
        </w:tc>
        <w:tc>
          <w:tcPr>
            <w:tcW w:type="dxa" w:w="756"/>
          </w:tcPr>
          <w:p>
            <w:r>
              <w:rPr>
                <w:rFonts w:ascii="Arial" w:hAnsi="Arial"/>
                <w:b w:val="0"/>
                <w:i w:val="0"/>
                <w:color w:val="000000"/>
                <w:sz w:val="20"/>
              </w:rPr>
              <w:t>6.3</w:t>
            </w:r>
          </w:p>
        </w:tc>
        <w:tc>
          <w:tcPr>
            <w:tcW w:type="dxa" w:w="756"/>
          </w:tcPr>
          <w:p>
            <w:r>
              <w:rPr>
                <w:rFonts w:ascii="Arial" w:hAnsi="Arial"/>
                <w:b w:val="0"/>
                <w:i w:val="0"/>
                <w:color w:val="000000"/>
                <w:sz w:val="20"/>
              </w:rPr>
              <w:t>73.9</w:t>
            </w:r>
          </w:p>
        </w:tc>
      </w:tr>
      <w:tr>
        <w:tc>
          <w:tcPr>
            <w:tcW w:type="dxa" w:w="756"/>
          </w:tcPr>
          <w:p>
            <w:r>
              <w:rPr>
                <w:rFonts w:ascii="Arial" w:hAnsi="Arial"/>
                <w:b w:val="0"/>
                <w:i w:val="0"/>
                <w:color w:val="000000"/>
                <w:sz w:val="20"/>
              </w:rPr>
              <w:t>VOC</w:t>
            </w:r>
          </w:p>
        </w:tc>
        <w:tc>
          <w:tcPr>
            <w:tcW w:type="dxa" w:w="756"/>
          </w:tcPr>
          <w:p>
            <w:r>
              <w:rPr>
                <w:rFonts w:ascii="Arial" w:hAnsi="Arial"/>
                <w:b w:val="0"/>
                <w:i w:val="0"/>
                <w:color w:val="000000"/>
                <w:sz w:val="20"/>
              </w:rPr>
              <w:t>24</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23</w:t>
            </w:r>
          </w:p>
        </w:tc>
        <w:tc>
          <w:tcPr>
            <w:tcW w:type="dxa" w:w="756"/>
          </w:tcPr>
          <w:p>
            <w:r>
              <w:rPr>
                <w:rFonts w:ascii="Arial" w:hAnsi="Arial"/>
                <w:b w:val="0"/>
                <w:i w:val="0"/>
                <w:color w:val="000000"/>
                <w:sz w:val="20"/>
              </w:rPr>
              <w:t>16</w:t>
            </w:r>
          </w:p>
        </w:tc>
        <w:tc>
          <w:tcPr>
            <w:tcW w:type="dxa" w:w="756"/>
          </w:tcPr>
          <w:p>
            <w:r>
              <w:rPr>
                <w:rFonts w:ascii="Arial" w:hAnsi="Arial"/>
                <w:b w:val="0"/>
                <w:i w:val="0"/>
                <w:color w:val="000000"/>
                <w:sz w:val="20"/>
              </w:rPr>
              <w:t>15</w:t>
            </w:r>
          </w:p>
        </w:tc>
        <w:tc>
          <w:tcPr>
            <w:tcW w:type="dxa" w:w="756"/>
          </w:tcPr>
          <w:p>
            <w:r>
              <w:rPr>
                <w:rFonts w:ascii="Arial" w:hAnsi="Arial"/>
                <w:b w:val="0"/>
                <w:i w:val="0"/>
                <w:color w:val="000000"/>
                <w:sz w:val="20"/>
              </w:rPr>
              <w:t>13</w:t>
            </w:r>
          </w:p>
        </w:tc>
        <w:tc>
          <w:tcPr>
            <w:tcW w:type="dxa" w:w="756"/>
          </w:tcPr>
          <w:p>
            <w:r>
              <w:rPr>
                <w:rFonts w:ascii="Arial" w:hAnsi="Arial"/>
                <w:b w:val="0"/>
                <w:i w:val="0"/>
                <w:color w:val="000000"/>
                <w:sz w:val="20"/>
              </w:rPr>
              <w:t>19</w:t>
            </w:r>
          </w:p>
        </w:tc>
        <w:tc>
          <w:tcPr>
            <w:tcW w:type="dxa" w:w="756"/>
          </w:tcPr>
          <w:p>
            <w:r>
              <w:rPr>
                <w:rFonts w:ascii="Arial" w:hAnsi="Arial"/>
                <w:b w:val="0"/>
                <w:i w:val="0"/>
                <w:color w:val="000000"/>
                <w:sz w:val="20"/>
              </w:rPr>
              <w:t>17</w:t>
            </w:r>
          </w:p>
        </w:tc>
        <w:tc>
          <w:tcPr>
            <w:tcW w:type="dxa" w:w="756"/>
          </w:tcPr>
          <w:p>
            <w:r>
              <w:rPr>
                <w:rFonts w:ascii="Arial" w:hAnsi="Arial"/>
                <w:b w:val="0"/>
                <w:i w:val="0"/>
                <w:color w:val="000000"/>
                <w:sz w:val="20"/>
              </w:rPr>
              <w:t>15</w:t>
            </w:r>
          </w:p>
        </w:tc>
        <w:tc>
          <w:tcPr>
            <w:tcW w:type="dxa" w:w="756"/>
          </w:tcPr>
          <w:p>
            <w:r>
              <w:rPr>
                <w:rFonts w:ascii="Arial" w:hAnsi="Arial"/>
                <w:b w:val="0"/>
                <w:i w:val="0"/>
                <w:color w:val="000000"/>
                <w:sz w:val="20"/>
              </w:rPr>
              <w:t>181</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198.8</w:t>
            </w:r>
          </w:p>
        </w:tc>
        <w:tc>
          <w:tcPr>
            <w:tcW w:type="dxa" w:w="756"/>
            <w:shd w:val="clear" w:color="auto" w:fill="F3F3F3"/>
          </w:tcPr>
          <w:p>
            <w:r>
              <w:rPr>
                <w:rFonts w:ascii="Arial" w:hAnsi="Arial"/>
                <w:b/>
                <w:i w:val="0"/>
                <w:color w:val="000000"/>
                <w:sz w:val="20"/>
              </w:rPr>
              <w:t>177.6</w:t>
            </w:r>
          </w:p>
        </w:tc>
        <w:tc>
          <w:tcPr>
            <w:tcW w:type="dxa" w:w="756"/>
            <w:shd w:val="clear" w:color="auto" w:fill="F3F3F3"/>
          </w:tcPr>
          <w:p>
            <w:r>
              <w:rPr>
                <w:rFonts w:ascii="Arial" w:hAnsi="Arial"/>
                <w:b/>
                <w:i w:val="0"/>
                <w:color w:val="000000"/>
                <w:sz w:val="20"/>
              </w:rPr>
              <w:t>151.4</w:t>
            </w:r>
          </w:p>
        </w:tc>
        <w:tc>
          <w:tcPr>
            <w:tcW w:type="dxa" w:w="756"/>
            <w:shd w:val="clear" w:color="auto" w:fill="F3F3F3"/>
          </w:tcPr>
          <w:p>
            <w:r>
              <w:rPr>
                <w:rFonts w:ascii="Arial" w:hAnsi="Arial"/>
                <w:b/>
                <w:i w:val="0"/>
                <w:color w:val="000000"/>
                <w:sz w:val="20"/>
              </w:rPr>
              <w:t>193.2</w:t>
            </w:r>
          </w:p>
        </w:tc>
        <w:tc>
          <w:tcPr>
            <w:tcW w:type="dxa" w:w="756"/>
            <w:shd w:val="clear" w:color="auto" w:fill="F3F3F3"/>
          </w:tcPr>
          <w:p>
            <w:r>
              <w:rPr>
                <w:rFonts w:ascii="Arial" w:hAnsi="Arial"/>
                <w:b/>
                <w:i w:val="0"/>
                <w:color w:val="000000"/>
                <w:sz w:val="20"/>
              </w:rPr>
              <w:t>134.4</w:t>
            </w:r>
          </w:p>
        </w:tc>
        <w:tc>
          <w:tcPr>
            <w:tcW w:type="dxa" w:w="756"/>
            <w:shd w:val="clear" w:color="auto" w:fill="F3F3F3"/>
          </w:tcPr>
          <w:p>
            <w:r>
              <w:rPr>
                <w:rFonts w:ascii="Arial" w:hAnsi="Arial"/>
                <w:b/>
                <w:i w:val="0"/>
                <w:color w:val="000000"/>
                <w:sz w:val="20"/>
              </w:rPr>
              <w:t>126.0</w:t>
            </w:r>
          </w:p>
        </w:tc>
        <w:tc>
          <w:tcPr>
            <w:tcW w:type="dxa" w:w="756"/>
            <w:shd w:val="clear" w:color="auto" w:fill="F3F3F3"/>
          </w:tcPr>
          <w:p>
            <w:r>
              <w:rPr>
                <w:rFonts w:ascii="Arial" w:hAnsi="Arial"/>
                <w:b/>
                <w:i w:val="0"/>
                <w:color w:val="000000"/>
                <w:sz w:val="20"/>
              </w:rPr>
              <w:t>111.4</w:t>
            </w:r>
          </w:p>
        </w:tc>
        <w:tc>
          <w:tcPr>
            <w:tcW w:type="dxa" w:w="756"/>
            <w:shd w:val="clear" w:color="auto" w:fill="F3F3F3"/>
          </w:tcPr>
          <w:p>
            <w:r>
              <w:rPr>
                <w:rFonts w:ascii="Arial" w:hAnsi="Arial"/>
                <w:b/>
                <w:i w:val="0"/>
                <w:color w:val="000000"/>
                <w:sz w:val="20"/>
              </w:rPr>
              <w:t>161.8</w:t>
            </w:r>
          </w:p>
        </w:tc>
        <w:tc>
          <w:tcPr>
            <w:tcW w:type="dxa" w:w="756"/>
            <w:shd w:val="clear" w:color="auto" w:fill="F3F3F3"/>
          </w:tcPr>
          <w:p>
            <w:r>
              <w:rPr>
                <w:rFonts w:ascii="Arial" w:hAnsi="Arial"/>
                <w:b/>
                <w:i w:val="0"/>
                <w:color w:val="000000"/>
                <w:sz w:val="20"/>
              </w:rPr>
              <w:t>147.0</w:t>
            </w:r>
          </w:p>
        </w:tc>
        <w:tc>
          <w:tcPr>
            <w:tcW w:type="dxa" w:w="756"/>
            <w:shd w:val="clear" w:color="auto" w:fill="F3F3F3"/>
          </w:tcPr>
          <w:p>
            <w:r>
              <w:rPr>
                <w:rFonts w:ascii="Arial" w:hAnsi="Arial"/>
                <w:b/>
                <w:i w:val="0"/>
                <w:color w:val="000000"/>
                <w:sz w:val="20"/>
              </w:rPr>
              <w:t>135.3</w:t>
            </w:r>
          </w:p>
        </w:tc>
        <w:tc>
          <w:tcPr>
            <w:tcW w:type="dxa" w:w="756"/>
            <w:shd w:val="clear" w:color="auto" w:fill="F3F3F3"/>
          </w:tcPr>
          <w:p>
            <w:r>
              <w:rPr>
                <w:rFonts w:ascii="Arial" w:hAnsi="Arial"/>
                <w:b/>
                <w:i w:val="0"/>
                <w:color w:val="000000"/>
                <w:sz w:val="20"/>
              </w:rPr>
              <w:t>1,536.9</w:t>
            </w:r>
          </w:p>
        </w:tc>
      </w:tr>
    </w:tbl>
    <w:p>
      <w:r>
        <w:rPr>
          <w:rFonts w:ascii="Arial" w:hAnsi="Arial"/>
          <w:b w:val="0"/>
          <w:i w:val="0"/>
          <w:color w:val="000000"/>
          <w:sz w:val="22"/>
        </w:rPr>
        <w:t>No other sector categories outside those listed generated material air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5.3.5.3  Quantify Emissions to Air by Pollutant — By Geographical Area</w:t>
      </w:r>
    </w:p>
    <w:p>
      <w:r>
        <w:rPr>
          <w:rFonts w:ascii="Arial" w:hAnsi="Arial"/>
          <w:b/>
          <w:i w:val="0"/>
          <w:color w:val="000000"/>
          <w:sz w:val="20"/>
        </w:rPr>
        <w:t>Table 5.3.5.3 — Emissions to Air by Pollutant (By Geographical Area)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UAE</w:t>
            </w:r>
          </w:p>
        </w:tc>
        <w:tc>
          <w:tcPr>
            <w:tcW w:type="dxa" w:w="756"/>
            <w:shd w:val="clear" w:color="auto" w:fill="D9D9D9"/>
          </w:tcPr>
          <w:p>
            <w:r>
              <w:rPr>
                <w:rFonts w:ascii="Arial" w:hAnsi="Arial"/>
                <w:b/>
                <w:i w:val="0"/>
                <w:color w:val="000000"/>
                <w:sz w:val="20"/>
              </w:rPr>
              <w:t>India</w:t>
            </w:r>
          </w:p>
        </w:tc>
        <w:tc>
          <w:tcPr>
            <w:tcW w:type="dxa" w:w="756"/>
            <w:shd w:val="clear" w:color="auto" w:fill="D9D9D9"/>
          </w:tcPr>
          <w:p>
            <w:r>
              <w:rPr>
                <w:rFonts w:ascii="Arial" w:hAnsi="Arial"/>
                <w:b/>
                <w:i w:val="0"/>
                <w:color w:val="000000"/>
                <w:sz w:val="20"/>
              </w:rPr>
              <w:t>Germany</w:t>
            </w:r>
          </w:p>
        </w:tc>
        <w:tc>
          <w:tcPr>
            <w:tcW w:type="dxa" w:w="756"/>
            <w:shd w:val="clear" w:color="auto" w:fill="D9D9D9"/>
          </w:tcPr>
          <w:p>
            <w:r>
              <w:rPr>
                <w:rFonts w:ascii="Arial" w:hAnsi="Arial"/>
                <w:b/>
                <w:i w:val="0"/>
                <w:color w:val="000000"/>
                <w:sz w:val="20"/>
              </w:rPr>
              <w:t>France</w:t>
            </w:r>
          </w:p>
        </w:tc>
        <w:tc>
          <w:tcPr>
            <w:tcW w:type="dxa" w:w="756"/>
            <w:shd w:val="clear" w:color="auto" w:fill="D9D9D9"/>
          </w:tcPr>
          <w:p>
            <w:r>
              <w:rPr>
                <w:rFonts w:ascii="Arial" w:hAnsi="Arial"/>
                <w:b/>
                <w:i w:val="0"/>
                <w:color w:val="000000"/>
                <w:sz w:val="20"/>
              </w:rPr>
              <w:t>Singapore</w:t>
            </w:r>
          </w:p>
        </w:tc>
        <w:tc>
          <w:tcPr>
            <w:tcW w:type="dxa" w:w="756"/>
            <w:shd w:val="clear" w:color="auto" w:fill="D9D9D9"/>
          </w:tcPr>
          <w:p>
            <w:r>
              <w:rPr>
                <w:rFonts w:ascii="Arial" w:hAnsi="Arial"/>
                <w:b/>
                <w:i w:val="0"/>
                <w:color w:val="000000"/>
                <w:sz w:val="20"/>
              </w:rPr>
              <w:t>Japan</w:t>
            </w:r>
          </w:p>
        </w:tc>
        <w:tc>
          <w:tcPr>
            <w:tcW w:type="dxa" w:w="756"/>
            <w:shd w:val="clear" w:color="auto" w:fill="D9D9D9"/>
          </w:tcPr>
          <w:p>
            <w:r>
              <w:rPr>
                <w:rFonts w:ascii="Arial" w:hAnsi="Arial"/>
                <w:b/>
                <w:i w:val="0"/>
                <w:color w:val="000000"/>
                <w:sz w:val="20"/>
              </w:rPr>
              <w:t>UK</w:t>
            </w:r>
          </w:p>
        </w:tc>
        <w:tc>
          <w:tcPr>
            <w:tcW w:type="dxa" w:w="756"/>
            <w:shd w:val="clear" w:color="auto" w:fill="D9D9D9"/>
          </w:tcPr>
          <w:p>
            <w:r>
              <w:rPr>
                <w:rFonts w:ascii="Arial" w:hAnsi="Arial"/>
                <w:b/>
                <w:i w:val="0"/>
                <w:color w:val="000000"/>
                <w:sz w:val="20"/>
              </w:rPr>
              <w:t>Brazil</w:t>
            </w:r>
          </w:p>
        </w:tc>
        <w:tc>
          <w:tcPr>
            <w:tcW w:type="dxa" w:w="756"/>
            <w:shd w:val="clear" w:color="auto" w:fill="D9D9D9"/>
          </w:tcPr>
          <w:p>
            <w:r>
              <w:rPr>
                <w:rFonts w:ascii="Arial" w:hAnsi="Arial"/>
                <w:b/>
                <w:i w:val="0"/>
                <w:color w:val="000000"/>
                <w:sz w:val="20"/>
              </w:rPr>
              <w:t>Australia</w:t>
            </w:r>
          </w:p>
        </w:tc>
        <w:tc>
          <w:tcPr>
            <w:tcW w:type="dxa" w:w="756"/>
            <w:shd w:val="clear" w:color="auto" w:fill="D9D9D9"/>
          </w:tcPr>
          <w:p>
            <w:r>
              <w:rPr>
                <w:rFonts w:ascii="Arial" w:hAnsi="Arial"/>
                <w:b/>
                <w:i w:val="0"/>
                <w:color w:val="000000"/>
                <w:sz w:val="20"/>
              </w:rPr>
              <w:t>Canada</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NOx</w:t>
            </w:r>
          </w:p>
        </w:tc>
        <w:tc>
          <w:tcPr>
            <w:tcW w:type="dxa" w:w="756"/>
          </w:tcPr>
          <w:p>
            <w:r>
              <w:rPr>
                <w:rFonts w:ascii="Arial" w:hAnsi="Arial"/>
                <w:b w:val="0"/>
                <w:i w:val="0"/>
                <w:color w:val="000000"/>
                <w:sz w:val="20"/>
              </w:rPr>
              <w:t>189</w:t>
            </w:r>
          </w:p>
        </w:tc>
        <w:tc>
          <w:tcPr>
            <w:tcW w:type="dxa" w:w="756"/>
          </w:tcPr>
          <w:p>
            <w:r>
              <w:rPr>
                <w:rFonts w:ascii="Arial" w:hAnsi="Arial"/>
                <w:b w:val="0"/>
                <w:i w:val="0"/>
                <w:color w:val="000000"/>
                <w:sz w:val="20"/>
              </w:rPr>
              <w:t>168</w:t>
            </w:r>
          </w:p>
        </w:tc>
        <w:tc>
          <w:tcPr>
            <w:tcW w:type="dxa" w:w="756"/>
          </w:tcPr>
          <w:p>
            <w:r>
              <w:rPr>
                <w:rFonts w:ascii="Arial" w:hAnsi="Arial"/>
                <w:b w:val="0"/>
                <w:i w:val="0"/>
                <w:color w:val="000000"/>
                <w:sz w:val="20"/>
              </w:rPr>
              <w:t>84</w:t>
            </w:r>
          </w:p>
        </w:tc>
        <w:tc>
          <w:tcPr>
            <w:tcW w:type="dxa" w:w="756"/>
          </w:tcPr>
          <w:p>
            <w:r>
              <w:rPr>
                <w:rFonts w:ascii="Arial" w:hAnsi="Arial"/>
                <w:b w:val="0"/>
                <w:i w:val="0"/>
                <w:color w:val="000000"/>
                <w:sz w:val="20"/>
              </w:rPr>
              <w:t>72</w:t>
            </w:r>
          </w:p>
        </w:tc>
        <w:tc>
          <w:tcPr>
            <w:tcW w:type="dxa" w:w="756"/>
          </w:tcPr>
          <w:p>
            <w:r>
              <w:rPr>
                <w:rFonts w:ascii="Arial" w:hAnsi="Arial"/>
                <w:b w:val="0"/>
                <w:i w:val="0"/>
                <w:color w:val="000000"/>
                <w:sz w:val="20"/>
              </w:rPr>
              <w:t>114</w:t>
            </w:r>
          </w:p>
        </w:tc>
        <w:tc>
          <w:tcPr>
            <w:tcW w:type="dxa" w:w="756"/>
          </w:tcPr>
          <w:p>
            <w:r>
              <w:rPr>
                <w:rFonts w:ascii="Arial" w:hAnsi="Arial"/>
                <w:b w:val="0"/>
                <w:i w:val="0"/>
                <w:color w:val="000000"/>
                <w:sz w:val="20"/>
              </w:rPr>
              <w:t>89</w:t>
            </w:r>
          </w:p>
        </w:tc>
        <w:tc>
          <w:tcPr>
            <w:tcW w:type="dxa" w:w="756"/>
          </w:tcPr>
          <w:p>
            <w:r>
              <w:rPr>
                <w:rFonts w:ascii="Arial" w:hAnsi="Arial"/>
                <w:b w:val="0"/>
                <w:i w:val="0"/>
                <w:color w:val="000000"/>
                <w:sz w:val="20"/>
              </w:rPr>
              <w:t>68</w:t>
            </w:r>
          </w:p>
        </w:tc>
        <w:tc>
          <w:tcPr>
            <w:tcW w:type="dxa" w:w="756"/>
          </w:tcPr>
          <w:p>
            <w:r>
              <w:rPr>
                <w:rFonts w:ascii="Arial" w:hAnsi="Arial"/>
                <w:b w:val="0"/>
                <w:i w:val="0"/>
                <w:color w:val="000000"/>
                <w:sz w:val="20"/>
              </w:rPr>
              <w:t>102</w:t>
            </w:r>
          </w:p>
        </w:tc>
        <w:tc>
          <w:tcPr>
            <w:tcW w:type="dxa" w:w="756"/>
          </w:tcPr>
          <w:p>
            <w:r>
              <w:rPr>
                <w:rFonts w:ascii="Arial" w:hAnsi="Arial"/>
                <w:b w:val="0"/>
                <w:i w:val="0"/>
                <w:color w:val="000000"/>
                <w:sz w:val="20"/>
              </w:rPr>
              <w:t>96</w:t>
            </w:r>
          </w:p>
        </w:tc>
        <w:tc>
          <w:tcPr>
            <w:tcW w:type="dxa" w:w="756"/>
          </w:tcPr>
          <w:p>
            <w:r>
              <w:rPr>
                <w:rFonts w:ascii="Arial" w:hAnsi="Arial"/>
                <w:b w:val="0"/>
                <w:i w:val="0"/>
                <w:color w:val="000000"/>
                <w:sz w:val="20"/>
              </w:rPr>
              <w:t>87</w:t>
            </w:r>
          </w:p>
        </w:tc>
        <w:tc>
          <w:tcPr>
            <w:tcW w:type="dxa" w:w="756"/>
          </w:tcPr>
          <w:p>
            <w:r>
              <w:rPr>
                <w:rFonts w:ascii="Arial" w:hAnsi="Arial"/>
                <w:b w:val="0"/>
                <w:i w:val="0"/>
                <w:color w:val="000000"/>
                <w:sz w:val="20"/>
              </w:rPr>
              <w:t>1,069</w:t>
            </w:r>
          </w:p>
        </w:tc>
      </w:tr>
      <w:tr>
        <w:tc>
          <w:tcPr>
            <w:tcW w:type="dxa" w:w="756"/>
          </w:tcPr>
          <w:p>
            <w:r>
              <w:rPr>
                <w:rFonts w:ascii="Arial" w:hAnsi="Arial"/>
                <w:b w:val="0"/>
                <w:i w:val="0"/>
                <w:color w:val="000000"/>
                <w:sz w:val="20"/>
              </w:rPr>
              <w:t>SOx</w:t>
            </w:r>
          </w:p>
        </w:tc>
        <w:tc>
          <w:tcPr>
            <w:tcW w:type="dxa" w:w="756"/>
          </w:tcPr>
          <w:p>
            <w:r>
              <w:rPr>
                <w:rFonts w:ascii="Arial" w:hAnsi="Arial"/>
                <w:b w:val="0"/>
                <w:i w:val="0"/>
                <w:color w:val="000000"/>
                <w:sz w:val="20"/>
              </w:rPr>
              <w:t>58</w:t>
            </w:r>
          </w:p>
        </w:tc>
        <w:tc>
          <w:tcPr>
            <w:tcW w:type="dxa" w:w="756"/>
          </w:tcPr>
          <w:p>
            <w:r>
              <w:rPr>
                <w:rFonts w:ascii="Arial" w:hAnsi="Arial"/>
                <w:b w:val="0"/>
                <w:i w:val="0"/>
                <w:color w:val="000000"/>
                <w:sz w:val="20"/>
              </w:rPr>
              <w:t>52</w:t>
            </w:r>
          </w:p>
        </w:tc>
        <w:tc>
          <w:tcPr>
            <w:tcW w:type="dxa" w:w="756"/>
          </w:tcPr>
          <w:p>
            <w:r>
              <w:rPr>
                <w:rFonts w:ascii="Arial" w:hAnsi="Arial"/>
                <w:b w:val="0"/>
                <w:i w:val="0"/>
                <w:color w:val="000000"/>
                <w:sz w:val="20"/>
              </w:rPr>
              <w:t>25</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27</w:t>
            </w:r>
          </w:p>
        </w:tc>
        <w:tc>
          <w:tcPr>
            <w:tcW w:type="dxa" w:w="756"/>
          </w:tcPr>
          <w:p>
            <w:r>
              <w:rPr>
                <w:rFonts w:ascii="Arial" w:hAnsi="Arial"/>
                <w:b w:val="0"/>
                <w:i w:val="0"/>
                <w:color w:val="000000"/>
                <w:sz w:val="20"/>
              </w:rPr>
              <w:t>20</w:t>
            </w:r>
          </w:p>
        </w:tc>
        <w:tc>
          <w:tcPr>
            <w:tcW w:type="dxa" w:w="756"/>
          </w:tcPr>
          <w:p>
            <w:r>
              <w:rPr>
                <w:rFonts w:ascii="Arial" w:hAnsi="Arial"/>
                <w:b w:val="0"/>
                <w:i w:val="0"/>
                <w:color w:val="000000"/>
                <w:sz w:val="20"/>
              </w:rPr>
              <w:t>31</w:t>
            </w:r>
          </w:p>
        </w:tc>
        <w:tc>
          <w:tcPr>
            <w:tcW w:type="dxa" w:w="756"/>
          </w:tcPr>
          <w:p>
            <w:r>
              <w:rPr>
                <w:rFonts w:ascii="Arial" w:hAnsi="Arial"/>
                <w:b w:val="0"/>
                <w:i w:val="0"/>
                <w:color w:val="000000"/>
                <w:sz w:val="20"/>
              </w:rPr>
              <w:t>29</w:t>
            </w:r>
          </w:p>
        </w:tc>
        <w:tc>
          <w:tcPr>
            <w:tcW w:type="dxa" w:w="756"/>
          </w:tcPr>
          <w:p>
            <w:r>
              <w:rPr>
                <w:rFonts w:ascii="Arial" w:hAnsi="Arial"/>
                <w:b w:val="0"/>
                <w:i w:val="0"/>
                <w:color w:val="000000"/>
                <w:sz w:val="20"/>
              </w:rPr>
              <w:t>26</w:t>
            </w:r>
          </w:p>
        </w:tc>
        <w:tc>
          <w:tcPr>
            <w:tcW w:type="dxa" w:w="756"/>
          </w:tcPr>
          <w:p>
            <w:r>
              <w:rPr>
                <w:rFonts w:ascii="Arial" w:hAnsi="Arial"/>
                <w:b w:val="0"/>
                <w:i w:val="0"/>
                <w:color w:val="000000"/>
                <w:sz w:val="20"/>
              </w:rPr>
              <w:t>323</w:t>
            </w:r>
          </w:p>
        </w:tc>
      </w:tr>
      <w:tr>
        <w:tc>
          <w:tcPr>
            <w:tcW w:type="dxa" w:w="756"/>
          </w:tcPr>
          <w:p>
            <w:r>
              <w:rPr>
                <w:rFonts w:ascii="Arial" w:hAnsi="Arial"/>
                <w:b w:val="0"/>
                <w:i w:val="0"/>
                <w:color w:val="000000"/>
                <w:sz w:val="20"/>
              </w:rPr>
              <w:t>PM10</w:t>
            </w:r>
          </w:p>
        </w:tc>
        <w:tc>
          <w:tcPr>
            <w:tcW w:type="dxa" w:w="756"/>
          </w:tcPr>
          <w:p>
            <w:r>
              <w:rPr>
                <w:rFonts w:ascii="Arial" w:hAnsi="Arial"/>
                <w:b w:val="0"/>
                <w:i w:val="0"/>
                <w:color w:val="000000"/>
                <w:sz w:val="20"/>
              </w:rPr>
              <w:t>14.2</w:t>
            </w:r>
          </w:p>
        </w:tc>
        <w:tc>
          <w:tcPr>
            <w:tcW w:type="dxa" w:w="756"/>
          </w:tcPr>
          <w:p>
            <w:r>
              <w:rPr>
                <w:rFonts w:ascii="Arial" w:hAnsi="Arial"/>
                <w:b w:val="0"/>
                <w:i w:val="0"/>
                <w:color w:val="000000"/>
                <w:sz w:val="20"/>
              </w:rPr>
              <w:t>12.8</w:t>
            </w:r>
          </w:p>
        </w:tc>
        <w:tc>
          <w:tcPr>
            <w:tcW w:type="dxa" w:w="756"/>
          </w:tcPr>
          <w:p>
            <w:r>
              <w:rPr>
                <w:rFonts w:ascii="Arial" w:hAnsi="Arial"/>
                <w:b w:val="0"/>
                <w:i w:val="0"/>
                <w:color w:val="000000"/>
                <w:sz w:val="20"/>
              </w:rPr>
              <w:t>6.1</w:t>
            </w:r>
          </w:p>
        </w:tc>
        <w:tc>
          <w:tcPr>
            <w:tcW w:type="dxa" w:w="756"/>
          </w:tcPr>
          <w:p>
            <w:r>
              <w:rPr>
                <w:rFonts w:ascii="Arial" w:hAnsi="Arial"/>
                <w:b w:val="0"/>
                <w:i w:val="0"/>
                <w:color w:val="000000"/>
                <w:sz w:val="20"/>
              </w:rPr>
              <w:t>5.2</w:t>
            </w:r>
          </w:p>
        </w:tc>
        <w:tc>
          <w:tcPr>
            <w:tcW w:type="dxa" w:w="756"/>
          </w:tcPr>
          <w:p>
            <w:r>
              <w:rPr>
                <w:rFonts w:ascii="Arial" w:hAnsi="Arial"/>
                <w:b w:val="0"/>
                <w:i w:val="0"/>
                <w:color w:val="000000"/>
                <w:sz w:val="20"/>
              </w:rPr>
              <w:t>8.4</w:t>
            </w:r>
          </w:p>
        </w:tc>
        <w:tc>
          <w:tcPr>
            <w:tcW w:type="dxa" w:w="756"/>
          </w:tcPr>
          <w:p>
            <w:r>
              <w:rPr>
                <w:rFonts w:ascii="Arial" w:hAnsi="Arial"/>
                <w:b w:val="0"/>
                <w:i w:val="0"/>
                <w:color w:val="000000"/>
                <w:sz w:val="20"/>
              </w:rPr>
              <w:t>6.7</w:t>
            </w:r>
          </w:p>
        </w:tc>
        <w:tc>
          <w:tcPr>
            <w:tcW w:type="dxa" w:w="756"/>
          </w:tcPr>
          <w:p>
            <w:r>
              <w:rPr>
                <w:rFonts w:ascii="Arial" w:hAnsi="Arial"/>
                <w:b w:val="0"/>
                <w:i w:val="0"/>
                <w:color w:val="000000"/>
                <w:sz w:val="20"/>
              </w:rPr>
              <w:t>4.9</w:t>
            </w:r>
          </w:p>
        </w:tc>
        <w:tc>
          <w:tcPr>
            <w:tcW w:type="dxa" w:w="756"/>
          </w:tcPr>
          <w:p>
            <w:r>
              <w:rPr>
                <w:rFonts w:ascii="Arial" w:hAnsi="Arial"/>
                <w:b w:val="0"/>
                <w:i w:val="0"/>
                <w:color w:val="000000"/>
                <w:sz w:val="20"/>
              </w:rPr>
              <w:t>7.6</w:t>
            </w:r>
          </w:p>
        </w:tc>
        <w:tc>
          <w:tcPr>
            <w:tcW w:type="dxa" w:w="756"/>
          </w:tcPr>
          <w:p>
            <w:r>
              <w:rPr>
                <w:rFonts w:ascii="Arial" w:hAnsi="Arial"/>
                <w:b w:val="0"/>
                <w:i w:val="0"/>
                <w:color w:val="000000"/>
                <w:sz w:val="20"/>
              </w:rPr>
              <w:t>7.1</w:t>
            </w:r>
          </w:p>
        </w:tc>
        <w:tc>
          <w:tcPr>
            <w:tcW w:type="dxa" w:w="756"/>
          </w:tcPr>
          <w:p>
            <w:r>
              <w:rPr>
                <w:rFonts w:ascii="Arial" w:hAnsi="Arial"/>
                <w:b w:val="0"/>
                <w:i w:val="0"/>
                <w:color w:val="000000"/>
                <w:sz w:val="20"/>
              </w:rPr>
              <w:t>6.4</w:t>
            </w:r>
          </w:p>
        </w:tc>
        <w:tc>
          <w:tcPr>
            <w:tcW w:type="dxa" w:w="756"/>
          </w:tcPr>
          <w:p>
            <w:r>
              <w:rPr>
                <w:rFonts w:ascii="Arial" w:hAnsi="Arial"/>
                <w:b w:val="0"/>
                <w:i w:val="0"/>
                <w:color w:val="000000"/>
                <w:sz w:val="20"/>
              </w:rPr>
              <w:t>79.4</w:t>
            </w:r>
          </w:p>
        </w:tc>
      </w:tr>
      <w:tr>
        <w:tc>
          <w:tcPr>
            <w:tcW w:type="dxa" w:w="756"/>
          </w:tcPr>
          <w:p>
            <w:r>
              <w:rPr>
                <w:rFonts w:ascii="Arial" w:hAnsi="Arial"/>
                <w:b w:val="0"/>
                <w:i w:val="0"/>
                <w:color w:val="000000"/>
                <w:sz w:val="20"/>
              </w:rPr>
              <w:t>VOC</w:t>
            </w:r>
          </w:p>
        </w:tc>
        <w:tc>
          <w:tcPr>
            <w:tcW w:type="dxa" w:w="756"/>
          </w:tcPr>
          <w:p>
            <w:r>
              <w:rPr>
                <w:rFonts w:ascii="Arial" w:hAnsi="Arial"/>
                <w:b w:val="0"/>
                <w:i w:val="0"/>
                <w:color w:val="000000"/>
                <w:sz w:val="20"/>
              </w:rPr>
              <w:t>36</w:t>
            </w:r>
          </w:p>
        </w:tc>
        <w:tc>
          <w:tcPr>
            <w:tcW w:type="dxa" w:w="756"/>
          </w:tcPr>
          <w:p>
            <w:r>
              <w:rPr>
                <w:rFonts w:ascii="Arial" w:hAnsi="Arial"/>
                <w:b w:val="0"/>
                <w:i w:val="0"/>
                <w:color w:val="000000"/>
                <w:sz w:val="20"/>
              </w:rPr>
              <w:t>32</w:t>
            </w:r>
          </w:p>
        </w:tc>
        <w:tc>
          <w:tcPr>
            <w:tcW w:type="dxa" w:w="756"/>
          </w:tcPr>
          <w:p>
            <w:r>
              <w:rPr>
                <w:rFonts w:ascii="Arial" w:hAnsi="Arial"/>
                <w:b w:val="0"/>
                <w:i w:val="0"/>
                <w:color w:val="000000"/>
                <w:sz w:val="20"/>
              </w:rPr>
              <w:t>15</w:t>
            </w:r>
          </w:p>
        </w:tc>
        <w:tc>
          <w:tcPr>
            <w:tcW w:type="dxa" w:w="756"/>
          </w:tcPr>
          <w:p>
            <w:r>
              <w:rPr>
                <w:rFonts w:ascii="Arial" w:hAnsi="Arial"/>
                <w:b w:val="0"/>
                <w:i w:val="0"/>
                <w:color w:val="000000"/>
                <w:sz w:val="20"/>
              </w:rPr>
              <w:t>13</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17</w:t>
            </w:r>
          </w:p>
        </w:tc>
        <w:tc>
          <w:tcPr>
            <w:tcW w:type="dxa" w:w="756"/>
          </w:tcPr>
          <w:p>
            <w:r>
              <w:rPr>
                <w:rFonts w:ascii="Arial" w:hAnsi="Arial"/>
                <w:b w:val="0"/>
                <w:i w:val="0"/>
                <w:color w:val="000000"/>
                <w:sz w:val="20"/>
              </w:rPr>
              <w:t>12</w:t>
            </w:r>
          </w:p>
        </w:tc>
        <w:tc>
          <w:tcPr>
            <w:tcW w:type="dxa" w:w="756"/>
          </w:tcPr>
          <w:p>
            <w:r>
              <w:rPr>
                <w:rFonts w:ascii="Arial" w:hAnsi="Arial"/>
                <w:b w:val="0"/>
                <w:i w:val="0"/>
                <w:color w:val="000000"/>
                <w:sz w:val="20"/>
              </w:rPr>
              <w:t>19</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16</w:t>
            </w:r>
          </w:p>
        </w:tc>
        <w:tc>
          <w:tcPr>
            <w:tcW w:type="dxa" w:w="756"/>
          </w:tcPr>
          <w:p>
            <w:r>
              <w:rPr>
                <w:rFonts w:ascii="Arial" w:hAnsi="Arial"/>
                <w:b w:val="0"/>
                <w:i w:val="0"/>
                <w:color w:val="000000"/>
                <w:sz w:val="20"/>
              </w:rPr>
              <w:t>199</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297.2</w:t>
            </w:r>
          </w:p>
        </w:tc>
        <w:tc>
          <w:tcPr>
            <w:tcW w:type="dxa" w:w="756"/>
            <w:shd w:val="clear" w:color="auto" w:fill="F3F3F3"/>
          </w:tcPr>
          <w:p>
            <w:r>
              <w:rPr>
                <w:rFonts w:ascii="Arial" w:hAnsi="Arial"/>
                <w:b/>
                <w:i w:val="0"/>
                <w:color w:val="000000"/>
                <w:sz w:val="20"/>
              </w:rPr>
              <w:t>264.8</w:t>
            </w:r>
          </w:p>
        </w:tc>
        <w:tc>
          <w:tcPr>
            <w:tcW w:type="dxa" w:w="756"/>
            <w:shd w:val="clear" w:color="auto" w:fill="F3F3F3"/>
          </w:tcPr>
          <w:p>
            <w:r>
              <w:rPr>
                <w:rFonts w:ascii="Arial" w:hAnsi="Arial"/>
                <w:b/>
                <w:i w:val="0"/>
                <w:color w:val="000000"/>
                <w:sz w:val="20"/>
              </w:rPr>
              <w:t>130.1</w:t>
            </w:r>
          </w:p>
        </w:tc>
        <w:tc>
          <w:tcPr>
            <w:tcW w:type="dxa" w:w="756"/>
            <w:shd w:val="clear" w:color="auto" w:fill="F3F3F3"/>
          </w:tcPr>
          <w:p>
            <w:r>
              <w:rPr>
                <w:rFonts w:ascii="Arial" w:hAnsi="Arial"/>
                <w:b/>
                <w:i w:val="0"/>
                <w:color w:val="000000"/>
                <w:sz w:val="20"/>
              </w:rPr>
              <w:t>111.2</w:t>
            </w:r>
          </w:p>
        </w:tc>
        <w:tc>
          <w:tcPr>
            <w:tcW w:type="dxa" w:w="756"/>
            <w:shd w:val="clear" w:color="auto" w:fill="F3F3F3"/>
          </w:tcPr>
          <w:p>
            <w:r>
              <w:rPr>
                <w:rFonts w:ascii="Arial" w:hAnsi="Arial"/>
                <w:b/>
                <w:i w:val="0"/>
                <w:color w:val="000000"/>
                <w:sz w:val="20"/>
              </w:rPr>
              <w:t>177.4</w:t>
            </w:r>
          </w:p>
        </w:tc>
        <w:tc>
          <w:tcPr>
            <w:tcW w:type="dxa" w:w="756"/>
            <w:shd w:val="clear" w:color="auto" w:fill="F3F3F3"/>
          </w:tcPr>
          <w:p>
            <w:r>
              <w:rPr>
                <w:rFonts w:ascii="Arial" w:hAnsi="Arial"/>
                <w:b/>
                <w:i w:val="0"/>
                <w:color w:val="000000"/>
                <w:sz w:val="20"/>
              </w:rPr>
              <w:t>139.7</w:t>
            </w:r>
          </w:p>
        </w:tc>
        <w:tc>
          <w:tcPr>
            <w:tcW w:type="dxa" w:w="756"/>
            <w:shd w:val="clear" w:color="auto" w:fill="F3F3F3"/>
          </w:tcPr>
          <w:p>
            <w:r>
              <w:rPr>
                <w:rFonts w:ascii="Arial" w:hAnsi="Arial"/>
                <w:b/>
                <w:i w:val="0"/>
                <w:color w:val="000000"/>
                <w:sz w:val="20"/>
              </w:rPr>
              <w:t>104.9</w:t>
            </w:r>
          </w:p>
        </w:tc>
        <w:tc>
          <w:tcPr>
            <w:tcW w:type="dxa" w:w="756"/>
            <w:shd w:val="clear" w:color="auto" w:fill="F3F3F3"/>
          </w:tcPr>
          <w:p>
            <w:r>
              <w:rPr>
                <w:rFonts w:ascii="Arial" w:hAnsi="Arial"/>
                <w:b/>
                <w:i w:val="0"/>
                <w:color w:val="000000"/>
                <w:sz w:val="20"/>
              </w:rPr>
              <w:t>159.6</w:t>
            </w:r>
          </w:p>
        </w:tc>
        <w:tc>
          <w:tcPr>
            <w:tcW w:type="dxa" w:w="756"/>
            <w:shd w:val="clear" w:color="auto" w:fill="F3F3F3"/>
          </w:tcPr>
          <w:p>
            <w:r>
              <w:rPr>
                <w:rFonts w:ascii="Arial" w:hAnsi="Arial"/>
                <w:b/>
                <w:i w:val="0"/>
                <w:color w:val="000000"/>
                <w:sz w:val="20"/>
              </w:rPr>
              <w:t>150.1</w:t>
            </w:r>
          </w:p>
        </w:tc>
        <w:tc>
          <w:tcPr>
            <w:tcW w:type="dxa" w:w="756"/>
            <w:shd w:val="clear" w:color="auto" w:fill="F3F3F3"/>
          </w:tcPr>
          <w:p>
            <w:r>
              <w:rPr>
                <w:rFonts w:ascii="Arial" w:hAnsi="Arial"/>
                <w:b/>
                <w:i w:val="0"/>
                <w:color w:val="000000"/>
                <w:sz w:val="20"/>
              </w:rPr>
              <w:t>135.4</w:t>
            </w:r>
          </w:p>
        </w:tc>
        <w:tc>
          <w:tcPr>
            <w:tcW w:type="dxa" w:w="756"/>
            <w:shd w:val="clear" w:color="auto" w:fill="F3F3F3"/>
          </w:tcPr>
          <w:p>
            <w:r>
              <w:rPr>
                <w:rFonts w:ascii="Arial" w:hAnsi="Arial"/>
                <w:b/>
                <w:i w:val="0"/>
                <w:color w:val="000000"/>
                <w:sz w:val="20"/>
              </w:rPr>
              <w:t>1,670.4</w:t>
            </w:r>
          </w:p>
        </w:tc>
      </w:tr>
    </w:tbl>
    <w:p>
      <w:r>
        <w:rPr>
          <w:rFonts w:ascii="Arial" w:hAnsi="Arial"/>
          <w:b w:val="0"/>
          <w:i w:val="0"/>
          <w:color w:val="000000"/>
          <w:sz w:val="22"/>
        </w:rPr>
        <w:t>No other geographical areas outside those listed generated material air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5.3.5.4  Quantify Emissions to Air by Pollutant — By Source</w:t>
      </w:r>
    </w:p>
    <w:p>
      <w:r>
        <w:rPr>
          <w:rFonts w:ascii="Arial" w:hAnsi="Arial"/>
          <w:b/>
          <w:i w:val="0"/>
          <w:color w:val="000000"/>
          <w:sz w:val="20"/>
        </w:rPr>
        <w:t>Table 5.3.5.4 — Emissions to Air by Pollutant (By Source)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Fugitive</w:t>
            </w:r>
          </w:p>
        </w:tc>
        <w:tc>
          <w:tcPr>
            <w:tcW w:type="dxa" w:w="756"/>
            <w:shd w:val="clear" w:color="auto" w:fill="D9D9D9"/>
          </w:tcPr>
          <w:p>
            <w:r>
              <w:rPr>
                <w:rFonts w:ascii="Arial" w:hAnsi="Arial"/>
                <w:b/>
                <w:i w:val="0"/>
                <w:color w:val="000000"/>
                <w:sz w:val="20"/>
              </w:rPr>
              <w:t>Stack</w:t>
            </w:r>
          </w:p>
        </w:tc>
        <w:tc>
          <w:tcPr>
            <w:tcW w:type="dxa" w:w="756"/>
            <w:shd w:val="clear" w:color="auto" w:fill="D9D9D9"/>
          </w:tcPr>
          <w:p>
            <w:r>
              <w:rPr>
                <w:rFonts w:ascii="Arial" w:hAnsi="Arial"/>
                <w:b/>
                <w:i w:val="0"/>
                <w:color w:val="000000"/>
                <w:sz w:val="20"/>
              </w:rPr>
              <w:t>Process</w:t>
            </w:r>
          </w:p>
        </w:tc>
        <w:tc>
          <w:tcPr>
            <w:tcW w:type="dxa" w:w="756"/>
            <w:shd w:val="clear" w:color="auto" w:fill="D9D9D9"/>
          </w:tcPr>
          <w:p>
            <w:r>
              <w:rPr>
                <w:rFonts w:ascii="Arial" w:hAnsi="Arial"/>
                <w:b/>
                <w:i w:val="0"/>
                <w:color w:val="000000"/>
                <w:sz w:val="20"/>
              </w:rPr>
              <w:t>Combustion</w:t>
            </w:r>
          </w:p>
        </w:tc>
        <w:tc>
          <w:tcPr>
            <w:tcW w:type="dxa" w:w="756"/>
            <w:shd w:val="clear" w:color="auto" w:fill="D9D9D9"/>
          </w:tcPr>
          <w:p>
            <w:r>
              <w:rPr>
                <w:rFonts w:ascii="Arial" w:hAnsi="Arial"/>
                <w:b/>
                <w:i w:val="0"/>
                <w:color w:val="000000"/>
                <w:sz w:val="20"/>
              </w:rPr>
              <w:t>Transport</w:t>
            </w:r>
          </w:p>
        </w:tc>
        <w:tc>
          <w:tcPr>
            <w:tcW w:type="dxa" w:w="756"/>
            <w:shd w:val="clear" w:color="auto" w:fill="D9D9D9"/>
          </w:tcPr>
          <w:p>
            <w:r>
              <w:rPr>
                <w:rFonts w:ascii="Arial" w:hAnsi="Arial"/>
                <w:b/>
                <w:i w:val="0"/>
                <w:color w:val="000000"/>
                <w:sz w:val="20"/>
              </w:rPr>
              <w:t>Storage</w:t>
            </w:r>
          </w:p>
        </w:tc>
        <w:tc>
          <w:tcPr>
            <w:tcW w:type="dxa" w:w="756"/>
            <w:shd w:val="clear" w:color="auto" w:fill="D9D9D9"/>
          </w:tcPr>
          <w:p>
            <w:r>
              <w:rPr>
                <w:rFonts w:ascii="Arial" w:hAnsi="Arial"/>
                <w:b/>
                <w:i w:val="0"/>
                <w:color w:val="000000"/>
                <w:sz w:val="20"/>
              </w:rPr>
              <w:t>Cooling</w:t>
            </w:r>
          </w:p>
        </w:tc>
        <w:tc>
          <w:tcPr>
            <w:tcW w:type="dxa" w:w="756"/>
            <w:shd w:val="clear" w:color="auto" w:fill="D9D9D9"/>
          </w:tcPr>
          <w:p>
            <w:r>
              <w:rPr>
                <w:rFonts w:ascii="Arial" w:hAnsi="Arial"/>
                <w:b/>
                <w:i w:val="0"/>
                <w:color w:val="000000"/>
                <w:sz w:val="20"/>
              </w:rPr>
              <w:t>Waste</w:t>
            </w:r>
          </w:p>
        </w:tc>
        <w:tc>
          <w:tcPr>
            <w:tcW w:type="dxa" w:w="756"/>
            <w:shd w:val="clear" w:color="auto" w:fill="D9D9D9"/>
          </w:tcPr>
          <w:p>
            <w:r>
              <w:rPr>
                <w:rFonts w:ascii="Arial" w:hAnsi="Arial"/>
                <w:b/>
                <w:i w:val="0"/>
                <w:color w:val="000000"/>
                <w:sz w:val="20"/>
              </w:rPr>
              <w:t>Maintenance</w:t>
            </w:r>
          </w:p>
        </w:tc>
        <w:tc>
          <w:tcPr>
            <w:tcW w:type="dxa" w:w="756"/>
            <w:shd w:val="clear" w:color="auto" w:fill="D9D9D9"/>
          </w:tcPr>
          <w:p>
            <w:r>
              <w:rPr>
                <w:rFonts w:ascii="Arial" w:hAnsi="Arial"/>
                <w:b/>
                <w:i w:val="0"/>
                <w:color w:val="000000"/>
                <w:sz w:val="20"/>
              </w:rPr>
              <w:t>Other</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NOx</w:t>
            </w:r>
          </w:p>
        </w:tc>
        <w:tc>
          <w:tcPr>
            <w:tcW w:type="dxa" w:w="756"/>
          </w:tcPr>
          <w:p>
            <w:r>
              <w:rPr>
                <w:rFonts w:ascii="Arial" w:hAnsi="Arial"/>
                <w:b w:val="0"/>
                <w:i w:val="0"/>
                <w:color w:val="000000"/>
                <w:sz w:val="20"/>
              </w:rPr>
              <w:t>84</w:t>
            </w:r>
          </w:p>
        </w:tc>
        <w:tc>
          <w:tcPr>
            <w:tcW w:type="dxa" w:w="756"/>
          </w:tcPr>
          <w:p>
            <w:r>
              <w:rPr>
                <w:rFonts w:ascii="Arial" w:hAnsi="Arial"/>
                <w:b w:val="0"/>
                <w:i w:val="0"/>
                <w:color w:val="000000"/>
                <w:sz w:val="20"/>
              </w:rPr>
              <w:t>312</w:t>
            </w:r>
          </w:p>
        </w:tc>
        <w:tc>
          <w:tcPr>
            <w:tcW w:type="dxa" w:w="756"/>
          </w:tcPr>
          <w:p>
            <w:r>
              <w:rPr>
                <w:rFonts w:ascii="Arial" w:hAnsi="Arial"/>
                <w:b w:val="0"/>
                <w:i w:val="0"/>
                <w:color w:val="000000"/>
                <w:sz w:val="20"/>
              </w:rPr>
              <w:t>198</w:t>
            </w:r>
          </w:p>
        </w:tc>
        <w:tc>
          <w:tcPr>
            <w:tcW w:type="dxa" w:w="756"/>
          </w:tcPr>
          <w:p>
            <w:r>
              <w:rPr>
                <w:rFonts w:ascii="Arial" w:hAnsi="Arial"/>
                <w:b w:val="0"/>
                <w:i w:val="0"/>
                <w:color w:val="000000"/>
                <w:sz w:val="20"/>
              </w:rPr>
              <w:t>174</w:t>
            </w:r>
          </w:p>
        </w:tc>
        <w:tc>
          <w:tcPr>
            <w:tcW w:type="dxa" w:w="756"/>
          </w:tcPr>
          <w:p>
            <w:r>
              <w:rPr>
                <w:rFonts w:ascii="Arial" w:hAnsi="Arial"/>
                <w:b w:val="0"/>
                <w:i w:val="0"/>
                <w:color w:val="000000"/>
                <w:sz w:val="20"/>
              </w:rPr>
              <w:t>126</w:t>
            </w:r>
          </w:p>
        </w:tc>
        <w:tc>
          <w:tcPr>
            <w:tcW w:type="dxa" w:w="756"/>
          </w:tcPr>
          <w:p>
            <w:r>
              <w:rPr>
                <w:rFonts w:ascii="Arial" w:hAnsi="Arial"/>
                <w:b w:val="0"/>
                <w:i w:val="0"/>
                <w:color w:val="000000"/>
                <w:sz w:val="20"/>
              </w:rPr>
              <w:t>82</w:t>
            </w:r>
          </w:p>
        </w:tc>
        <w:tc>
          <w:tcPr>
            <w:tcW w:type="dxa" w:w="756"/>
          </w:tcPr>
          <w:p>
            <w:r>
              <w:rPr>
                <w:rFonts w:ascii="Arial" w:hAnsi="Arial"/>
                <w:b w:val="0"/>
                <w:i w:val="0"/>
                <w:color w:val="000000"/>
                <w:sz w:val="20"/>
              </w:rPr>
              <w:t>54</w:t>
            </w:r>
          </w:p>
        </w:tc>
        <w:tc>
          <w:tcPr>
            <w:tcW w:type="dxa" w:w="756"/>
          </w:tcPr>
          <w:p>
            <w:r>
              <w:rPr>
                <w:rFonts w:ascii="Arial" w:hAnsi="Arial"/>
                <w:b w:val="0"/>
                <w:i w:val="0"/>
                <w:color w:val="000000"/>
                <w:sz w:val="20"/>
              </w:rPr>
              <w:t>47</w:t>
            </w:r>
          </w:p>
        </w:tc>
        <w:tc>
          <w:tcPr>
            <w:tcW w:type="dxa" w:w="756"/>
          </w:tcPr>
          <w:p>
            <w:r>
              <w:rPr>
                <w:rFonts w:ascii="Arial" w:hAnsi="Arial"/>
                <w:b w:val="0"/>
                <w:i w:val="0"/>
                <w:color w:val="000000"/>
                <w:sz w:val="20"/>
              </w:rPr>
              <w:t>38</w:t>
            </w:r>
          </w:p>
        </w:tc>
        <w:tc>
          <w:tcPr>
            <w:tcW w:type="dxa" w:w="756"/>
          </w:tcPr>
          <w:p>
            <w:r>
              <w:rPr>
                <w:rFonts w:ascii="Arial" w:hAnsi="Arial"/>
                <w:b w:val="0"/>
                <w:i w:val="0"/>
                <w:color w:val="000000"/>
                <w:sz w:val="20"/>
              </w:rPr>
              <w:t>26</w:t>
            </w:r>
          </w:p>
        </w:tc>
        <w:tc>
          <w:tcPr>
            <w:tcW w:type="dxa" w:w="756"/>
          </w:tcPr>
          <w:p>
            <w:r>
              <w:rPr>
                <w:rFonts w:ascii="Arial" w:hAnsi="Arial"/>
                <w:b w:val="0"/>
                <w:i w:val="0"/>
                <w:color w:val="000000"/>
                <w:sz w:val="20"/>
              </w:rPr>
              <w:t>1,141</w:t>
            </w:r>
          </w:p>
        </w:tc>
      </w:tr>
      <w:tr>
        <w:tc>
          <w:tcPr>
            <w:tcW w:type="dxa" w:w="756"/>
          </w:tcPr>
          <w:p>
            <w:r>
              <w:rPr>
                <w:rFonts w:ascii="Arial" w:hAnsi="Arial"/>
                <w:b w:val="0"/>
                <w:i w:val="0"/>
                <w:color w:val="000000"/>
                <w:sz w:val="20"/>
              </w:rPr>
              <w:t>SOx</w:t>
            </w:r>
          </w:p>
        </w:tc>
        <w:tc>
          <w:tcPr>
            <w:tcW w:type="dxa" w:w="756"/>
          </w:tcPr>
          <w:p>
            <w:r>
              <w:rPr>
                <w:rFonts w:ascii="Arial" w:hAnsi="Arial"/>
                <w:b w:val="0"/>
                <w:i w:val="0"/>
                <w:color w:val="000000"/>
                <w:sz w:val="20"/>
              </w:rPr>
              <w:t>24</w:t>
            </w:r>
          </w:p>
        </w:tc>
        <w:tc>
          <w:tcPr>
            <w:tcW w:type="dxa" w:w="756"/>
          </w:tcPr>
          <w:p>
            <w:r>
              <w:rPr>
                <w:rFonts w:ascii="Arial" w:hAnsi="Arial"/>
                <w:b w:val="0"/>
                <w:i w:val="0"/>
                <w:color w:val="000000"/>
                <w:sz w:val="20"/>
              </w:rPr>
              <w:t>98</w:t>
            </w:r>
          </w:p>
        </w:tc>
        <w:tc>
          <w:tcPr>
            <w:tcW w:type="dxa" w:w="756"/>
          </w:tcPr>
          <w:p>
            <w:r>
              <w:rPr>
                <w:rFonts w:ascii="Arial" w:hAnsi="Arial"/>
                <w:b w:val="0"/>
                <w:i w:val="0"/>
                <w:color w:val="000000"/>
                <w:sz w:val="20"/>
              </w:rPr>
              <w:t>62</w:t>
            </w:r>
          </w:p>
        </w:tc>
        <w:tc>
          <w:tcPr>
            <w:tcW w:type="dxa" w:w="756"/>
          </w:tcPr>
          <w:p>
            <w:r>
              <w:rPr>
                <w:rFonts w:ascii="Arial" w:hAnsi="Arial"/>
                <w:b w:val="0"/>
                <w:i w:val="0"/>
                <w:color w:val="000000"/>
                <w:sz w:val="20"/>
              </w:rPr>
              <w:t>54</w:t>
            </w:r>
          </w:p>
        </w:tc>
        <w:tc>
          <w:tcPr>
            <w:tcW w:type="dxa" w:w="756"/>
          </w:tcPr>
          <w:p>
            <w:r>
              <w:rPr>
                <w:rFonts w:ascii="Arial" w:hAnsi="Arial"/>
                <w:b w:val="0"/>
                <w:i w:val="0"/>
                <w:color w:val="000000"/>
                <w:sz w:val="20"/>
              </w:rPr>
              <w:t>38</w:t>
            </w:r>
          </w:p>
        </w:tc>
        <w:tc>
          <w:tcPr>
            <w:tcW w:type="dxa" w:w="756"/>
          </w:tcPr>
          <w:p>
            <w:r>
              <w:rPr>
                <w:rFonts w:ascii="Arial" w:hAnsi="Arial"/>
                <w:b w:val="0"/>
                <w:i w:val="0"/>
                <w:color w:val="000000"/>
                <w:sz w:val="20"/>
              </w:rPr>
              <w:t>24</w:t>
            </w:r>
          </w:p>
        </w:tc>
        <w:tc>
          <w:tcPr>
            <w:tcW w:type="dxa" w:w="756"/>
          </w:tcPr>
          <w:p>
            <w:r>
              <w:rPr>
                <w:rFonts w:ascii="Arial" w:hAnsi="Arial"/>
                <w:b w:val="0"/>
                <w:i w:val="0"/>
                <w:color w:val="000000"/>
                <w:sz w:val="20"/>
              </w:rPr>
              <w:t>16</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10</w:t>
            </w:r>
          </w:p>
        </w:tc>
        <w:tc>
          <w:tcPr>
            <w:tcW w:type="dxa" w:w="756"/>
          </w:tcPr>
          <w:p>
            <w:r>
              <w:rPr>
                <w:rFonts w:ascii="Arial" w:hAnsi="Arial"/>
                <w:b w:val="0"/>
                <w:i w:val="0"/>
                <w:color w:val="000000"/>
                <w:sz w:val="20"/>
              </w:rPr>
              <w:t>4</w:t>
            </w:r>
          </w:p>
        </w:tc>
        <w:tc>
          <w:tcPr>
            <w:tcW w:type="dxa" w:w="756"/>
          </w:tcPr>
          <w:p>
            <w:r>
              <w:rPr>
                <w:rFonts w:ascii="Arial" w:hAnsi="Arial"/>
                <w:b w:val="0"/>
                <w:i w:val="0"/>
                <w:color w:val="000000"/>
                <w:sz w:val="20"/>
              </w:rPr>
              <w:t>344</w:t>
            </w:r>
          </w:p>
        </w:tc>
      </w:tr>
      <w:tr>
        <w:tc>
          <w:tcPr>
            <w:tcW w:type="dxa" w:w="756"/>
          </w:tcPr>
          <w:p>
            <w:r>
              <w:rPr>
                <w:rFonts w:ascii="Arial" w:hAnsi="Arial"/>
                <w:b w:val="0"/>
                <w:i w:val="0"/>
                <w:color w:val="000000"/>
                <w:sz w:val="20"/>
              </w:rPr>
              <w:t>PM10</w:t>
            </w:r>
          </w:p>
        </w:tc>
        <w:tc>
          <w:tcPr>
            <w:tcW w:type="dxa" w:w="756"/>
          </w:tcPr>
          <w:p>
            <w:r>
              <w:rPr>
                <w:rFonts w:ascii="Arial" w:hAnsi="Arial"/>
                <w:b w:val="0"/>
                <w:i w:val="0"/>
                <w:color w:val="000000"/>
                <w:sz w:val="20"/>
              </w:rPr>
              <w:t>6.2</w:t>
            </w:r>
          </w:p>
        </w:tc>
        <w:tc>
          <w:tcPr>
            <w:tcW w:type="dxa" w:w="756"/>
          </w:tcPr>
          <w:p>
            <w:r>
              <w:rPr>
                <w:rFonts w:ascii="Arial" w:hAnsi="Arial"/>
                <w:b w:val="0"/>
                <w:i w:val="0"/>
                <w:color w:val="000000"/>
                <w:sz w:val="20"/>
              </w:rPr>
              <w:t>24.1</w:t>
            </w:r>
          </w:p>
        </w:tc>
        <w:tc>
          <w:tcPr>
            <w:tcW w:type="dxa" w:w="756"/>
          </w:tcPr>
          <w:p>
            <w:r>
              <w:rPr>
                <w:rFonts w:ascii="Arial" w:hAnsi="Arial"/>
                <w:b w:val="0"/>
                <w:i w:val="0"/>
                <w:color w:val="000000"/>
                <w:sz w:val="20"/>
              </w:rPr>
              <w:t>15.2</w:t>
            </w:r>
          </w:p>
        </w:tc>
        <w:tc>
          <w:tcPr>
            <w:tcW w:type="dxa" w:w="756"/>
          </w:tcPr>
          <w:p>
            <w:r>
              <w:rPr>
                <w:rFonts w:ascii="Arial" w:hAnsi="Arial"/>
                <w:b w:val="0"/>
                <w:i w:val="0"/>
                <w:color w:val="000000"/>
                <w:sz w:val="20"/>
              </w:rPr>
              <w:t>13.4</w:t>
            </w:r>
          </w:p>
        </w:tc>
        <w:tc>
          <w:tcPr>
            <w:tcW w:type="dxa" w:w="756"/>
          </w:tcPr>
          <w:p>
            <w:r>
              <w:rPr>
                <w:rFonts w:ascii="Arial" w:hAnsi="Arial"/>
                <w:b w:val="0"/>
                <w:i w:val="0"/>
                <w:color w:val="000000"/>
                <w:sz w:val="20"/>
              </w:rPr>
              <w:t>9.2</w:t>
            </w:r>
          </w:p>
        </w:tc>
        <w:tc>
          <w:tcPr>
            <w:tcW w:type="dxa" w:w="756"/>
          </w:tcPr>
          <w:p>
            <w:r>
              <w:rPr>
                <w:rFonts w:ascii="Arial" w:hAnsi="Arial"/>
                <w:b w:val="0"/>
                <w:i w:val="0"/>
                <w:color w:val="000000"/>
                <w:sz w:val="20"/>
              </w:rPr>
              <w:t>5.8</w:t>
            </w:r>
          </w:p>
        </w:tc>
        <w:tc>
          <w:tcPr>
            <w:tcW w:type="dxa" w:w="756"/>
          </w:tcPr>
          <w:p>
            <w:r>
              <w:rPr>
                <w:rFonts w:ascii="Arial" w:hAnsi="Arial"/>
                <w:b w:val="0"/>
                <w:i w:val="0"/>
                <w:color w:val="000000"/>
                <w:sz w:val="20"/>
              </w:rPr>
              <w:t>3.9</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3.1</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86.4</w:t>
            </w:r>
          </w:p>
        </w:tc>
      </w:tr>
      <w:tr>
        <w:tc>
          <w:tcPr>
            <w:tcW w:type="dxa" w:w="756"/>
          </w:tcPr>
          <w:p>
            <w:r>
              <w:rPr>
                <w:rFonts w:ascii="Arial" w:hAnsi="Arial"/>
                <w:b w:val="0"/>
                <w:i w:val="0"/>
                <w:color w:val="000000"/>
                <w:sz w:val="20"/>
              </w:rPr>
              <w:t>VOC</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58</w:t>
            </w:r>
          </w:p>
        </w:tc>
        <w:tc>
          <w:tcPr>
            <w:tcW w:type="dxa" w:w="756"/>
          </w:tcPr>
          <w:p>
            <w:r>
              <w:rPr>
                <w:rFonts w:ascii="Arial" w:hAnsi="Arial"/>
                <w:b w:val="0"/>
                <w:i w:val="0"/>
                <w:color w:val="000000"/>
                <w:sz w:val="20"/>
              </w:rPr>
              <w:t>42</w:t>
            </w:r>
          </w:p>
        </w:tc>
        <w:tc>
          <w:tcPr>
            <w:tcW w:type="dxa" w:w="756"/>
          </w:tcPr>
          <w:p>
            <w:r>
              <w:rPr>
                <w:rFonts w:ascii="Arial" w:hAnsi="Arial"/>
                <w:b w:val="0"/>
                <w:i w:val="0"/>
                <w:color w:val="000000"/>
                <w:sz w:val="20"/>
              </w:rPr>
              <w:t>36</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12</w:t>
            </w:r>
          </w:p>
        </w:tc>
        <w:tc>
          <w:tcPr>
            <w:tcW w:type="dxa" w:w="756"/>
          </w:tcPr>
          <w:p>
            <w:r>
              <w:rPr>
                <w:rFonts w:ascii="Arial" w:hAnsi="Arial"/>
                <w:b w:val="0"/>
                <w:i w:val="0"/>
                <w:color w:val="000000"/>
                <w:sz w:val="20"/>
              </w:rPr>
              <w:t>8</w:t>
            </w:r>
          </w:p>
        </w:tc>
        <w:tc>
          <w:tcPr>
            <w:tcW w:type="dxa" w:w="756"/>
          </w:tcPr>
          <w:p>
            <w:r>
              <w:rPr>
                <w:rFonts w:ascii="Arial" w:hAnsi="Arial"/>
                <w:b w:val="0"/>
                <w:i w:val="0"/>
                <w:color w:val="000000"/>
                <w:sz w:val="20"/>
              </w:rPr>
              <w:t>6</w:t>
            </w:r>
          </w:p>
        </w:tc>
        <w:tc>
          <w:tcPr>
            <w:tcW w:type="dxa" w:w="756"/>
          </w:tcPr>
          <w:p>
            <w:r>
              <w:rPr>
                <w:rFonts w:ascii="Arial" w:hAnsi="Arial"/>
                <w:b w:val="0"/>
                <w:i w:val="0"/>
                <w:color w:val="000000"/>
                <w:sz w:val="20"/>
              </w:rPr>
              <w:t>3</w:t>
            </w:r>
          </w:p>
        </w:tc>
        <w:tc>
          <w:tcPr>
            <w:tcW w:type="dxa" w:w="756"/>
          </w:tcPr>
          <w:p>
            <w:r>
              <w:rPr>
                <w:rFonts w:ascii="Arial" w:hAnsi="Arial"/>
                <w:b w:val="0"/>
                <w:i w:val="0"/>
                <w:color w:val="000000"/>
                <w:sz w:val="20"/>
              </w:rPr>
              <w:t>2</w:t>
            </w:r>
          </w:p>
        </w:tc>
        <w:tc>
          <w:tcPr>
            <w:tcW w:type="dxa" w:w="756"/>
          </w:tcPr>
          <w:p>
            <w:r>
              <w:rPr>
                <w:rFonts w:ascii="Arial" w:hAnsi="Arial"/>
                <w:b w:val="0"/>
                <w:i w:val="0"/>
                <w:color w:val="000000"/>
                <w:sz w:val="20"/>
              </w:rPr>
              <w:t>219</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148.2</w:t>
            </w:r>
          </w:p>
        </w:tc>
        <w:tc>
          <w:tcPr>
            <w:tcW w:type="dxa" w:w="756"/>
            <w:shd w:val="clear" w:color="auto" w:fill="F3F3F3"/>
          </w:tcPr>
          <w:p>
            <w:r>
              <w:rPr>
                <w:rFonts w:ascii="Arial" w:hAnsi="Arial"/>
                <w:b/>
                <w:i w:val="0"/>
                <w:color w:val="000000"/>
                <w:sz w:val="20"/>
              </w:rPr>
              <w:t>492.1</w:t>
            </w:r>
          </w:p>
        </w:tc>
        <w:tc>
          <w:tcPr>
            <w:tcW w:type="dxa" w:w="756"/>
            <w:shd w:val="clear" w:color="auto" w:fill="F3F3F3"/>
          </w:tcPr>
          <w:p>
            <w:r>
              <w:rPr>
                <w:rFonts w:ascii="Arial" w:hAnsi="Arial"/>
                <w:b/>
                <w:i w:val="0"/>
                <w:color w:val="000000"/>
                <w:sz w:val="20"/>
              </w:rPr>
              <w:t>317.2</w:t>
            </w:r>
          </w:p>
        </w:tc>
        <w:tc>
          <w:tcPr>
            <w:tcW w:type="dxa" w:w="756"/>
            <w:shd w:val="clear" w:color="auto" w:fill="F3F3F3"/>
          </w:tcPr>
          <w:p>
            <w:r>
              <w:rPr>
                <w:rFonts w:ascii="Arial" w:hAnsi="Arial"/>
                <w:b/>
                <w:i w:val="0"/>
                <w:color w:val="000000"/>
                <w:sz w:val="20"/>
              </w:rPr>
              <w:t>277.4</w:t>
            </w:r>
          </w:p>
        </w:tc>
        <w:tc>
          <w:tcPr>
            <w:tcW w:type="dxa" w:w="756"/>
            <w:shd w:val="clear" w:color="auto" w:fill="F3F3F3"/>
          </w:tcPr>
          <w:p>
            <w:r>
              <w:rPr>
                <w:rFonts w:ascii="Arial" w:hAnsi="Arial"/>
                <w:b/>
                <w:i w:val="0"/>
                <w:color w:val="000000"/>
                <w:sz w:val="20"/>
              </w:rPr>
              <w:t>191.2</w:t>
            </w:r>
          </w:p>
        </w:tc>
        <w:tc>
          <w:tcPr>
            <w:tcW w:type="dxa" w:w="756"/>
            <w:shd w:val="clear" w:color="auto" w:fill="F3F3F3"/>
          </w:tcPr>
          <w:p>
            <w:r>
              <w:rPr>
                <w:rFonts w:ascii="Arial" w:hAnsi="Arial"/>
                <w:b/>
                <w:i w:val="0"/>
                <w:color w:val="000000"/>
                <w:sz w:val="20"/>
              </w:rPr>
              <w:t>123.8</w:t>
            </w:r>
          </w:p>
        </w:tc>
        <w:tc>
          <w:tcPr>
            <w:tcW w:type="dxa" w:w="756"/>
            <w:shd w:val="clear" w:color="auto" w:fill="F3F3F3"/>
          </w:tcPr>
          <w:p>
            <w:r>
              <w:rPr>
                <w:rFonts w:ascii="Arial" w:hAnsi="Arial"/>
                <w:b/>
                <w:i w:val="0"/>
                <w:color w:val="000000"/>
                <w:sz w:val="20"/>
              </w:rPr>
              <w:t>81.9</w:t>
            </w:r>
          </w:p>
        </w:tc>
        <w:tc>
          <w:tcPr>
            <w:tcW w:type="dxa" w:w="756"/>
            <w:shd w:val="clear" w:color="auto" w:fill="F3F3F3"/>
          </w:tcPr>
          <w:p>
            <w:r>
              <w:rPr>
                <w:rFonts w:ascii="Arial" w:hAnsi="Arial"/>
                <w:b/>
                <w:i w:val="0"/>
                <w:color w:val="000000"/>
                <w:sz w:val="20"/>
              </w:rPr>
              <w:t>70.4</w:t>
            </w:r>
          </w:p>
        </w:tc>
        <w:tc>
          <w:tcPr>
            <w:tcW w:type="dxa" w:w="756"/>
            <w:shd w:val="clear" w:color="auto" w:fill="F3F3F3"/>
          </w:tcPr>
          <w:p>
            <w:r>
              <w:rPr>
                <w:rFonts w:ascii="Arial" w:hAnsi="Arial"/>
                <w:b/>
                <w:i w:val="0"/>
                <w:color w:val="000000"/>
                <w:sz w:val="20"/>
              </w:rPr>
              <w:t>54.1</w:t>
            </w:r>
          </w:p>
        </w:tc>
        <w:tc>
          <w:tcPr>
            <w:tcW w:type="dxa" w:w="756"/>
            <w:shd w:val="clear" w:color="auto" w:fill="F3F3F3"/>
          </w:tcPr>
          <w:p>
            <w:r>
              <w:rPr>
                <w:rFonts w:ascii="Arial" w:hAnsi="Arial"/>
                <w:b/>
                <w:i w:val="0"/>
                <w:color w:val="000000"/>
                <w:sz w:val="20"/>
              </w:rPr>
              <w:t>34.1</w:t>
            </w:r>
          </w:p>
        </w:tc>
        <w:tc>
          <w:tcPr>
            <w:tcW w:type="dxa" w:w="756"/>
            <w:shd w:val="clear" w:color="auto" w:fill="F3F3F3"/>
          </w:tcPr>
          <w:p>
            <w:r>
              <w:rPr>
                <w:rFonts w:ascii="Arial" w:hAnsi="Arial"/>
                <w:b/>
                <w:i w:val="0"/>
                <w:color w:val="000000"/>
                <w:sz w:val="20"/>
              </w:rPr>
              <w:t>1,790.4</w:t>
            </w:r>
          </w:p>
        </w:tc>
      </w:tr>
    </w:tbl>
    <w:p>
      <w:r>
        <w:rPr>
          <w:rFonts w:ascii="Arial" w:hAnsi="Arial"/>
          <w:b w:val="0"/>
          <w:i w:val="0"/>
          <w:color w:val="000000"/>
          <w:sz w:val="22"/>
        </w:rPr>
        <w:t>No other source categories outside those listed generated material air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5.3.5.5  Quantify Emissions to Air by Pollutant — By Site Location</w:t>
      </w:r>
    </w:p>
    <w:p>
      <w:r>
        <w:rPr>
          <w:rFonts w:ascii="Arial" w:hAnsi="Arial"/>
          <w:b/>
          <w:i w:val="0"/>
          <w:color w:val="000000"/>
          <w:sz w:val="20"/>
        </w:rPr>
        <w:t>Table 5.3.5.5 — Emissions to Air by Pollutant (By Site Location)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Dubai</w:t>
            </w:r>
          </w:p>
        </w:tc>
        <w:tc>
          <w:tcPr>
            <w:tcW w:type="dxa" w:w="756"/>
            <w:shd w:val="clear" w:color="auto" w:fill="D9D9D9"/>
          </w:tcPr>
          <w:p>
            <w:r>
              <w:rPr>
                <w:rFonts w:ascii="Arial" w:hAnsi="Arial"/>
                <w:b/>
                <w:i w:val="0"/>
                <w:color w:val="000000"/>
                <w:sz w:val="20"/>
              </w:rPr>
              <w:t>Mumbai</w:t>
            </w:r>
          </w:p>
        </w:tc>
        <w:tc>
          <w:tcPr>
            <w:tcW w:type="dxa" w:w="756"/>
            <w:shd w:val="clear" w:color="auto" w:fill="D9D9D9"/>
          </w:tcPr>
          <w:p>
            <w:r>
              <w:rPr>
                <w:rFonts w:ascii="Arial" w:hAnsi="Arial"/>
                <w:b/>
                <w:i w:val="0"/>
                <w:color w:val="000000"/>
                <w:sz w:val="20"/>
              </w:rPr>
              <w:t>Frankfurt</w:t>
            </w:r>
          </w:p>
        </w:tc>
        <w:tc>
          <w:tcPr>
            <w:tcW w:type="dxa" w:w="756"/>
            <w:shd w:val="clear" w:color="auto" w:fill="D9D9D9"/>
          </w:tcPr>
          <w:p>
            <w:r>
              <w:rPr>
                <w:rFonts w:ascii="Arial" w:hAnsi="Arial"/>
                <w:b/>
                <w:i w:val="0"/>
                <w:color w:val="000000"/>
                <w:sz w:val="20"/>
              </w:rPr>
              <w:t>Paris</w:t>
            </w:r>
          </w:p>
        </w:tc>
        <w:tc>
          <w:tcPr>
            <w:tcW w:type="dxa" w:w="756"/>
            <w:shd w:val="clear" w:color="auto" w:fill="D9D9D9"/>
          </w:tcPr>
          <w:p>
            <w:r>
              <w:rPr>
                <w:rFonts w:ascii="Arial" w:hAnsi="Arial"/>
                <w:b/>
                <w:i w:val="0"/>
                <w:color w:val="000000"/>
                <w:sz w:val="20"/>
              </w:rPr>
              <w:t>Singapore</w:t>
            </w:r>
          </w:p>
        </w:tc>
        <w:tc>
          <w:tcPr>
            <w:tcW w:type="dxa" w:w="756"/>
            <w:shd w:val="clear" w:color="auto" w:fill="D9D9D9"/>
          </w:tcPr>
          <w:p>
            <w:r>
              <w:rPr>
                <w:rFonts w:ascii="Arial" w:hAnsi="Arial"/>
                <w:b/>
                <w:i w:val="0"/>
                <w:color w:val="000000"/>
                <w:sz w:val="20"/>
              </w:rPr>
              <w:t>Tokyo</w:t>
            </w:r>
          </w:p>
        </w:tc>
        <w:tc>
          <w:tcPr>
            <w:tcW w:type="dxa" w:w="756"/>
            <w:shd w:val="clear" w:color="auto" w:fill="D9D9D9"/>
          </w:tcPr>
          <w:p>
            <w:r>
              <w:rPr>
                <w:rFonts w:ascii="Arial" w:hAnsi="Arial"/>
                <w:b/>
                <w:i w:val="0"/>
                <w:color w:val="000000"/>
                <w:sz w:val="20"/>
              </w:rPr>
              <w:t>London</w:t>
            </w:r>
          </w:p>
        </w:tc>
        <w:tc>
          <w:tcPr>
            <w:tcW w:type="dxa" w:w="756"/>
            <w:shd w:val="clear" w:color="auto" w:fill="D9D9D9"/>
          </w:tcPr>
          <w:p>
            <w:r>
              <w:rPr>
                <w:rFonts w:ascii="Arial" w:hAnsi="Arial"/>
                <w:b/>
                <w:i w:val="0"/>
                <w:color w:val="000000"/>
                <w:sz w:val="20"/>
              </w:rPr>
              <w:t>São Paulo</w:t>
            </w:r>
          </w:p>
        </w:tc>
        <w:tc>
          <w:tcPr>
            <w:tcW w:type="dxa" w:w="756"/>
            <w:shd w:val="clear" w:color="auto" w:fill="D9D9D9"/>
          </w:tcPr>
          <w:p>
            <w:r>
              <w:rPr>
                <w:rFonts w:ascii="Arial" w:hAnsi="Arial"/>
                <w:b/>
                <w:i w:val="0"/>
                <w:color w:val="000000"/>
                <w:sz w:val="20"/>
              </w:rPr>
              <w:t>Sydney</w:t>
            </w:r>
          </w:p>
        </w:tc>
        <w:tc>
          <w:tcPr>
            <w:tcW w:type="dxa" w:w="756"/>
            <w:shd w:val="clear" w:color="auto" w:fill="D9D9D9"/>
          </w:tcPr>
          <w:p>
            <w:r>
              <w:rPr>
                <w:rFonts w:ascii="Arial" w:hAnsi="Arial"/>
                <w:b/>
                <w:i w:val="0"/>
                <w:color w:val="000000"/>
                <w:sz w:val="20"/>
              </w:rPr>
              <w:t>Toronto</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NOx</w:t>
            </w:r>
          </w:p>
        </w:tc>
        <w:tc>
          <w:tcPr>
            <w:tcW w:type="dxa" w:w="756"/>
          </w:tcPr>
          <w:p>
            <w:r>
              <w:rPr>
                <w:rFonts w:ascii="Arial" w:hAnsi="Arial"/>
                <w:b w:val="0"/>
                <w:i w:val="0"/>
                <w:color w:val="000000"/>
                <w:sz w:val="20"/>
              </w:rPr>
              <w:t>184</w:t>
            </w:r>
          </w:p>
        </w:tc>
        <w:tc>
          <w:tcPr>
            <w:tcW w:type="dxa" w:w="756"/>
          </w:tcPr>
          <w:p>
            <w:r>
              <w:rPr>
                <w:rFonts w:ascii="Arial" w:hAnsi="Arial"/>
                <w:b w:val="0"/>
                <w:i w:val="0"/>
                <w:color w:val="000000"/>
                <w:sz w:val="20"/>
              </w:rPr>
              <w:t>162</w:t>
            </w:r>
          </w:p>
        </w:tc>
        <w:tc>
          <w:tcPr>
            <w:tcW w:type="dxa" w:w="756"/>
          </w:tcPr>
          <w:p>
            <w:r>
              <w:rPr>
                <w:rFonts w:ascii="Arial" w:hAnsi="Arial"/>
                <w:b w:val="0"/>
                <w:i w:val="0"/>
                <w:color w:val="000000"/>
                <w:sz w:val="20"/>
              </w:rPr>
              <w:t>82</w:t>
            </w:r>
          </w:p>
        </w:tc>
        <w:tc>
          <w:tcPr>
            <w:tcW w:type="dxa" w:w="756"/>
          </w:tcPr>
          <w:p>
            <w:r>
              <w:rPr>
                <w:rFonts w:ascii="Arial" w:hAnsi="Arial"/>
                <w:b w:val="0"/>
                <w:i w:val="0"/>
                <w:color w:val="000000"/>
                <w:sz w:val="20"/>
              </w:rPr>
              <w:t>71</w:t>
            </w:r>
          </w:p>
        </w:tc>
        <w:tc>
          <w:tcPr>
            <w:tcW w:type="dxa" w:w="756"/>
          </w:tcPr>
          <w:p>
            <w:r>
              <w:rPr>
                <w:rFonts w:ascii="Arial" w:hAnsi="Arial"/>
                <w:b w:val="0"/>
                <w:i w:val="0"/>
                <w:color w:val="000000"/>
                <w:sz w:val="20"/>
              </w:rPr>
              <w:t>112</w:t>
            </w:r>
          </w:p>
        </w:tc>
        <w:tc>
          <w:tcPr>
            <w:tcW w:type="dxa" w:w="756"/>
          </w:tcPr>
          <w:p>
            <w:r>
              <w:rPr>
                <w:rFonts w:ascii="Arial" w:hAnsi="Arial"/>
                <w:b w:val="0"/>
                <w:i w:val="0"/>
                <w:color w:val="000000"/>
                <w:sz w:val="20"/>
              </w:rPr>
              <w:t>87</w:t>
            </w:r>
          </w:p>
        </w:tc>
        <w:tc>
          <w:tcPr>
            <w:tcW w:type="dxa" w:w="756"/>
          </w:tcPr>
          <w:p>
            <w:r>
              <w:rPr>
                <w:rFonts w:ascii="Arial" w:hAnsi="Arial"/>
                <w:b w:val="0"/>
                <w:i w:val="0"/>
                <w:color w:val="000000"/>
                <w:sz w:val="20"/>
              </w:rPr>
              <w:t>66</w:t>
            </w:r>
          </w:p>
        </w:tc>
        <w:tc>
          <w:tcPr>
            <w:tcW w:type="dxa" w:w="756"/>
          </w:tcPr>
          <w:p>
            <w:r>
              <w:rPr>
                <w:rFonts w:ascii="Arial" w:hAnsi="Arial"/>
                <w:b w:val="0"/>
                <w:i w:val="0"/>
                <w:color w:val="000000"/>
                <w:sz w:val="20"/>
              </w:rPr>
              <w:t>101</w:t>
            </w:r>
          </w:p>
        </w:tc>
        <w:tc>
          <w:tcPr>
            <w:tcW w:type="dxa" w:w="756"/>
          </w:tcPr>
          <w:p>
            <w:r>
              <w:rPr>
                <w:rFonts w:ascii="Arial" w:hAnsi="Arial"/>
                <w:b w:val="0"/>
                <w:i w:val="0"/>
                <w:color w:val="000000"/>
                <w:sz w:val="20"/>
              </w:rPr>
              <w:t>94</w:t>
            </w:r>
          </w:p>
        </w:tc>
        <w:tc>
          <w:tcPr>
            <w:tcW w:type="dxa" w:w="756"/>
          </w:tcPr>
          <w:p>
            <w:r>
              <w:rPr>
                <w:rFonts w:ascii="Arial" w:hAnsi="Arial"/>
                <w:b w:val="0"/>
                <w:i w:val="0"/>
                <w:color w:val="000000"/>
                <w:sz w:val="20"/>
              </w:rPr>
              <w:t>82</w:t>
            </w:r>
          </w:p>
        </w:tc>
        <w:tc>
          <w:tcPr>
            <w:tcW w:type="dxa" w:w="756"/>
          </w:tcPr>
          <w:p>
            <w:r>
              <w:rPr>
                <w:rFonts w:ascii="Arial" w:hAnsi="Arial"/>
                <w:b w:val="0"/>
                <w:i w:val="0"/>
                <w:color w:val="000000"/>
                <w:sz w:val="20"/>
              </w:rPr>
              <w:t>1,041</w:t>
            </w:r>
          </w:p>
        </w:tc>
      </w:tr>
      <w:tr>
        <w:tc>
          <w:tcPr>
            <w:tcW w:type="dxa" w:w="756"/>
          </w:tcPr>
          <w:p>
            <w:r>
              <w:rPr>
                <w:rFonts w:ascii="Arial" w:hAnsi="Arial"/>
                <w:b w:val="0"/>
                <w:i w:val="0"/>
                <w:color w:val="000000"/>
                <w:sz w:val="20"/>
              </w:rPr>
              <w:t>SOx</w:t>
            </w:r>
          </w:p>
        </w:tc>
        <w:tc>
          <w:tcPr>
            <w:tcW w:type="dxa" w:w="756"/>
          </w:tcPr>
          <w:p>
            <w:r>
              <w:rPr>
                <w:rFonts w:ascii="Arial" w:hAnsi="Arial"/>
                <w:b w:val="0"/>
                <w:i w:val="0"/>
                <w:color w:val="000000"/>
                <w:sz w:val="20"/>
              </w:rPr>
              <w:t>56</w:t>
            </w:r>
          </w:p>
        </w:tc>
        <w:tc>
          <w:tcPr>
            <w:tcW w:type="dxa" w:w="756"/>
          </w:tcPr>
          <w:p>
            <w:r>
              <w:rPr>
                <w:rFonts w:ascii="Arial" w:hAnsi="Arial"/>
                <w:b w:val="0"/>
                <w:i w:val="0"/>
                <w:color w:val="000000"/>
                <w:sz w:val="20"/>
              </w:rPr>
              <w:t>50</w:t>
            </w:r>
          </w:p>
        </w:tc>
        <w:tc>
          <w:tcPr>
            <w:tcW w:type="dxa" w:w="756"/>
          </w:tcPr>
          <w:p>
            <w:r>
              <w:rPr>
                <w:rFonts w:ascii="Arial" w:hAnsi="Arial"/>
                <w:b w:val="0"/>
                <w:i w:val="0"/>
                <w:color w:val="000000"/>
                <w:sz w:val="20"/>
              </w:rPr>
              <w:t>24</w:t>
            </w:r>
          </w:p>
        </w:tc>
        <w:tc>
          <w:tcPr>
            <w:tcW w:type="dxa" w:w="756"/>
          </w:tcPr>
          <w:p>
            <w:r>
              <w:rPr>
                <w:rFonts w:ascii="Arial" w:hAnsi="Arial"/>
                <w:b w:val="0"/>
                <w:i w:val="0"/>
                <w:color w:val="000000"/>
                <w:sz w:val="20"/>
              </w:rPr>
              <w:t>20</w:t>
            </w:r>
          </w:p>
        </w:tc>
        <w:tc>
          <w:tcPr>
            <w:tcW w:type="dxa" w:w="756"/>
          </w:tcPr>
          <w:p>
            <w:r>
              <w:rPr>
                <w:rFonts w:ascii="Arial" w:hAnsi="Arial"/>
                <w:b w:val="0"/>
                <w:i w:val="0"/>
                <w:color w:val="000000"/>
                <w:sz w:val="20"/>
              </w:rPr>
              <w:t>33</w:t>
            </w:r>
          </w:p>
        </w:tc>
        <w:tc>
          <w:tcPr>
            <w:tcW w:type="dxa" w:w="756"/>
          </w:tcPr>
          <w:p>
            <w:r>
              <w:rPr>
                <w:rFonts w:ascii="Arial" w:hAnsi="Arial"/>
                <w:b w:val="0"/>
                <w:i w:val="0"/>
                <w:color w:val="000000"/>
                <w:sz w:val="20"/>
              </w:rPr>
              <w:t>26</w:t>
            </w:r>
          </w:p>
        </w:tc>
        <w:tc>
          <w:tcPr>
            <w:tcW w:type="dxa" w:w="756"/>
          </w:tcPr>
          <w:p>
            <w:r>
              <w:rPr>
                <w:rFonts w:ascii="Arial" w:hAnsi="Arial"/>
                <w:b w:val="0"/>
                <w:i w:val="0"/>
                <w:color w:val="000000"/>
                <w:sz w:val="20"/>
              </w:rPr>
              <w:t>19</w:t>
            </w:r>
          </w:p>
        </w:tc>
        <w:tc>
          <w:tcPr>
            <w:tcW w:type="dxa" w:w="756"/>
          </w:tcPr>
          <w:p>
            <w:r>
              <w:rPr>
                <w:rFonts w:ascii="Arial" w:hAnsi="Arial"/>
                <w:b w:val="0"/>
                <w:i w:val="0"/>
                <w:color w:val="000000"/>
                <w:sz w:val="20"/>
              </w:rPr>
              <w:t>30</w:t>
            </w:r>
          </w:p>
        </w:tc>
        <w:tc>
          <w:tcPr>
            <w:tcW w:type="dxa" w:w="756"/>
          </w:tcPr>
          <w:p>
            <w:r>
              <w:rPr>
                <w:rFonts w:ascii="Arial" w:hAnsi="Arial"/>
                <w:b w:val="0"/>
                <w:i w:val="0"/>
                <w:color w:val="000000"/>
                <w:sz w:val="20"/>
              </w:rPr>
              <w:t>28</w:t>
            </w:r>
          </w:p>
        </w:tc>
        <w:tc>
          <w:tcPr>
            <w:tcW w:type="dxa" w:w="756"/>
          </w:tcPr>
          <w:p>
            <w:r>
              <w:rPr>
                <w:rFonts w:ascii="Arial" w:hAnsi="Arial"/>
                <w:b w:val="0"/>
                <w:i w:val="0"/>
                <w:color w:val="000000"/>
                <w:sz w:val="20"/>
              </w:rPr>
              <w:t>25</w:t>
            </w:r>
          </w:p>
        </w:tc>
        <w:tc>
          <w:tcPr>
            <w:tcW w:type="dxa" w:w="756"/>
          </w:tcPr>
          <w:p>
            <w:r>
              <w:rPr>
                <w:rFonts w:ascii="Arial" w:hAnsi="Arial"/>
                <w:b w:val="0"/>
                <w:i w:val="0"/>
                <w:color w:val="000000"/>
                <w:sz w:val="20"/>
              </w:rPr>
              <w:t>311</w:t>
            </w:r>
          </w:p>
        </w:tc>
      </w:tr>
      <w:tr>
        <w:tc>
          <w:tcPr>
            <w:tcW w:type="dxa" w:w="756"/>
          </w:tcPr>
          <w:p>
            <w:r>
              <w:rPr>
                <w:rFonts w:ascii="Arial" w:hAnsi="Arial"/>
                <w:b w:val="0"/>
                <w:i w:val="0"/>
                <w:color w:val="000000"/>
                <w:sz w:val="20"/>
              </w:rPr>
              <w:t>PM10</w:t>
            </w:r>
          </w:p>
        </w:tc>
        <w:tc>
          <w:tcPr>
            <w:tcW w:type="dxa" w:w="756"/>
          </w:tcPr>
          <w:p>
            <w:r>
              <w:rPr>
                <w:rFonts w:ascii="Arial" w:hAnsi="Arial"/>
                <w:b w:val="0"/>
                <w:i w:val="0"/>
                <w:color w:val="000000"/>
                <w:sz w:val="20"/>
              </w:rPr>
              <w:t>13.8</w:t>
            </w:r>
          </w:p>
        </w:tc>
        <w:tc>
          <w:tcPr>
            <w:tcW w:type="dxa" w:w="756"/>
          </w:tcPr>
          <w:p>
            <w:r>
              <w:rPr>
                <w:rFonts w:ascii="Arial" w:hAnsi="Arial"/>
                <w:b w:val="0"/>
                <w:i w:val="0"/>
                <w:color w:val="000000"/>
                <w:sz w:val="20"/>
              </w:rPr>
              <w:t>12.4</w:t>
            </w:r>
          </w:p>
        </w:tc>
        <w:tc>
          <w:tcPr>
            <w:tcW w:type="dxa" w:w="756"/>
          </w:tcPr>
          <w:p>
            <w:r>
              <w:rPr>
                <w:rFonts w:ascii="Arial" w:hAnsi="Arial"/>
                <w:b w:val="0"/>
                <w:i w:val="0"/>
                <w:color w:val="000000"/>
                <w:sz w:val="20"/>
              </w:rPr>
              <w:t>5.9</w:t>
            </w:r>
          </w:p>
        </w:tc>
        <w:tc>
          <w:tcPr>
            <w:tcW w:type="dxa" w:w="756"/>
          </w:tcPr>
          <w:p>
            <w:r>
              <w:rPr>
                <w:rFonts w:ascii="Arial" w:hAnsi="Arial"/>
                <w:b w:val="0"/>
                <w:i w:val="0"/>
                <w:color w:val="000000"/>
                <w:sz w:val="20"/>
              </w:rPr>
              <w:t>5.0</w:t>
            </w:r>
          </w:p>
        </w:tc>
        <w:tc>
          <w:tcPr>
            <w:tcW w:type="dxa" w:w="756"/>
          </w:tcPr>
          <w:p>
            <w:r>
              <w:rPr>
                <w:rFonts w:ascii="Arial" w:hAnsi="Arial"/>
                <w:b w:val="0"/>
                <w:i w:val="0"/>
                <w:color w:val="000000"/>
                <w:sz w:val="20"/>
              </w:rPr>
              <w:t>8.1</w:t>
            </w:r>
          </w:p>
        </w:tc>
        <w:tc>
          <w:tcPr>
            <w:tcW w:type="dxa" w:w="756"/>
          </w:tcPr>
          <w:p>
            <w:r>
              <w:rPr>
                <w:rFonts w:ascii="Arial" w:hAnsi="Arial"/>
                <w:b w:val="0"/>
                <w:i w:val="0"/>
                <w:color w:val="000000"/>
                <w:sz w:val="20"/>
              </w:rPr>
              <w:t>6.5</w:t>
            </w:r>
          </w:p>
        </w:tc>
        <w:tc>
          <w:tcPr>
            <w:tcW w:type="dxa" w:w="756"/>
          </w:tcPr>
          <w:p>
            <w:r>
              <w:rPr>
                <w:rFonts w:ascii="Arial" w:hAnsi="Arial"/>
                <w:b w:val="0"/>
                <w:i w:val="0"/>
                <w:color w:val="000000"/>
                <w:sz w:val="20"/>
              </w:rPr>
              <w:t>4.7</w:t>
            </w:r>
          </w:p>
        </w:tc>
        <w:tc>
          <w:tcPr>
            <w:tcW w:type="dxa" w:w="756"/>
          </w:tcPr>
          <w:p>
            <w:r>
              <w:rPr>
                <w:rFonts w:ascii="Arial" w:hAnsi="Arial"/>
                <w:b w:val="0"/>
                <w:i w:val="0"/>
                <w:color w:val="000000"/>
                <w:sz w:val="20"/>
              </w:rPr>
              <w:t>7.3</w:t>
            </w:r>
          </w:p>
        </w:tc>
        <w:tc>
          <w:tcPr>
            <w:tcW w:type="dxa" w:w="756"/>
          </w:tcPr>
          <w:p>
            <w:r>
              <w:rPr>
                <w:rFonts w:ascii="Arial" w:hAnsi="Arial"/>
                <w:b w:val="0"/>
                <w:i w:val="0"/>
                <w:color w:val="000000"/>
                <w:sz w:val="20"/>
              </w:rPr>
              <w:t>6.9</w:t>
            </w:r>
          </w:p>
        </w:tc>
        <w:tc>
          <w:tcPr>
            <w:tcW w:type="dxa" w:w="756"/>
          </w:tcPr>
          <w:p>
            <w:r>
              <w:rPr>
                <w:rFonts w:ascii="Arial" w:hAnsi="Arial"/>
                <w:b w:val="0"/>
                <w:i w:val="0"/>
                <w:color w:val="000000"/>
                <w:sz w:val="20"/>
              </w:rPr>
              <w:t>6.2</w:t>
            </w:r>
          </w:p>
        </w:tc>
        <w:tc>
          <w:tcPr>
            <w:tcW w:type="dxa" w:w="756"/>
          </w:tcPr>
          <w:p>
            <w:r>
              <w:rPr>
                <w:rFonts w:ascii="Arial" w:hAnsi="Arial"/>
                <w:b w:val="0"/>
                <w:i w:val="0"/>
                <w:color w:val="000000"/>
                <w:sz w:val="20"/>
              </w:rPr>
              <w:t>76.8</w:t>
            </w:r>
          </w:p>
        </w:tc>
      </w:tr>
      <w:tr>
        <w:tc>
          <w:tcPr>
            <w:tcW w:type="dxa" w:w="756"/>
          </w:tcPr>
          <w:p>
            <w:r>
              <w:rPr>
                <w:rFonts w:ascii="Arial" w:hAnsi="Arial"/>
                <w:b w:val="0"/>
                <w:i w:val="0"/>
                <w:color w:val="000000"/>
                <w:sz w:val="20"/>
              </w:rPr>
              <w:t>VOC</w:t>
            </w:r>
          </w:p>
        </w:tc>
        <w:tc>
          <w:tcPr>
            <w:tcW w:type="dxa" w:w="756"/>
          </w:tcPr>
          <w:p>
            <w:r>
              <w:rPr>
                <w:rFonts w:ascii="Arial" w:hAnsi="Arial"/>
                <w:b w:val="0"/>
                <w:i w:val="0"/>
                <w:color w:val="000000"/>
                <w:sz w:val="20"/>
              </w:rPr>
              <w:t>35</w:t>
            </w:r>
          </w:p>
        </w:tc>
        <w:tc>
          <w:tcPr>
            <w:tcW w:type="dxa" w:w="756"/>
          </w:tcPr>
          <w:p>
            <w:r>
              <w:rPr>
                <w:rFonts w:ascii="Arial" w:hAnsi="Arial"/>
                <w:b w:val="0"/>
                <w:i w:val="0"/>
                <w:color w:val="000000"/>
                <w:sz w:val="20"/>
              </w:rPr>
              <w:t>31</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12</w:t>
            </w:r>
          </w:p>
        </w:tc>
        <w:tc>
          <w:tcPr>
            <w:tcW w:type="dxa" w:w="756"/>
          </w:tcPr>
          <w:p>
            <w:r>
              <w:rPr>
                <w:rFonts w:ascii="Arial" w:hAnsi="Arial"/>
                <w:b w:val="0"/>
                <w:i w:val="0"/>
                <w:color w:val="000000"/>
                <w:sz w:val="20"/>
              </w:rPr>
              <w:t>20</w:t>
            </w:r>
          </w:p>
        </w:tc>
        <w:tc>
          <w:tcPr>
            <w:tcW w:type="dxa" w:w="756"/>
          </w:tcPr>
          <w:p>
            <w:r>
              <w:rPr>
                <w:rFonts w:ascii="Arial" w:hAnsi="Arial"/>
                <w:b w:val="0"/>
                <w:i w:val="0"/>
                <w:color w:val="000000"/>
                <w:sz w:val="20"/>
              </w:rPr>
              <w:t>16</w:t>
            </w:r>
          </w:p>
        </w:tc>
        <w:tc>
          <w:tcPr>
            <w:tcW w:type="dxa" w:w="756"/>
          </w:tcPr>
          <w:p>
            <w:r>
              <w:rPr>
                <w:rFonts w:ascii="Arial" w:hAnsi="Arial"/>
                <w:b w:val="0"/>
                <w:i w:val="0"/>
                <w:color w:val="000000"/>
                <w:sz w:val="20"/>
              </w:rPr>
              <w:t>11</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17</w:t>
            </w:r>
          </w:p>
        </w:tc>
        <w:tc>
          <w:tcPr>
            <w:tcW w:type="dxa" w:w="756"/>
          </w:tcPr>
          <w:p>
            <w:r>
              <w:rPr>
                <w:rFonts w:ascii="Arial" w:hAnsi="Arial"/>
                <w:b w:val="0"/>
                <w:i w:val="0"/>
                <w:color w:val="000000"/>
                <w:sz w:val="20"/>
              </w:rPr>
              <w:t>15</w:t>
            </w:r>
          </w:p>
        </w:tc>
        <w:tc>
          <w:tcPr>
            <w:tcW w:type="dxa" w:w="756"/>
          </w:tcPr>
          <w:p>
            <w:r>
              <w:rPr>
                <w:rFonts w:ascii="Arial" w:hAnsi="Arial"/>
                <w:b w:val="0"/>
                <w:i w:val="0"/>
                <w:color w:val="000000"/>
                <w:sz w:val="20"/>
              </w:rPr>
              <w:t>189</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288.8</w:t>
            </w:r>
          </w:p>
        </w:tc>
        <w:tc>
          <w:tcPr>
            <w:tcW w:type="dxa" w:w="756"/>
            <w:shd w:val="clear" w:color="auto" w:fill="F3F3F3"/>
          </w:tcPr>
          <w:p>
            <w:r>
              <w:rPr>
                <w:rFonts w:ascii="Arial" w:hAnsi="Arial"/>
                <w:b/>
                <w:i w:val="0"/>
                <w:color w:val="000000"/>
                <w:sz w:val="20"/>
              </w:rPr>
              <w:t>255.4</w:t>
            </w:r>
          </w:p>
        </w:tc>
        <w:tc>
          <w:tcPr>
            <w:tcW w:type="dxa" w:w="756"/>
            <w:shd w:val="clear" w:color="auto" w:fill="F3F3F3"/>
          </w:tcPr>
          <w:p>
            <w:r>
              <w:rPr>
                <w:rFonts w:ascii="Arial" w:hAnsi="Arial"/>
                <w:b/>
                <w:i w:val="0"/>
                <w:color w:val="000000"/>
                <w:sz w:val="20"/>
              </w:rPr>
              <w:t>125.9</w:t>
            </w:r>
          </w:p>
        </w:tc>
        <w:tc>
          <w:tcPr>
            <w:tcW w:type="dxa" w:w="756"/>
            <w:shd w:val="clear" w:color="auto" w:fill="F3F3F3"/>
          </w:tcPr>
          <w:p>
            <w:r>
              <w:rPr>
                <w:rFonts w:ascii="Arial" w:hAnsi="Arial"/>
                <w:b/>
                <w:i w:val="0"/>
                <w:color w:val="000000"/>
                <w:sz w:val="20"/>
              </w:rPr>
              <w:t>108.0</w:t>
            </w:r>
          </w:p>
        </w:tc>
        <w:tc>
          <w:tcPr>
            <w:tcW w:type="dxa" w:w="756"/>
            <w:shd w:val="clear" w:color="auto" w:fill="F3F3F3"/>
          </w:tcPr>
          <w:p>
            <w:r>
              <w:rPr>
                <w:rFonts w:ascii="Arial" w:hAnsi="Arial"/>
                <w:b/>
                <w:i w:val="0"/>
                <w:color w:val="000000"/>
                <w:sz w:val="20"/>
              </w:rPr>
              <w:t>173.1</w:t>
            </w:r>
          </w:p>
        </w:tc>
        <w:tc>
          <w:tcPr>
            <w:tcW w:type="dxa" w:w="756"/>
            <w:shd w:val="clear" w:color="auto" w:fill="F3F3F3"/>
          </w:tcPr>
          <w:p>
            <w:r>
              <w:rPr>
                <w:rFonts w:ascii="Arial" w:hAnsi="Arial"/>
                <w:b/>
                <w:i w:val="0"/>
                <w:color w:val="000000"/>
                <w:sz w:val="20"/>
              </w:rPr>
              <w:t>135.5</w:t>
            </w:r>
          </w:p>
        </w:tc>
        <w:tc>
          <w:tcPr>
            <w:tcW w:type="dxa" w:w="756"/>
            <w:shd w:val="clear" w:color="auto" w:fill="F3F3F3"/>
          </w:tcPr>
          <w:p>
            <w:r>
              <w:rPr>
                <w:rFonts w:ascii="Arial" w:hAnsi="Arial"/>
                <w:b/>
                <w:i w:val="0"/>
                <w:color w:val="000000"/>
                <w:sz w:val="20"/>
              </w:rPr>
              <w:t>100.7</w:t>
            </w:r>
          </w:p>
        </w:tc>
        <w:tc>
          <w:tcPr>
            <w:tcW w:type="dxa" w:w="756"/>
            <w:shd w:val="clear" w:color="auto" w:fill="F3F3F3"/>
          </w:tcPr>
          <w:p>
            <w:r>
              <w:rPr>
                <w:rFonts w:ascii="Arial" w:hAnsi="Arial"/>
                <w:b/>
                <w:i w:val="0"/>
                <w:color w:val="000000"/>
                <w:sz w:val="20"/>
              </w:rPr>
              <w:t>156.3</w:t>
            </w:r>
          </w:p>
        </w:tc>
        <w:tc>
          <w:tcPr>
            <w:tcW w:type="dxa" w:w="756"/>
            <w:shd w:val="clear" w:color="auto" w:fill="F3F3F3"/>
          </w:tcPr>
          <w:p>
            <w:r>
              <w:rPr>
                <w:rFonts w:ascii="Arial" w:hAnsi="Arial"/>
                <w:b/>
                <w:i w:val="0"/>
                <w:color w:val="000000"/>
                <w:sz w:val="20"/>
              </w:rPr>
              <w:t>145.9</w:t>
            </w:r>
          </w:p>
        </w:tc>
        <w:tc>
          <w:tcPr>
            <w:tcW w:type="dxa" w:w="756"/>
            <w:shd w:val="clear" w:color="auto" w:fill="F3F3F3"/>
          </w:tcPr>
          <w:p>
            <w:r>
              <w:rPr>
                <w:rFonts w:ascii="Arial" w:hAnsi="Arial"/>
                <w:b/>
                <w:i w:val="0"/>
                <w:color w:val="000000"/>
                <w:sz w:val="20"/>
              </w:rPr>
              <w:t>128.2</w:t>
            </w:r>
          </w:p>
        </w:tc>
        <w:tc>
          <w:tcPr>
            <w:tcW w:type="dxa" w:w="756"/>
            <w:shd w:val="clear" w:color="auto" w:fill="F3F3F3"/>
          </w:tcPr>
          <w:p>
            <w:r>
              <w:rPr>
                <w:rFonts w:ascii="Arial" w:hAnsi="Arial"/>
                <w:b/>
                <w:i w:val="0"/>
                <w:color w:val="000000"/>
                <w:sz w:val="20"/>
              </w:rPr>
              <w:t>1,617.8</w:t>
            </w:r>
          </w:p>
        </w:tc>
      </w:tr>
    </w:tbl>
    <w:p>
      <w:r>
        <w:rPr>
          <w:rFonts w:ascii="Arial" w:hAnsi="Arial"/>
          <w:b w:val="0"/>
          <w:i w:val="0"/>
          <w:color w:val="000000"/>
          <w:sz w:val="22"/>
        </w:rPr>
        <w:t>No other site locations outside those listed generated material air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5.3.5.6  Quantify Microplastics Generated and Used — Air Context</w:t>
      </w:r>
    </w:p>
    <w:p>
      <w:r>
        <w:rPr>
          <w:rFonts w:ascii="Arial" w:hAnsi="Arial"/>
          <w:b/>
          <w:i w:val="0"/>
          <w:color w:val="000000"/>
          <w:sz w:val="20"/>
        </w:rPr>
        <w:t>Table 5.3.5.6 — Microplastics Generated and Used (Air-Related Operations)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E2-4-AR-20-(b)</w:t>
      </w:r>
      <w:r>
        <w:rPr>
          <w:rFonts w:ascii="Arial" w:hAnsi="Arial"/>
          <w:b w:val="0"/>
          <w:i w:val="0"/>
          <w:color w:val="000000"/>
          <w:sz w:val="18"/>
        </w:rPr>
        <w:t>]</w:t>
      </w:r>
    </w:p>
    <w:tbl>
      <w:tblPr>
        <w:tblStyle w:val="TableGrid"/>
        <w:tblW w:type="auto" w:w="0"/>
        <w:tblLook w:firstColumn="1" w:firstRow="1" w:lastColumn="0" w:lastRow="0" w:noHBand="0" w:noVBand="1" w:val="04A0"/>
      </w:tblPr>
      <w:tblGrid>
        <w:gridCol w:w="4536"/>
        <w:gridCol w:w="4536"/>
      </w:tblGrid>
      <w:tr>
        <w:tc>
          <w:tcPr>
            <w:tcW w:type="dxa" w:w="4536"/>
            <w:shd w:val="clear" w:color="auto" w:fill="D9D9D9"/>
          </w:tcPr>
          <w:p>
            <w:r>
              <w:rPr>
                <w:rFonts w:ascii="Arial" w:hAnsi="Arial"/>
                <w:b/>
                <w:i w:val="0"/>
                <w:color w:val="000000"/>
                <w:sz w:val="20"/>
              </w:rPr>
              <w:t>Microplastics KPI</w:t>
            </w:r>
          </w:p>
        </w:tc>
        <w:tc>
          <w:tcPr>
            <w:tcW w:type="dxa" w:w="4536"/>
            <w:shd w:val="clear" w:color="auto" w:fill="D9D9D9"/>
          </w:tcPr>
          <w:p>
            <w:r>
              <w:rPr>
                <w:rFonts w:ascii="Arial" w:hAnsi="Arial"/>
                <w:b/>
                <w:i w:val="0"/>
                <w:color w:val="000000"/>
                <w:sz w:val="20"/>
              </w:rPr>
              <w:t>FY 2025 Data</w:t>
            </w:r>
          </w:p>
        </w:tc>
      </w:tr>
      <w:tr>
        <w:tc>
          <w:tcPr>
            <w:tcW w:type="dxa" w:w="4536"/>
          </w:tcPr>
          <w:p>
            <w:r>
              <w:rPr>
                <w:rFonts w:ascii="Arial" w:hAnsi="Arial"/>
                <w:b w:val="0"/>
                <w:i w:val="0"/>
                <w:color w:val="000000"/>
                <w:sz w:val="20"/>
              </w:rPr>
              <w:t>Microplastics Generated</w:t>
            </w:r>
          </w:p>
        </w:tc>
        <w:tc>
          <w:tcPr>
            <w:tcW w:type="dxa" w:w="4536"/>
          </w:tcPr>
          <w:p>
            <w:r>
              <w:rPr>
                <w:rFonts w:ascii="Arial" w:hAnsi="Arial"/>
                <w:b w:val="0"/>
                <w:i w:val="0"/>
                <w:color w:val="000000"/>
                <w:sz w:val="20"/>
              </w:rPr>
              <w:t>12,840 kg</w:t>
            </w:r>
          </w:p>
        </w:tc>
      </w:tr>
      <w:tr>
        <w:tc>
          <w:tcPr>
            <w:tcW w:type="dxa" w:w="4536"/>
          </w:tcPr>
          <w:p>
            <w:r>
              <w:rPr>
                <w:rFonts w:ascii="Arial" w:hAnsi="Arial"/>
                <w:b w:val="0"/>
                <w:i w:val="0"/>
                <w:color w:val="000000"/>
                <w:sz w:val="20"/>
              </w:rPr>
              <w:t>Microplastics Used</w:t>
            </w:r>
          </w:p>
        </w:tc>
        <w:tc>
          <w:tcPr>
            <w:tcW w:type="dxa" w:w="4536"/>
          </w:tcPr>
          <w:p>
            <w:r>
              <w:rPr>
                <w:rFonts w:ascii="Arial" w:hAnsi="Arial"/>
                <w:b w:val="0"/>
                <w:i w:val="0"/>
                <w:color w:val="000000"/>
                <w:sz w:val="20"/>
              </w:rPr>
              <w:t>4.7 metric tonnes</w:t>
            </w:r>
          </w:p>
        </w:tc>
      </w:tr>
    </w:tbl>
    <w:p>
      <w:pPr>
        <w:pStyle w:val="Heading3"/>
      </w:pPr>
      <w:r>
        <w:rPr>
          <w:rFonts w:ascii="Arial" w:hAnsi="Arial"/>
          <w:b/>
          <w:i w:val="0"/>
          <w:color w:val="000000"/>
          <w:sz w:val="22"/>
        </w:rPr>
        <w:t>5.3.5.7  Explain Description of Changes Over Time — Pollution of Air</w:t>
      </w:r>
    </w:p>
    <w:p>
      <w:r>
        <w:rPr>
          <w:rFonts w:ascii="Arial" w:hAnsi="Arial"/>
          <w:b w:val="0"/>
          <w:i w:val="0"/>
          <w:color w:val="000000"/>
          <w:sz w:val="22"/>
        </w:rPr>
        <w:t>Air emission performance improved across all pollutant categories during FY 2025 relative to FY 2024. NOx emissions declined by 8.4% year-on-year to 1,141.0 metric tonnes; SOx declined by 11.2% to 343.9 metric tonnes; and PM10 declined by 6.7% to 86.4 metric tonnes. VOC emissions declined by 6.6% to 218.6 metric tonnes. These improvements reflect the progressive deployment of abatement technology upgrades initiated in FY 2023 and the full-year effect of process optimisation measures at Sites 1 and 3. All air emission trends are consistent with the Company's FY 2030 reduction targets.</w:t>
      </w:r>
      <w:r>
        <w:rPr>
          <w:rFonts w:ascii="Arial" w:hAnsi="Arial"/>
          <w:b w:val="0"/>
          <w:i w:val="0"/>
          <w:color w:val="000000"/>
          <w:sz w:val="18"/>
        </w:rPr>
        <w:t xml:space="preserve"> [</w:t>
      </w:r>
      <w:r>
        <w:rPr>
          <w:rFonts w:ascii="Arial" w:hAnsi="Arial"/>
          <w:b w:val="0"/>
          <w:i w:val="0"/>
          <w:color w:val="00B050"/>
          <w:sz w:val="18"/>
        </w:rPr>
        <w:t>ESRS E2-4-30-(a)</w:t>
      </w:r>
      <w:r>
        <w:rPr>
          <w:rFonts w:ascii="Arial" w:hAnsi="Arial"/>
          <w:b w:val="0"/>
          <w:i w:val="0"/>
          <w:color w:val="000000"/>
          <w:sz w:val="18"/>
        </w:rPr>
        <w:t>]</w:t>
      </w:r>
    </w:p>
    <w:p>
      <w:pPr>
        <w:pStyle w:val="Heading3"/>
      </w:pPr>
      <w:r>
        <w:rPr>
          <w:rFonts w:ascii="Arial" w:hAnsi="Arial"/>
          <w:b/>
          <w:i w:val="0"/>
          <w:color w:val="000000"/>
          <w:sz w:val="22"/>
        </w:rPr>
        <w:t>5.3.5.8  Explain Description of Measurement Methodologies — Pollution of Air</w:t>
      </w:r>
    </w:p>
    <w:p>
      <w:r>
        <w:rPr>
          <w:rFonts w:ascii="Arial" w:hAnsi="Arial"/>
          <w:b w:val="0"/>
          <w:i w:val="0"/>
          <w:color w:val="000000"/>
          <w:sz w:val="22"/>
        </w:rPr>
        <w:t>Air emissions are quantified using a combination of direct continuous emission monitoring systems (CEMS), periodic stack testing, mass balance methodologies, and emission factor-based calculations, applied in accordance with the hierarchy of measurement approaches specified in applicable EU BAT Conclusions and IED permit conditions. All IED-regulated installations use CEMS as the primary measurement approach. Non-IED facilities apply mass balance and emission factor methodologies appropriate to the emission source type and substance involved.</w:t>
      </w:r>
      <w:r>
        <w:rPr>
          <w:rFonts w:ascii="Arial" w:hAnsi="Arial"/>
          <w:b w:val="0"/>
          <w:i w:val="0"/>
          <w:color w:val="000000"/>
          <w:sz w:val="18"/>
        </w:rPr>
        <w:t xml:space="preserve"> [</w:t>
      </w:r>
      <w:r>
        <w:rPr>
          <w:rFonts w:ascii="Arial" w:hAnsi="Arial"/>
          <w:b w:val="0"/>
          <w:i w:val="0"/>
          <w:color w:val="00B050"/>
          <w:sz w:val="18"/>
        </w:rPr>
        <w:t>ESRS E2-4-30-(b)</w:t>
      </w:r>
      <w:r>
        <w:rPr>
          <w:rFonts w:ascii="Arial" w:hAnsi="Arial"/>
          <w:b w:val="0"/>
          <w:i w:val="0"/>
          <w:color w:val="000000"/>
          <w:sz w:val="18"/>
        </w:rPr>
        <w:t>]</w:t>
      </w:r>
    </w:p>
    <w:p>
      <w:pPr>
        <w:pStyle w:val="Heading3"/>
      </w:pPr>
      <w:r>
        <w:rPr>
          <w:rFonts w:ascii="Arial" w:hAnsi="Arial"/>
          <w:b/>
          <w:i w:val="0"/>
          <w:color w:val="000000"/>
          <w:sz w:val="22"/>
        </w:rPr>
        <w:t>5.3.5.9  Explain Description of Data Collection Processes for Air Pollution Accounting and Reporting</w:t>
      </w:r>
    </w:p>
    <w:p>
      <w:r>
        <w:rPr>
          <w:rFonts w:ascii="Arial" w:hAnsi="Arial"/>
          <w:b w:val="0"/>
          <w:i w:val="0"/>
          <w:color w:val="000000"/>
          <w:sz w:val="22"/>
        </w:rPr>
        <w:t>Air pollution data collection is managed through the Company's centralised Environmental Management Information System (EMIS), which aggregates site-level monitoring data, CEMS outputs, meter readings, process data inputs, and laboratory analysis results on a continuous basis. Data quality controls include automated range-check validation, manual verification by site environmental officers, and annual third-party data assurance reviews. Where measurement gaps occur, conservative estimation procedures are applied in accordance with documented data gap-filling protocols.</w:t>
      </w:r>
      <w:r>
        <w:rPr>
          <w:rFonts w:ascii="Arial" w:hAnsi="Arial"/>
          <w:b w:val="0"/>
          <w:i w:val="0"/>
          <w:color w:val="000000"/>
          <w:sz w:val="18"/>
        </w:rPr>
        <w:t xml:space="preserve"> [</w:t>
      </w:r>
      <w:r>
        <w:rPr>
          <w:rFonts w:ascii="Arial" w:hAnsi="Arial"/>
          <w:b w:val="0"/>
          <w:i w:val="0"/>
          <w:color w:val="00B050"/>
          <w:sz w:val="18"/>
        </w:rPr>
        <w:t>ESRS E2-4-30-(c)</w:t>
      </w:r>
      <w:r>
        <w:rPr>
          <w:rFonts w:ascii="Arial" w:hAnsi="Arial"/>
          <w:b w:val="0"/>
          <w:i w:val="0"/>
          <w:color w:val="000000"/>
          <w:sz w:val="18"/>
        </w:rPr>
        <w:t>]</w:t>
      </w:r>
    </w:p>
    <w:p>
      <w:pPr>
        <w:pStyle w:val="Heading3"/>
      </w:pPr>
      <w:r>
        <w:rPr>
          <w:rFonts w:ascii="Arial" w:hAnsi="Arial"/>
          <w:b/>
          <w:i w:val="0"/>
          <w:color w:val="000000"/>
          <w:sz w:val="22"/>
        </w:rPr>
        <w:t>5.3.5.10  Disclose Inferior Methodology for Quantifying Air Emissions — Applicability and Disclosure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Inferior methodology compared to direct measurement chosen to quantify air emissions</w:t>
            </w:r>
          </w:p>
        </w:tc>
        <w:tc>
          <w:tcPr>
            <w:tcW w:type="dxa" w:w="3024"/>
          </w:tcPr>
          <w:p>
            <w:r>
              <w:rPr>
                <w:rFonts w:ascii="Arial" w:hAnsi="Arial"/>
                <w:b w:val="0"/>
                <w:i w:val="0"/>
                <w:color w:val="00B050"/>
                <w:sz w:val="18"/>
              </w:rPr>
              <w:t>ESRS E2-4-31-(c)</w:t>
            </w:r>
          </w:p>
        </w:tc>
        <w:tc>
          <w:tcPr>
            <w:tcW w:type="dxa" w:w="3024"/>
          </w:tcPr>
          <w:p>
            <w:r>
              <w:rPr>
                <w:rFonts w:ascii="Arial" w:hAnsi="Arial"/>
                <w:b w:val="0"/>
                <w:i w:val="0"/>
                <w:color w:val="000000"/>
                <w:sz w:val="20"/>
              </w:rPr>
              <w:t>No. All air emission quantification is based on direct measurement via CEMS or recognised mass balance and emission factor calculation standards.</w:t>
            </w:r>
          </w:p>
        </w:tc>
      </w:tr>
    </w:tbl>
    <w:p>
      <w:r>
        <w:rPr>
          <w:rFonts w:ascii="Arial" w:hAnsi="Arial"/>
          <w:b w:val="0"/>
          <w:i w:val="0"/>
          <w:color w:val="000000"/>
          <w:sz w:val="22"/>
        </w:rPr>
        <w:t>No inferior methodology compared to direct measurement was chosen to quantify air emissions during FY 2025. In the absence of any deviation from primary methodologies, no disclosure of reasons for choosing an inferior methodology is required for this reporting period.</w:t>
      </w:r>
      <w:r>
        <w:rPr>
          <w:rFonts w:ascii="Arial" w:hAnsi="Arial"/>
          <w:b w:val="0"/>
          <w:i w:val="0"/>
          <w:color w:val="000000"/>
          <w:sz w:val="18"/>
        </w:rPr>
        <w:t xml:space="preserve"> [</w:t>
      </w:r>
      <w:r>
        <w:rPr>
          <w:rFonts w:ascii="Arial" w:hAnsi="Arial"/>
          <w:b w:val="0"/>
          <w:i w:val="0"/>
          <w:color w:val="00B050"/>
          <w:sz w:val="18"/>
        </w:rPr>
        <w:t>ESRS E2-4-31-(c)</w:t>
      </w:r>
      <w:r>
        <w:rPr>
          <w:rFonts w:ascii="Arial" w:hAnsi="Arial"/>
          <w:b w:val="0"/>
          <w:i w:val="0"/>
          <w:color w:val="000000"/>
          <w:sz w:val="18"/>
        </w:rPr>
        <w:t>]</w:t>
      </w:r>
    </w:p>
    <w:p>
      <w:pPr>
        <w:pStyle w:val="Heading2"/>
      </w:pPr>
      <w:r>
        <w:rPr>
          <w:rFonts w:ascii="Arial" w:hAnsi="Arial"/>
          <w:b/>
          <w:i w:val="0"/>
          <w:color w:val="000000"/>
          <w:sz w:val="26"/>
        </w:rPr>
        <w:t>5.3.6  Pollution of Water</w:t>
      </w:r>
    </w:p>
    <w:p>
      <w:r>
        <w:rPr>
          <w:rFonts w:ascii="Arial" w:hAnsi="Arial"/>
          <w:b w:val="0"/>
          <w:i w:val="0"/>
          <w:color w:val="00B050"/>
          <w:sz w:val="18"/>
        </w:rPr>
        <w:t>ESRS E2-4</w:t>
      </w:r>
      <w:r>
        <w:rPr>
          <w:rFonts w:ascii="Arial" w:hAnsi="Arial"/>
          <w:b w:val="0"/>
          <w:i w:val="0"/>
          <w:color w:val="000000"/>
          <w:sz w:val="18"/>
        </w:rPr>
        <w:t xml:space="preserve"> |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ESRS E2-4-AR-20</w:t>
      </w:r>
      <w:r>
        <w:rPr>
          <w:rFonts w:ascii="Arial" w:hAnsi="Arial"/>
          <w:b w:val="0"/>
          <w:i w:val="0"/>
          <w:color w:val="000000"/>
          <w:sz w:val="18"/>
        </w:rPr>
        <w:t xml:space="preserve"> | </w:t>
      </w:r>
      <w:r>
        <w:rPr>
          <w:rFonts w:ascii="Arial" w:hAnsi="Arial"/>
          <w:b w:val="0"/>
          <w:i w:val="0"/>
          <w:color w:val="00B050"/>
          <w:sz w:val="18"/>
        </w:rPr>
        <w:t>ESRS E2-4-AR-22</w:t>
      </w:r>
      <w:r>
        <w:rPr>
          <w:rFonts w:ascii="Arial" w:hAnsi="Arial"/>
          <w:b w:val="0"/>
          <w:i w:val="0"/>
          <w:color w:val="000000"/>
          <w:sz w:val="18"/>
        </w:rPr>
        <w:t xml:space="preserve"> | </w:t>
      </w:r>
      <w:r>
        <w:rPr>
          <w:rFonts w:ascii="Arial" w:hAnsi="Arial"/>
          <w:b w:val="0"/>
          <w:i w:val="0"/>
          <w:color w:val="00B050"/>
          <w:sz w:val="18"/>
        </w:rPr>
        <w:t>ESRS E2-4-AR-23-(c)</w:t>
      </w:r>
      <w:r>
        <w:rPr>
          <w:rFonts w:ascii="Arial" w:hAnsi="Arial"/>
          <w:b w:val="0"/>
          <w:i w:val="0"/>
          <w:color w:val="000000"/>
          <w:sz w:val="18"/>
        </w:rPr>
        <w:t xml:space="preserve"> | </w:t>
      </w:r>
      <w:r>
        <w:rPr>
          <w:rFonts w:ascii="Arial" w:hAnsi="Arial"/>
          <w:b w:val="0"/>
          <w:i w:val="0"/>
          <w:color w:val="00B050"/>
          <w:sz w:val="18"/>
        </w:rPr>
        <w:t>ESRS E2-4-30</w:t>
      </w:r>
      <w:r>
        <w:rPr>
          <w:rFonts w:ascii="Arial" w:hAnsi="Arial"/>
          <w:b w:val="0"/>
          <w:i w:val="0"/>
          <w:color w:val="000000"/>
          <w:sz w:val="18"/>
        </w:rPr>
        <w:t xml:space="preserve"> | </w:t>
      </w:r>
      <w:r>
        <w:rPr>
          <w:rFonts w:ascii="Arial" w:hAnsi="Arial"/>
          <w:b w:val="0"/>
          <w:i w:val="0"/>
          <w:color w:val="00B050"/>
          <w:sz w:val="18"/>
        </w:rPr>
        <w:t>ESRS E2-4-31</w:t>
      </w:r>
    </w:p>
    <w:p>
      <w:pPr>
        <w:pStyle w:val="Heading3"/>
      </w:pPr>
      <w:r>
        <w:rPr>
          <w:rFonts w:ascii="Arial" w:hAnsi="Arial"/>
          <w:b/>
          <w:i w:val="0"/>
          <w:color w:val="000000"/>
          <w:sz w:val="22"/>
        </w:rPr>
        <w:t>5.3.6.1  Quantify Emissions to Water by Pollutant — Summary</w:t>
      </w:r>
    </w:p>
    <w:p>
      <w:r>
        <w:rPr>
          <w:rFonts w:ascii="Arial" w:hAnsi="Arial"/>
          <w:b/>
          <w:i w:val="0"/>
          <w:color w:val="000000"/>
          <w:sz w:val="20"/>
        </w:rPr>
        <w:t>Table 5.3.6.1 — Emissions to Water by Pollutant (FY 2024 vs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(metric tonnes)</w:t>
            </w:r>
          </w:p>
        </w:tc>
        <w:tc>
          <w:tcPr>
            <w:tcW w:type="dxa" w:w="3024"/>
            <w:shd w:val="clear" w:color="auto" w:fill="D9D9D9"/>
          </w:tcPr>
          <w:p>
            <w:r>
              <w:rPr>
                <w:rFonts w:ascii="Arial" w:hAnsi="Arial"/>
                <w:b/>
                <w:i w:val="0"/>
                <w:color w:val="000000"/>
                <w:sz w:val="20"/>
              </w:rPr>
              <w:t>FY 2025 (metric tonnes)</w:t>
            </w:r>
          </w:p>
        </w:tc>
      </w:tr>
      <w:tr>
        <w:tc>
          <w:tcPr>
            <w:tcW w:type="dxa" w:w="3024"/>
            <w:shd w:val="clear" w:color="auto" w:fill="F3F3F3"/>
          </w:tcPr>
          <w:p>
            <w:r>
              <w:rPr>
                <w:rFonts w:ascii="Arial" w:hAnsi="Arial"/>
                <w:b/>
                <w:i w:val="0"/>
                <w:color w:val="000000"/>
                <w:sz w:val="20"/>
              </w:rPr>
              <w:t>Total Suspended Solids (TSS)</w:t>
            </w:r>
          </w:p>
        </w:tc>
        <w:tc>
          <w:tcPr>
            <w:tcW w:type="dxa" w:w="3024"/>
            <w:shd w:val="clear" w:color="auto" w:fill="F3F3F3"/>
          </w:tcPr>
          <w:p>
            <w:r>
              <w:rPr>
                <w:rFonts w:ascii="Arial" w:hAnsi="Arial"/>
                <w:b/>
                <w:i w:val="0"/>
                <w:color w:val="000000"/>
                <w:sz w:val="20"/>
              </w:rPr>
              <w:t>48.3</w:t>
            </w:r>
          </w:p>
        </w:tc>
        <w:tc>
          <w:tcPr>
            <w:tcW w:type="dxa" w:w="3024"/>
            <w:shd w:val="clear" w:color="auto" w:fill="F3F3F3"/>
          </w:tcPr>
          <w:p>
            <w:r>
              <w:rPr>
                <w:rFonts w:ascii="Arial" w:hAnsi="Arial"/>
                <w:b/>
                <w:i w:val="0"/>
                <w:color w:val="000000"/>
                <w:sz w:val="20"/>
              </w:rPr>
              <w:t>43.9</w:t>
            </w:r>
          </w:p>
        </w:tc>
      </w:tr>
      <w:tr>
        <w:tc>
          <w:tcPr>
            <w:tcW w:type="dxa" w:w="3024"/>
          </w:tcPr>
          <w:p>
            <w:r>
              <w:rPr>
                <w:rFonts w:ascii="Arial" w:hAnsi="Arial"/>
                <w:b w:val="0"/>
                <w:i w:val="0"/>
                <w:color w:val="000000"/>
                <w:sz w:val="20"/>
              </w:rPr>
              <w:t>Chemical Oxygen Demand (COD)</w:t>
            </w:r>
          </w:p>
        </w:tc>
        <w:tc>
          <w:tcPr>
            <w:tcW w:type="dxa" w:w="3024"/>
          </w:tcPr>
          <w:p>
            <w:r>
              <w:rPr>
                <w:rFonts w:ascii="Arial" w:hAnsi="Arial"/>
                <w:b w:val="0"/>
                <w:i w:val="0"/>
                <w:color w:val="000000"/>
                <w:sz w:val="20"/>
              </w:rPr>
              <w:t>234.6</w:t>
            </w:r>
          </w:p>
        </w:tc>
        <w:tc>
          <w:tcPr>
            <w:tcW w:type="dxa" w:w="3024"/>
          </w:tcPr>
          <w:p>
            <w:r>
              <w:rPr>
                <w:rFonts w:ascii="Arial" w:hAnsi="Arial"/>
                <w:b w:val="0"/>
                <w:i w:val="0"/>
                <w:color w:val="000000"/>
                <w:sz w:val="20"/>
              </w:rPr>
              <w:t>237.7</w:t>
            </w:r>
          </w:p>
        </w:tc>
      </w:tr>
      <w:tr>
        <w:tc>
          <w:tcPr>
            <w:tcW w:type="dxa" w:w="3024"/>
          </w:tcPr>
          <w:p>
            <w:r>
              <w:rPr>
                <w:rFonts w:ascii="Arial" w:hAnsi="Arial"/>
                <w:b w:val="0"/>
                <w:i w:val="0"/>
                <w:color w:val="000000"/>
                <w:sz w:val="20"/>
              </w:rPr>
              <w:t>Biochemical Oxygen Demand (BOD)</w:t>
            </w:r>
          </w:p>
        </w:tc>
        <w:tc>
          <w:tcPr>
            <w:tcW w:type="dxa" w:w="3024"/>
          </w:tcPr>
          <w:p>
            <w:r>
              <w:rPr>
                <w:rFonts w:ascii="Arial" w:hAnsi="Arial"/>
                <w:b w:val="0"/>
                <w:i w:val="0"/>
                <w:color w:val="000000"/>
                <w:sz w:val="20"/>
              </w:rPr>
              <w:t>78.4</w:t>
            </w:r>
          </w:p>
        </w:tc>
        <w:tc>
          <w:tcPr>
            <w:tcW w:type="dxa" w:w="3024"/>
          </w:tcPr>
          <w:p>
            <w:r>
              <w:rPr>
                <w:rFonts w:ascii="Arial" w:hAnsi="Arial"/>
                <w:b w:val="0"/>
                <w:i w:val="0"/>
                <w:color w:val="000000"/>
                <w:sz w:val="20"/>
              </w:rPr>
              <w:t>72.1</w:t>
            </w:r>
          </w:p>
        </w:tc>
      </w:tr>
      <w:tr>
        <w:tc>
          <w:tcPr>
            <w:tcW w:type="dxa" w:w="3024"/>
          </w:tcPr>
          <w:p>
            <w:r>
              <w:rPr>
                <w:rFonts w:ascii="Arial" w:hAnsi="Arial"/>
                <w:b w:val="0"/>
                <w:i w:val="0"/>
                <w:color w:val="000000"/>
                <w:sz w:val="20"/>
              </w:rPr>
              <w:t>Nitrates (NO3-N)</w:t>
            </w:r>
          </w:p>
        </w:tc>
        <w:tc>
          <w:tcPr>
            <w:tcW w:type="dxa" w:w="3024"/>
          </w:tcPr>
          <w:p>
            <w:r>
              <w:rPr>
                <w:rFonts w:ascii="Arial" w:hAnsi="Arial"/>
                <w:b w:val="0"/>
                <w:i w:val="0"/>
                <w:color w:val="000000"/>
                <w:sz w:val="20"/>
              </w:rPr>
              <w:t>14.2</w:t>
            </w:r>
          </w:p>
        </w:tc>
        <w:tc>
          <w:tcPr>
            <w:tcW w:type="dxa" w:w="3024"/>
          </w:tcPr>
          <w:p>
            <w:r>
              <w:rPr>
                <w:rFonts w:ascii="Arial" w:hAnsi="Arial"/>
                <w:b w:val="0"/>
                <w:i w:val="0"/>
                <w:color w:val="000000"/>
                <w:sz w:val="20"/>
              </w:rPr>
              <w:t>12.8</w:t>
            </w:r>
          </w:p>
        </w:tc>
      </w:tr>
      <w:tr>
        <w:tc>
          <w:tcPr>
            <w:tcW w:type="dxa" w:w="3024"/>
          </w:tcPr>
          <w:p>
            <w:r>
              <w:rPr>
                <w:rFonts w:ascii="Arial" w:hAnsi="Arial"/>
                <w:b w:val="0"/>
                <w:i w:val="0"/>
                <w:color w:val="000000"/>
                <w:sz w:val="20"/>
              </w:rPr>
              <w:t>Phosphorus (Total-P)</w:t>
            </w:r>
          </w:p>
        </w:tc>
        <w:tc>
          <w:tcPr>
            <w:tcW w:type="dxa" w:w="3024"/>
          </w:tcPr>
          <w:p>
            <w:r>
              <w:rPr>
                <w:rFonts w:ascii="Arial" w:hAnsi="Arial"/>
                <w:b w:val="0"/>
                <w:i w:val="0"/>
                <w:color w:val="000000"/>
                <w:sz w:val="20"/>
              </w:rPr>
              <w:t>3.6</w:t>
            </w:r>
          </w:p>
        </w:tc>
        <w:tc>
          <w:tcPr>
            <w:tcW w:type="dxa" w:w="3024"/>
          </w:tcPr>
          <w:p>
            <w:r>
              <w:rPr>
                <w:rFonts w:ascii="Arial" w:hAnsi="Arial"/>
                <w:b w:val="0"/>
                <w:i w:val="0"/>
                <w:color w:val="000000"/>
                <w:sz w:val="20"/>
              </w:rPr>
              <w:t>3.1</w:t>
            </w:r>
          </w:p>
        </w:tc>
      </w:tr>
      <w:tr>
        <w:tc>
          <w:tcPr>
            <w:tcW w:type="dxa" w:w="3024"/>
          </w:tcPr>
          <w:p>
            <w:r>
              <w:rPr>
                <w:rFonts w:ascii="Arial" w:hAnsi="Arial"/>
                <w:b w:val="0"/>
                <w:i w:val="0"/>
                <w:color w:val="000000"/>
                <w:sz w:val="20"/>
              </w:rPr>
              <w:t>Heavy Metals (total)</w:t>
            </w:r>
          </w:p>
        </w:tc>
        <w:tc>
          <w:tcPr>
            <w:tcW w:type="dxa" w:w="3024"/>
          </w:tcPr>
          <w:p>
            <w:r>
              <w:rPr>
                <w:rFonts w:ascii="Arial" w:hAnsi="Arial"/>
                <w:b w:val="0"/>
                <w:i w:val="0"/>
                <w:color w:val="000000"/>
                <w:sz w:val="20"/>
              </w:rPr>
              <w:t>0.87</w:t>
            </w:r>
          </w:p>
        </w:tc>
        <w:tc>
          <w:tcPr>
            <w:tcW w:type="dxa" w:w="3024"/>
          </w:tcPr>
          <w:p>
            <w:r>
              <w:rPr>
                <w:rFonts w:ascii="Arial" w:hAnsi="Arial"/>
                <w:b w:val="0"/>
                <w:i w:val="0"/>
                <w:color w:val="000000"/>
                <w:sz w:val="20"/>
              </w:rPr>
              <w:t>0.74</w:t>
            </w:r>
          </w:p>
        </w:tc>
      </w:tr>
      <w:tr>
        <w:tc>
          <w:tcPr>
            <w:tcW w:type="dxa" w:w="3024"/>
          </w:tcPr>
          <w:p>
            <w:r>
              <w:rPr>
                <w:rFonts w:ascii="Arial" w:hAnsi="Arial"/>
                <w:b w:val="0"/>
                <w:i w:val="0"/>
                <w:color w:val="000000"/>
                <w:sz w:val="20"/>
              </w:rPr>
              <w:t>Hydrocarbons (TPH)</w:t>
            </w:r>
          </w:p>
        </w:tc>
        <w:tc>
          <w:tcPr>
            <w:tcW w:type="dxa" w:w="3024"/>
          </w:tcPr>
          <w:p>
            <w:r>
              <w:rPr>
                <w:rFonts w:ascii="Arial" w:hAnsi="Arial"/>
                <w:b w:val="0"/>
                <w:i w:val="0"/>
                <w:color w:val="000000"/>
                <w:sz w:val="20"/>
              </w:rPr>
              <w:t>2.14</w:t>
            </w:r>
          </w:p>
        </w:tc>
        <w:tc>
          <w:tcPr>
            <w:tcW w:type="dxa" w:w="3024"/>
          </w:tcPr>
          <w:p>
            <w:r>
              <w:rPr>
                <w:rFonts w:ascii="Arial" w:hAnsi="Arial"/>
                <w:b w:val="0"/>
                <w:i w:val="0"/>
                <w:color w:val="000000"/>
                <w:sz w:val="20"/>
              </w:rPr>
              <w:t>1.89</w:t>
            </w:r>
          </w:p>
        </w:tc>
      </w:tr>
      <w:tr>
        <w:tc>
          <w:tcPr>
            <w:tcW w:type="dxa" w:w="3024"/>
          </w:tcPr>
          <w:p>
            <w:r>
              <w:rPr>
                <w:rFonts w:ascii="Arial" w:hAnsi="Arial"/>
                <w:b w:val="0"/>
                <w:i w:val="0"/>
                <w:color w:val="000000"/>
                <w:sz w:val="20"/>
              </w:rPr>
              <w:t>Persistent Organic Pollutants (POP)</w:t>
            </w:r>
          </w:p>
        </w:tc>
        <w:tc>
          <w:tcPr>
            <w:tcW w:type="dxa" w:w="3024"/>
          </w:tcPr>
          <w:p>
            <w:r>
              <w:rPr>
                <w:rFonts w:ascii="Arial" w:hAnsi="Arial"/>
                <w:b w:val="0"/>
                <w:i w:val="0"/>
                <w:color w:val="000000"/>
                <w:sz w:val="20"/>
              </w:rPr>
              <w:t>0.012</w:t>
            </w:r>
          </w:p>
        </w:tc>
        <w:tc>
          <w:tcPr>
            <w:tcW w:type="dxa" w:w="3024"/>
          </w:tcPr>
          <w:p>
            <w:r>
              <w:rPr>
                <w:rFonts w:ascii="Arial" w:hAnsi="Arial"/>
                <w:b w:val="0"/>
                <w:i w:val="0"/>
                <w:color w:val="000000"/>
                <w:sz w:val="20"/>
              </w:rPr>
              <w:t>0.009</w:t>
            </w:r>
          </w:p>
        </w:tc>
      </w:tr>
      <w:tr>
        <w:tc>
          <w:tcPr>
            <w:tcW w:type="dxa" w:w="3024"/>
            <w:shd w:val="clear" w:color="auto" w:fill="F3F3F3"/>
          </w:tcPr>
          <w:p>
            <w:r>
              <w:rPr>
                <w:rFonts w:ascii="Arial" w:hAnsi="Arial"/>
                <w:b/>
                <w:i w:val="0"/>
                <w:color w:val="000000"/>
                <w:sz w:val="20"/>
              </w:rPr>
              <w:t>Total Emissions to Water</w:t>
            </w:r>
          </w:p>
        </w:tc>
        <w:tc>
          <w:tcPr>
            <w:tcW w:type="dxa" w:w="3024"/>
            <w:shd w:val="clear" w:color="auto" w:fill="F3F3F3"/>
          </w:tcPr>
          <w:p>
            <w:r>
              <w:rPr>
                <w:rFonts w:ascii="Arial" w:hAnsi="Arial"/>
                <w:b/>
                <w:i w:val="0"/>
                <w:color w:val="000000"/>
                <w:sz w:val="20"/>
              </w:rPr>
              <w:t>382.2</w:t>
            </w:r>
          </w:p>
        </w:tc>
        <w:tc>
          <w:tcPr>
            <w:tcW w:type="dxa" w:w="3024"/>
            <w:shd w:val="clear" w:color="auto" w:fill="F3F3F3"/>
          </w:tcPr>
          <w:p>
            <w:r>
              <w:rPr>
                <w:rFonts w:ascii="Arial" w:hAnsi="Arial"/>
                <w:b/>
                <w:i w:val="0"/>
                <w:color w:val="000000"/>
                <w:sz w:val="20"/>
              </w:rPr>
              <w:t>372.2</w:t>
            </w:r>
          </w:p>
        </w:tc>
      </w:tr>
    </w:tbl>
    <w:p>
      <w:pPr>
        <w:pStyle w:val="Heading3"/>
      </w:pPr>
      <w:r>
        <w:rPr>
          <w:rFonts w:ascii="Arial" w:hAnsi="Arial"/>
          <w:b/>
          <w:i w:val="0"/>
          <w:color w:val="000000"/>
          <w:sz w:val="22"/>
        </w:rPr>
        <w:t>5.3.6.2  Quantify Emissions to Water by Pollutant — By Sector</w:t>
      </w:r>
    </w:p>
    <w:p>
      <w:r>
        <w:rPr>
          <w:rFonts w:ascii="Arial" w:hAnsi="Arial"/>
          <w:b/>
          <w:i w:val="0"/>
          <w:color w:val="000000"/>
          <w:sz w:val="20"/>
        </w:rPr>
        <w:t>Table 5.3.6.2 — Emissions to Water by Pollutant (By Sector)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S1</w:t>
            </w:r>
          </w:p>
        </w:tc>
        <w:tc>
          <w:tcPr>
            <w:tcW w:type="dxa" w:w="756"/>
            <w:shd w:val="clear" w:color="auto" w:fill="D9D9D9"/>
          </w:tcPr>
          <w:p>
            <w:r>
              <w:rPr>
                <w:rFonts w:ascii="Arial" w:hAnsi="Arial"/>
                <w:b/>
                <w:i w:val="0"/>
                <w:color w:val="000000"/>
                <w:sz w:val="20"/>
              </w:rPr>
              <w:t>S2</w:t>
            </w:r>
          </w:p>
        </w:tc>
        <w:tc>
          <w:tcPr>
            <w:tcW w:type="dxa" w:w="756"/>
            <w:shd w:val="clear" w:color="auto" w:fill="D9D9D9"/>
          </w:tcPr>
          <w:p>
            <w:r>
              <w:rPr>
                <w:rFonts w:ascii="Arial" w:hAnsi="Arial"/>
                <w:b/>
                <w:i w:val="0"/>
                <w:color w:val="000000"/>
                <w:sz w:val="20"/>
              </w:rPr>
              <w:t>S3</w:t>
            </w:r>
          </w:p>
        </w:tc>
        <w:tc>
          <w:tcPr>
            <w:tcW w:type="dxa" w:w="756"/>
            <w:shd w:val="clear" w:color="auto" w:fill="D9D9D9"/>
          </w:tcPr>
          <w:p>
            <w:r>
              <w:rPr>
                <w:rFonts w:ascii="Arial" w:hAnsi="Arial"/>
                <w:b/>
                <w:i w:val="0"/>
                <w:color w:val="000000"/>
                <w:sz w:val="20"/>
              </w:rPr>
              <w:t>S4</w:t>
            </w:r>
          </w:p>
        </w:tc>
        <w:tc>
          <w:tcPr>
            <w:tcW w:type="dxa" w:w="756"/>
            <w:shd w:val="clear" w:color="auto" w:fill="D9D9D9"/>
          </w:tcPr>
          <w:p>
            <w:r>
              <w:rPr>
                <w:rFonts w:ascii="Arial" w:hAnsi="Arial"/>
                <w:b/>
                <w:i w:val="0"/>
                <w:color w:val="000000"/>
                <w:sz w:val="20"/>
              </w:rPr>
              <w:t>S5</w:t>
            </w:r>
          </w:p>
        </w:tc>
        <w:tc>
          <w:tcPr>
            <w:tcW w:type="dxa" w:w="756"/>
            <w:shd w:val="clear" w:color="auto" w:fill="D9D9D9"/>
          </w:tcPr>
          <w:p>
            <w:r>
              <w:rPr>
                <w:rFonts w:ascii="Arial" w:hAnsi="Arial"/>
                <w:b/>
                <w:i w:val="0"/>
                <w:color w:val="000000"/>
                <w:sz w:val="20"/>
              </w:rPr>
              <w:t>S6</w:t>
            </w:r>
          </w:p>
        </w:tc>
        <w:tc>
          <w:tcPr>
            <w:tcW w:type="dxa" w:w="756"/>
            <w:shd w:val="clear" w:color="auto" w:fill="D9D9D9"/>
          </w:tcPr>
          <w:p>
            <w:r>
              <w:rPr>
                <w:rFonts w:ascii="Arial" w:hAnsi="Arial"/>
                <w:b/>
                <w:i w:val="0"/>
                <w:color w:val="000000"/>
                <w:sz w:val="20"/>
              </w:rPr>
              <w:t>S7</w:t>
            </w:r>
          </w:p>
        </w:tc>
        <w:tc>
          <w:tcPr>
            <w:tcW w:type="dxa" w:w="756"/>
            <w:shd w:val="clear" w:color="auto" w:fill="D9D9D9"/>
          </w:tcPr>
          <w:p>
            <w:r>
              <w:rPr>
                <w:rFonts w:ascii="Arial" w:hAnsi="Arial"/>
                <w:b/>
                <w:i w:val="0"/>
                <w:color w:val="000000"/>
                <w:sz w:val="20"/>
              </w:rPr>
              <w:t>S8</w:t>
            </w:r>
          </w:p>
        </w:tc>
        <w:tc>
          <w:tcPr>
            <w:tcW w:type="dxa" w:w="756"/>
            <w:shd w:val="clear" w:color="auto" w:fill="D9D9D9"/>
          </w:tcPr>
          <w:p>
            <w:r>
              <w:rPr>
                <w:rFonts w:ascii="Arial" w:hAnsi="Arial"/>
                <w:b/>
                <w:i w:val="0"/>
                <w:color w:val="000000"/>
                <w:sz w:val="20"/>
              </w:rPr>
              <w:t>S9</w:t>
            </w:r>
          </w:p>
        </w:tc>
        <w:tc>
          <w:tcPr>
            <w:tcW w:type="dxa" w:w="756"/>
            <w:shd w:val="clear" w:color="auto" w:fill="D9D9D9"/>
          </w:tcPr>
          <w:p>
            <w:r>
              <w:rPr>
                <w:rFonts w:ascii="Arial" w:hAnsi="Arial"/>
                <w:b/>
                <w:i w:val="0"/>
                <w:color w:val="000000"/>
                <w:sz w:val="20"/>
              </w:rPr>
              <w:t>S10</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TSS</w:t>
            </w:r>
          </w:p>
        </w:tc>
        <w:tc>
          <w:tcPr>
            <w:tcW w:type="dxa" w:w="756"/>
          </w:tcPr>
          <w:p>
            <w:r>
              <w:rPr>
                <w:rFonts w:ascii="Arial" w:hAnsi="Arial"/>
                <w:b w:val="0"/>
                <w:i w:val="0"/>
                <w:color w:val="000000"/>
                <w:sz w:val="20"/>
              </w:rPr>
              <w:t>4.8</w:t>
            </w:r>
          </w:p>
        </w:tc>
        <w:tc>
          <w:tcPr>
            <w:tcW w:type="dxa" w:w="756"/>
          </w:tcPr>
          <w:p>
            <w:r>
              <w:rPr>
                <w:rFonts w:ascii="Arial" w:hAnsi="Arial"/>
                <w:b w:val="0"/>
                <w:i w:val="0"/>
                <w:color w:val="000000"/>
                <w:sz w:val="20"/>
              </w:rPr>
              <w:t>3.9</w:t>
            </w:r>
          </w:p>
        </w:tc>
        <w:tc>
          <w:tcPr>
            <w:tcW w:type="dxa" w:w="756"/>
          </w:tcPr>
          <w:p>
            <w:r>
              <w:rPr>
                <w:rFonts w:ascii="Arial" w:hAnsi="Arial"/>
                <w:b w:val="0"/>
                <w:i w:val="0"/>
                <w:color w:val="000000"/>
                <w:sz w:val="20"/>
              </w:rPr>
              <w:t>3.1</w:t>
            </w:r>
          </w:p>
        </w:tc>
        <w:tc>
          <w:tcPr>
            <w:tcW w:type="dxa" w:w="756"/>
          </w:tcPr>
          <w:p>
            <w:r>
              <w:rPr>
                <w:rFonts w:ascii="Arial" w:hAnsi="Arial"/>
                <w:b w:val="0"/>
                <w:i w:val="0"/>
                <w:color w:val="000000"/>
                <w:sz w:val="20"/>
              </w:rPr>
              <w:t>4.2</w:t>
            </w:r>
          </w:p>
        </w:tc>
        <w:tc>
          <w:tcPr>
            <w:tcW w:type="dxa" w:w="756"/>
          </w:tcPr>
          <w:p>
            <w:r>
              <w:rPr>
                <w:rFonts w:ascii="Arial" w:hAnsi="Arial"/>
                <w:b w:val="0"/>
                <w:i w:val="0"/>
                <w:color w:val="000000"/>
                <w:sz w:val="20"/>
              </w:rPr>
              <w:t>2.8</w:t>
            </w:r>
          </w:p>
        </w:tc>
        <w:tc>
          <w:tcPr>
            <w:tcW w:type="dxa" w:w="756"/>
          </w:tcPr>
          <w:p>
            <w:r>
              <w:rPr>
                <w:rFonts w:ascii="Arial" w:hAnsi="Arial"/>
                <w:b w:val="0"/>
                <w:i w:val="0"/>
                <w:color w:val="000000"/>
                <w:sz w:val="20"/>
              </w:rPr>
              <w:t>2.4</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3.0</w:t>
            </w:r>
          </w:p>
        </w:tc>
        <w:tc>
          <w:tcPr>
            <w:tcW w:type="dxa" w:w="756"/>
          </w:tcPr>
          <w:p>
            <w:r>
              <w:rPr>
                <w:rFonts w:ascii="Arial" w:hAnsi="Arial"/>
                <w:b w:val="0"/>
                <w:i w:val="0"/>
                <w:color w:val="000000"/>
                <w:sz w:val="20"/>
              </w:rPr>
              <w:t>2.7</w:t>
            </w:r>
          </w:p>
        </w:tc>
        <w:tc>
          <w:tcPr>
            <w:tcW w:type="dxa" w:w="756"/>
          </w:tcPr>
          <w:p>
            <w:r>
              <w:rPr>
                <w:rFonts w:ascii="Arial" w:hAnsi="Arial"/>
                <w:b w:val="0"/>
                <w:i w:val="0"/>
                <w:color w:val="000000"/>
                <w:sz w:val="20"/>
              </w:rPr>
              <w:t>32.4</w:t>
            </w:r>
          </w:p>
        </w:tc>
      </w:tr>
      <w:tr>
        <w:tc>
          <w:tcPr>
            <w:tcW w:type="dxa" w:w="756"/>
          </w:tcPr>
          <w:p>
            <w:r>
              <w:rPr>
                <w:rFonts w:ascii="Arial" w:hAnsi="Arial"/>
                <w:b w:val="0"/>
                <w:i w:val="0"/>
                <w:color w:val="000000"/>
                <w:sz w:val="20"/>
              </w:rPr>
              <w:t>COD</w:t>
            </w:r>
          </w:p>
        </w:tc>
        <w:tc>
          <w:tcPr>
            <w:tcW w:type="dxa" w:w="756"/>
          </w:tcPr>
          <w:p>
            <w:r>
              <w:rPr>
                <w:rFonts w:ascii="Arial" w:hAnsi="Arial"/>
                <w:b w:val="0"/>
                <w:i w:val="0"/>
                <w:color w:val="000000"/>
                <w:sz w:val="20"/>
              </w:rPr>
              <w:t>26.1</w:t>
            </w:r>
          </w:p>
        </w:tc>
        <w:tc>
          <w:tcPr>
            <w:tcW w:type="dxa" w:w="756"/>
          </w:tcPr>
          <w:p>
            <w:r>
              <w:rPr>
                <w:rFonts w:ascii="Arial" w:hAnsi="Arial"/>
                <w:b w:val="0"/>
                <w:i w:val="0"/>
                <w:color w:val="000000"/>
                <w:sz w:val="20"/>
              </w:rPr>
              <w:t>21.2</w:t>
            </w:r>
          </w:p>
        </w:tc>
        <w:tc>
          <w:tcPr>
            <w:tcW w:type="dxa" w:w="756"/>
          </w:tcPr>
          <w:p>
            <w:r>
              <w:rPr>
                <w:rFonts w:ascii="Arial" w:hAnsi="Arial"/>
                <w:b w:val="0"/>
                <w:i w:val="0"/>
                <w:color w:val="000000"/>
                <w:sz w:val="20"/>
              </w:rPr>
              <w:t>16.4</w:t>
            </w:r>
          </w:p>
        </w:tc>
        <w:tc>
          <w:tcPr>
            <w:tcW w:type="dxa" w:w="756"/>
          </w:tcPr>
          <w:p>
            <w:r>
              <w:rPr>
                <w:rFonts w:ascii="Arial" w:hAnsi="Arial"/>
                <w:b w:val="0"/>
                <w:i w:val="0"/>
                <w:color w:val="000000"/>
                <w:sz w:val="20"/>
              </w:rPr>
              <w:t>22.4</w:t>
            </w:r>
          </w:p>
        </w:tc>
        <w:tc>
          <w:tcPr>
            <w:tcW w:type="dxa" w:w="756"/>
          </w:tcPr>
          <w:p>
            <w:r>
              <w:rPr>
                <w:rFonts w:ascii="Arial" w:hAnsi="Arial"/>
                <w:b w:val="0"/>
                <w:i w:val="0"/>
                <w:color w:val="000000"/>
                <w:sz w:val="20"/>
              </w:rPr>
              <w:t>14.8</w:t>
            </w:r>
          </w:p>
        </w:tc>
        <w:tc>
          <w:tcPr>
            <w:tcW w:type="dxa" w:w="756"/>
          </w:tcPr>
          <w:p>
            <w:r>
              <w:rPr>
                <w:rFonts w:ascii="Arial" w:hAnsi="Arial"/>
                <w:b w:val="0"/>
                <w:i w:val="0"/>
                <w:color w:val="000000"/>
                <w:sz w:val="20"/>
              </w:rPr>
              <w:t>12.7</w:t>
            </w:r>
          </w:p>
        </w:tc>
        <w:tc>
          <w:tcPr>
            <w:tcW w:type="dxa" w:w="756"/>
          </w:tcPr>
          <w:p>
            <w:r>
              <w:rPr>
                <w:rFonts w:ascii="Arial" w:hAnsi="Arial"/>
                <w:b w:val="0"/>
                <w:i w:val="0"/>
                <w:color w:val="000000"/>
                <w:sz w:val="20"/>
              </w:rPr>
              <w:t>11.2</w:t>
            </w:r>
          </w:p>
        </w:tc>
        <w:tc>
          <w:tcPr>
            <w:tcW w:type="dxa" w:w="756"/>
          </w:tcPr>
          <w:p>
            <w:r>
              <w:rPr>
                <w:rFonts w:ascii="Arial" w:hAnsi="Arial"/>
                <w:b w:val="0"/>
                <w:i w:val="0"/>
                <w:color w:val="000000"/>
                <w:sz w:val="20"/>
              </w:rPr>
              <w:t>17.8</w:t>
            </w:r>
          </w:p>
        </w:tc>
        <w:tc>
          <w:tcPr>
            <w:tcW w:type="dxa" w:w="756"/>
          </w:tcPr>
          <w:p>
            <w:r>
              <w:rPr>
                <w:rFonts w:ascii="Arial" w:hAnsi="Arial"/>
                <w:b w:val="0"/>
                <w:i w:val="0"/>
                <w:color w:val="000000"/>
                <w:sz w:val="20"/>
              </w:rPr>
              <w:t>15.9</w:t>
            </w:r>
          </w:p>
        </w:tc>
        <w:tc>
          <w:tcPr>
            <w:tcW w:type="dxa" w:w="756"/>
          </w:tcPr>
          <w:p>
            <w:r>
              <w:rPr>
                <w:rFonts w:ascii="Arial" w:hAnsi="Arial"/>
                <w:b w:val="0"/>
                <w:i w:val="0"/>
                <w:color w:val="000000"/>
                <w:sz w:val="20"/>
              </w:rPr>
              <w:t>14.3</w:t>
            </w:r>
          </w:p>
        </w:tc>
        <w:tc>
          <w:tcPr>
            <w:tcW w:type="dxa" w:w="756"/>
          </w:tcPr>
          <w:p>
            <w:r>
              <w:rPr>
                <w:rFonts w:ascii="Arial" w:hAnsi="Arial"/>
                <w:b w:val="0"/>
                <w:i w:val="0"/>
                <w:color w:val="000000"/>
                <w:sz w:val="20"/>
              </w:rPr>
              <w:t>172.8</w:t>
            </w:r>
          </w:p>
        </w:tc>
      </w:tr>
      <w:tr>
        <w:tc>
          <w:tcPr>
            <w:tcW w:type="dxa" w:w="756"/>
          </w:tcPr>
          <w:p>
            <w:r>
              <w:rPr>
                <w:rFonts w:ascii="Arial" w:hAnsi="Arial"/>
                <w:b w:val="0"/>
                <w:i w:val="0"/>
                <w:color w:val="000000"/>
                <w:sz w:val="20"/>
              </w:rPr>
              <w:t>BOD</w:t>
            </w:r>
          </w:p>
        </w:tc>
        <w:tc>
          <w:tcPr>
            <w:tcW w:type="dxa" w:w="756"/>
          </w:tcPr>
          <w:p>
            <w:r>
              <w:rPr>
                <w:rFonts w:ascii="Arial" w:hAnsi="Arial"/>
                <w:b w:val="0"/>
                <w:i w:val="0"/>
                <w:color w:val="000000"/>
                <w:sz w:val="20"/>
              </w:rPr>
              <w:t>7.9</w:t>
            </w:r>
          </w:p>
        </w:tc>
        <w:tc>
          <w:tcPr>
            <w:tcW w:type="dxa" w:w="756"/>
          </w:tcPr>
          <w:p>
            <w:r>
              <w:rPr>
                <w:rFonts w:ascii="Arial" w:hAnsi="Arial"/>
                <w:b w:val="0"/>
                <w:i w:val="0"/>
                <w:color w:val="000000"/>
                <w:sz w:val="20"/>
              </w:rPr>
              <w:t>6.4</w:t>
            </w:r>
          </w:p>
        </w:tc>
        <w:tc>
          <w:tcPr>
            <w:tcW w:type="dxa" w:w="756"/>
          </w:tcPr>
          <w:p>
            <w:r>
              <w:rPr>
                <w:rFonts w:ascii="Arial" w:hAnsi="Arial"/>
                <w:b w:val="0"/>
                <w:i w:val="0"/>
                <w:color w:val="000000"/>
                <w:sz w:val="20"/>
              </w:rPr>
              <w:t>5.0</w:t>
            </w:r>
          </w:p>
        </w:tc>
        <w:tc>
          <w:tcPr>
            <w:tcW w:type="dxa" w:w="756"/>
          </w:tcPr>
          <w:p>
            <w:r>
              <w:rPr>
                <w:rFonts w:ascii="Arial" w:hAnsi="Arial"/>
                <w:b w:val="0"/>
                <w:i w:val="0"/>
                <w:color w:val="000000"/>
                <w:sz w:val="20"/>
              </w:rPr>
              <w:t>6.8</w:t>
            </w:r>
          </w:p>
        </w:tc>
        <w:tc>
          <w:tcPr>
            <w:tcW w:type="dxa" w:w="756"/>
          </w:tcPr>
          <w:p>
            <w:r>
              <w:rPr>
                <w:rFonts w:ascii="Arial" w:hAnsi="Arial"/>
                <w:b w:val="0"/>
                <w:i w:val="0"/>
                <w:color w:val="000000"/>
                <w:sz w:val="20"/>
              </w:rPr>
              <w:t>4.5</w:t>
            </w:r>
          </w:p>
        </w:tc>
        <w:tc>
          <w:tcPr>
            <w:tcW w:type="dxa" w:w="756"/>
          </w:tcPr>
          <w:p>
            <w:r>
              <w:rPr>
                <w:rFonts w:ascii="Arial" w:hAnsi="Arial"/>
                <w:b w:val="0"/>
                <w:i w:val="0"/>
                <w:color w:val="000000"/>
                <w:sz w:val="20"/>
              </w:rPr>
              <w:t>3.9</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5.4</w:t>
            </w:r>
          </w:p>
        </w:tc>
        <w:tc>
          <w:tcPr>
            <w:tcW w:type="dxa" w:w="756"/>
          </w:tcPr>
          <w:p>
            <w:r>
              <w:rPr>
                <w:rFonts w:ascii="Arial" w:hAnsi="Arial"/>
                <w:b w:val="0"/>
                <w:i w:val="0"/>
                <w:color w:val="000000"/>
                <w:sz w:val="20"/>
              </w:rPr>
              <w:t>4.8</w:t>
            </w:r>
          </w:p>
        </w:tc>
        <w:tc>
          <w:tcPr>
            <w:tcW w:type="dxa" w:w="756"/>
          </w:tcPr>
          <w:p>
            <w:r>
              <w:rPr>
                <w:rFonts w:ascii="Arial" w:hAnsi="Arial"/>
                <w:b w:val="0"/>
                <w:i w:val="0"/>
                <w:color w:val="000000"/>
                <w:sz w:val="20"/>
              </w:rPr>
              <w:t>4.3</w:t>
            </w:r>
          </w:p>
        </w:tc>
        <w:tc>
          <w:tcPr>
            <w:tcW w:type="dxa" w:w="756"/>
          </w:tcPr>
          <w:p>
            <w:r>
              <w:rPr>
                <w:rFonts w:ascii="Arial" w:hAnsi="Arial"/>
                <w:b w:val="0"/>
                <w:i w:val="0"/>
                <w:color w:val="000000"/>
                <w:sz w:val="20"/>
              </w:rPr>
              <w:t>52.4</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38.8</w:t>
            </w:r>
          </w:p>
        </w:tc>
        <w:tc>
          <w:tcPr>
            <w:tcW w:type="dxa" w:w="756"/>
            <w:shd w:val="clear" w:color="auto" w:fill="F3F3F3"/>
          </w:tcPr>
          <w:p>
            <w:r>
              <w:rPr>
                <w:rFonts w:ascii="Arial" w:hAnsi="Arial"/>
                <w:b/>
                <w:i w:val="0"/>
                <w:color w:val="000000"/>
                <w:sz w:val="20"/>
              </w:rPr>
              <w:t>31.5</w:t>
            </w:r>
          </w:p>
        </w:tc>
        <w:tc>
          <w:tcPr>
            <w:tcW w:type="dxa" w:w="756"/>
            <w:shd w:val="clear" w:color="auto" w:fill="F3F3F3"/>
          </w:tcPr>
          <w:p>
            <w:r>
              <w:rPr>
                <w:rFonts w:ascii="Arial" w:hAnsi="Arial"/>
                <w:b/>
                <w:i w:val="0"/>
                <w:color w:val="000000"/>
                <w:sz w:val="20"/>
              </w:rPr>
              <w:t>24.5</w:t>
            </w:r>
          </w:p>
        </w:tc>
        <w:tc>
          <w:tcPr>
            <w:tcW w:type="dxa" w:w="756"/>
            <w:shd w:val="clear" w:color="auto" w:fill="F3F3F3"/>
          </w:tcPr>
          <w:p>
            <w:r>
              <w:rPr>
                <w:rFonts w:ascii="Arial" w:hAnsi="Arial"/>
                <w:b/>
                <w:i w:val="0"/>
                <w:color w:val="000000"/>
                <w:sz w:val="20"/>
              </w:rPr>
              <w:t>33.4</w:t>
            </w:r>
          </w:p>
        </w:tc>
        <w:tc>
          <w:tcPr>
            <w:tcW w:type="dxa" w:w="756"/>
            <w:shd w:val="clear" w:color="auto" w:fill="F3F3F3"/>
          </w:tcPr>
          <w:p>
            <w:r>
              <w:rPr>
                <w:rFonts w:ascii="Arial" w:hAnsi="Arial"/>
                <w:b/>
                <w:i w:val="0"/>
                <w:color w:val="000000"/>
                <w:sz w:val="20"/>
              </w:rPr>
              <w:t>22.1</w:t>
            </w:r>
          </w:p>
        </w:tc>
        <w:tc>
          <w:tcPr>
            <w:tcW w:type="dxa" w:w="756"/>
            <w:shd w:val="clear" w:color="auto" w:fill="F3F3F3"/>
          </w:tcPr>
          <w:p>
            <w:r>
              <w:rPr>
                <w:rFonts w:ascii="Arial" w:hAnsi="Arial"/>
                <w:b/>
                <w:i w:val="0"/>
                <w:color w:val="000000"/>
                <w:sz w:val="20"/>
              </w:rPr>
              <w:t>19.0</w:t>
            </w:r>
          </w:p>
        </w:tc>
        <w:tc>
          <w:tcPr>
            <w:tcW w:type="dxa" w:w="756"/>
            <w:shd w:val="clear" w:color="auto" w:fill="F3F3F3"/>
          </w:tcPr>
          <w:p>
            <w:r>
              <w:rPr>
                <w:rFonts w:ascii="Arial" w:hAnsi="Arial"/>
                <w:b/>
                <w:i w:val="0"/>
                <w:color w:val="000000"/>
                <w:sz w:val="20"/>
              </w:rPr>
              <w:t>16.7</w:t>
            </w:r>
          </w:p>
        </w:tc>
        <w:tc>
          <w:tcPr>
            <w:tcW w:type="dxa" w:w="756"/>
            <w:shd w:val="clear" w:color="auto" w:fill="F3F3F3"/>
          </w:tcPr>
          <w:p>
            <w:r>
              <w:rPr>
                <w:rFonts w:ascii="Arial" w:hAnsi="Arial"/>
                <w:b/>
                <w:i w:val="0"/>
                <w:color w:val="000000"/>
                <w:sz w:val="20"/>
              </w:rPr>
              <w:t>26.6</w:t>
            </w:r>
          </w:p>
        </w:tc>
        <w:tc>
          <w:tcPr>
            <w:tcW w:type="dxa" w:w="756"/>
            <w:shd w:val="clear" w:color="auto" w:fill="F3F3F3"/>
          </w:tcPr>
          <w:p>
            <w:r>
              <w:rPr>
                <w:rFonts w:ascii="Arial" w:hAnsi="Arial"/>
                <w:b/>
                <w:i w:val="0"/>
                <w:color w:val="000000"/>
                <w:sz w:val="20"/>
              </w:rPr>
              <w:t>23.7</w:t>
            </w:r>
          </w:p>
        </w:tc>
        <w:tc>
          <w:tcPr>
            <w:tcW w:type="dxa" w:w="756"/>
            <w:shd w:val="clear" w:color="auto" w:fill="F3F3F3"/>
          </w:tcPr>
          <w:p>
            <w:r>
              <w:rPr>
                <w:rFonts w:ascii="Arial" w:hAnsi="Arial"/>
                <w:b/>
                <w:i w:val="0"/>
                <w:color w:val="000000"/>
                <w:sz w:val="20"/>
              </w:rPr>
              <w:t>21.3</w:t>
            </w:r>
          </w:p>
        </w:tc>
        <w:tc>
          <w:tcPr>
            <w:tcW w:type="dxa" w:w="756"/>
            <w:shd w:val="clear" w:color="auto" w:fill="F3F3F3"/>
          </w:tcPr>
          <w:p>
            <w:r>
              <w:rPr>
                <w:rFonts w:ascii="Arial" w:hAnsi="Arial"/>
                <w:b/>
                <w:i w:val="0"/>
                <w:color w:val="000000"/>
                <w:sz w:val="20"/>
              </w:rPr>
              <w:t>257.6</w:t>
            </w:r>
          </w:p>
        </w:tc>
      </w:tr>
    </w:tbl>
    <w:p>
      <w:r>
        <w:rPr>
          <w:rFonts w:ascii="Arial" w:hAnsi="Arial"/>
          <w:b w:val="0"/>
          <w:i w:val="0"/>
          <w:color w:val="000000"/>
          <w:sz w:val="22"/>
        </w:rPr>
        <w:t>No other sector categories outside those listed generated material water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5.3.6.3  Quantify Emissions to Water by Pollutant — By Geographical Area</w:t>
      </w:r>
    </w:p>
    <w:p>
      <w:r>
        <w:rPr>
          <w:rFonts w:ascii="Arial" w:hAnsi="Arial"/>
          <w:b/>
          <w:i w:val="0"/>
          <w:color w:val="000000"/>
          <w:sz w:val="20"/>
        </w:rPr>
        <w:t>Table 5.3.6.3 — Emissions to Water by Pollutant (By Geographical Area)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UAE</w:t>
            </w:r>
          </w:p>
        </w:tc>
        <w:tc>
          <w:tcPr>
            <w:tcW w:type="dxa" w:w="756"/>
            <w:shd w:val="clear" w:color="auto" w:fill="D9D9D9"/>
          </w:tcPr>
          <w:p>
            <w:r>
              <w:rPr>
                <w:rFonts w:ascii="Arial" w:hAnsi="Arial"/>
                <w:b/>
                <w:i w:val="0"/>
                <w:color w:val="000000"/>
                <w:sz w:val="20"/>
              </w:rPr>
              <w:t>India</w:t>
            </w:r>
          </w:p>
        </w:tc>
        <w:tc>
          <w:tcPr>
            <w:tcW w:type="dxa" w:w="756"/>
            <w:shd w:val="clear" w:color="auto" w:fill="D9D9D9"/>
          </w:tcPr>
          <w:p>
            <w:r>
              <w:rPr>
                <w:rFonts w:ascii="Arial" w:hAnsi="Arial"/>
                <w:b/>
                <w:i w:val="0"/>
                <w:color w:val="000000"/>
                <w:sz w:val="20"/>
              </w:rPr>
              <w:t>Germany</w:t>
            </w:r>
          </w:p>
        </w:tc>
        <w:tc>
          <w:tcPr>
            <w:tcW w:type="dxa" w:w="756"/>
            <w:shd w:val="clear" w:color="auto" w:fill="D9D9D9"/>
          </w:tcPr>
          <w:p>
            <w:r>
              <w:rPr>
                <w:rFonts w:ascii="Arial" w:hAnsi="Arial"/>
                <w:b/>
                <w:i w:val="0"/>
                <w:color w:val="000000"/>
                <w:sz w:val="20"/>
              </w:rPr>
              <w:t>France</w:t>
            </w:r>
          </w:p>
        </w:tc>
        <w:tc>
          <w:tcPr>
            <w:tcW w:type="dxa" w:w="756"/>
            <w:shd w:val="clear" w:color="auto" w:fill="D9D9D9"/>
          </w:tcPr>
          <w:p>
            <w:r>
              <w:rPr>
                <w:rFonts w:ascii="Arial" w:hAnsi="Arial"/>
                <w:b/>
                <w:i w:val="0"/>
                <w:color w:val="000000"/>
                <w:sz w:val="20"/>
              </w:rPr>
              <w:t>Singapore</w:t>
            </w:r>
          </w:p>
        </w:tc>
        <w:tc>
          <w:tcPr>
            <w:tcW w:type="dxa" w:w="756"/>
            <w:shd w:val="clear" w:color="auto" w:fill="D9D9D9"/>
          </w:tcPr>
          <w:p>
            <w:r>
              <w:rPr>
                <w:rFonts w:ascii="Arial" w:hAnsi="Arial"/>
                <w:b/>
                <w:i w:val="0"/>
                <w:color w:val="000000"/>
                <w:sz w:val="20"/>
              </w:rPr>
              <w:t>Japan</w:t>
            </w:r>
          </w:p>
        </w:tc>
        <w:tc>
          <w:tcPr>
            <w:tcW w:type="dxa" w:w="756"/>
            <w:shd w:val="clear" w:color="auto" w:fill="D9D9D9"/>
          </w:tcPr>
          <w:p>
            <w:r>
              <w:rPr>
                <w:rFonts w:ascii="Arial" w:hAnsi="Arial"/>
                <w:b/>
                <w:i w:val="0"/>
                <w:color w:val="000000"/>
                <w:sz w:val="20"/>
              </w:rPr>
              <w:t>UK</w:t>
            </w:r>
          </w:p>
        </w:tc>
        <w:tc>
          <w:tcPr>
            <w:tcW w:type="dxa" w:w="756"/>
            <w:shd w:val="clear" w:color="auto" w:fill="D9D9D9"/>
          </w:tcPr>
          <w:p>
            <w:r>
              <w:rPr>
                <w:rFonts w:ascii="Arial" w:hAnsi="Arial"/>
                <w:b/>
                <w:i w:val="0"/>
                <w:color w:val="000000"/>
                <w:sz w:val="20"/>
              </w:rPr>
              <w:t>Brazil</w:t>
            </w:r>
          </w:p>
        </w:tc>
        <w:tc>
          <w:tcPr>
            <w:tcW w:type="dxa" w:w="756"/>
            <w:shd w:val="clear" w:color="auto" w:fill="D9D9D9"/>
          </w:tcPr>
          <w:p>
            <w:r>
              <w:rPr>
                <w:rFonts w:ascii="Arial" w:hAnsi="Arial"/>
                <w:b/>
                <w:i w:val="0"/>
                <w:color w:val="000000"/>
                <w:sz w:val="20"/>
              </w:rPr>
              <w:t>Australia</w:t>
            </w:r>
          </w:p>
        </w:tc>
        <w:tc>
          <w:tcPr>
            <w:tcW w:type="dxa" w:w="756"/>
            <w:shd w:val="clear" w:color="auto" w:fill="D9D9D9"/>
          </w:tcPr>
          <w:p>
            <w:r>
              <w:rPr>
                <w:rFonts w:ascii="Arial" w:hAnsi="Arial"/>
                <w:b/>
                <w:i w:val="0"/>
                <w:color w:val="000000"/>
                <w:sz w:val="20"/>
              </w:rPr>
              <w:t>Canada</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TSS</w:t>
            </w:r>
          </w:p>
        </w:tc>
        <w:tc>
          <w:tcPr>
            <w:tcW w:type="dxa" w:w="756"/>
          </w:tcPr>
          <w:p>
            <w:r>
              <w:rPr>
                <w:rFonts w:ascii="Arial" w:hAnsi="Arial"/>
                <w:b w:val="0"/>
                <w:i w:val="0"/>
                <w:color w:val="000000"/>
                <w:sz w:val="20"/>
              </w:rPr>
              <w:t>5.8</w:t>
            </w:r>
          </w:p>
        </w:tc>
        <w:tc>
          <w:tcPr>
            <w:tcW w:type="dxa" w:w="756"/>
          </w:tcPr>
          <w:p>
            <w:r>
              <w:rPr>
                <w:rFonts w:ascii="Arial" w:hAnsi="Arial"/>
                <w:b w:val="0"/>
                <w:i w:val="0"/>
                <w:color w:val="000000"/>
                <w:sz w:val="20"/>
              </w:rPr>
              <w:t>6.8</w:t>
            </w:r>
          </w:p>
        </w:tc>
        <w:tc>
          <w:tcPr>
            <w:tcW w:type="dxa" w:w="756"/>
          </w:tcPr>
          <w:p>
            <w:r>
              <w:rPr>
                <w:rFonts w:ascii="Arial" w:hAnsi="Arial"/>
                <w:b w:val="0"/>
                <w:i w:val="0"/>
                <w:color w:val="000000"/>
                <w:sz w:val="20"/>
              </w:rPr>
              <w:t>2.4</w:t>
            </w:r>
          </w:p>
        </w:tc>
        <w:tc>
          <w:tcPr>
            <w:tcW w:type="dxa" w:w="756"/>
          </w:tcPr>
          <w:p>
            <w:r>
              <w:rPr>
                <w:rFonts w:ascii="Arial" w:hAnsi="Arial"/>
                <w:b w:val="0"/>
                <w:i w:val="0"/>
                <w:color w:val="000000"/>
                <w:sz w:val="20"/>
              </w:rPr>
              <w:t>2.0</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2.2</w:t>
            </w:r>
          </w:p>
        </w:tc>
        <w:tc>
          <w:tcPr>
            <w:tcW w:type="dxa" w:w="756"/>
          </w:tcPr>
          <w:p>
            <w:r>
              <w:rPr>
                <w:rFonts w:ascii="Arial" w:hAnsi="Arial"/>
                <w:b w:val="0"/>
                <w:i w:val="0"/>
                <w:color w:val="000000"/>
                <w:sz w:val="20"/>
              </w:rPr>
              <w:t>1.6</w:t>
            </w:r>
          </w:p>
        </w:tc>
        <w:tc>
          <w:tcPr>
            <w:tcW w:type="dxa" w:w="756"/>
          </w:tcPr>
          <w:p>
            <w:r>
              <w:rPr>
                <w:rFonts w:ascii="Arial" w:hAnsi="Arial"/>
                <w:b w:val="0"/>
                <w:i w:val="0"/>
                <w:color w:val="000000"/>
                <w:sz w:val="20"/>
              </w:rPr>
              <w:t>2.9</w:t>
            </w:r>
          </w:p>
        </w:tc>
        <w:tc>
          <w:tcPr>
            <w:tcW w:type="dxa" w:w="756"/>
          </w:tcPr>
          <w:p>
            <w:r>
              <w:rPr>
                <w:rFonts w:ascii="Arial" w:hAnsi="Arial"/>
                <w:b w:val="0"/>
                <w:i w:val="0"/>
                <w:color w:val="000000"/>
                <w:sz w:val="20"/>
              </w:rPr>
              <w:t>2.6</w:t>
            </w:r>
          </w:p>
        </w:tc>
        <w:tc>
          <w:tcPr>
            <w:tcW w:type="dxa" w:w="756"/>
          </w:tcPr>
          <w:p>
            <w:r>
              <w:rPr>
                <w:rFonts w:ascii="Arial" w:hAnsi="Arial"/>
                <w:b w:val="0"/>
                <w:i w:val="0"/>
                <w:color w:val="000000"/>
                <w:sz w:val="20"/>
              </w:rPr>
              <w:t>2.2</w:t>
            </w:r>
          </w:p>
        </w:tc>
        <w:tc>
          <w:tcPr>
            <w:tcW w:type="dxa" w:w="756"/>
          </w:tcPr>
          <w:p>
            <w:r>
              <w:rPr>
                <w:rFonts w:ascii="Arial" w:hAnsi="Arial"/>
                <w:b w:val="0"/>
                <w:i w:val="0"/>
                <w:color w:val="000000"/>
                <w:sz w:val="20"/>
              </w:rPr>
              <w:t>31.9</w:t>
            </w:r>
          </w:p>
        </w:tc>
      </w:tr>
      <w:tr>
        <w:tc>
          <w:tcPr>
            <w:tcW w:type="dxa" w:w="756"/>
          </w:tcPr>
          <w:p>
            <w:r>
              <w:rPr>
                <w:rFonts w:ascii="Arial" w:hAnsi="Arial"/>
                <w:b w:val="0"/>
                <w:i w:val="0"/>
                <w:color w:val="000000"/>
                <w:sz w:val="20"/>
              </w:rPr>
              <w:t>COD</w:t>
            </w:r>
          </w:p>
        </w:tc>
        <w:tc>
          <w:tcPr>
            <w:tcW w:type="dxa" w:w="756"/>
          </w:tcPr>
          <w:p>
            <w:r>
              <w:rPr>
                <w:rFonts w:ascii="Arial" w:hAnsi="Arial"/>
                <w:b w:val="0"/>
                <w:i w:val="0"/>
                <w:color w:val="000000"/>
                <w:sz w:val="20"/>
              </w:rPr>
              <w:t>31.2</w:t>
            </w:r>
          </w:p>
        </w:tc>
        <w:tc>
          <w:tcPr>
            <w:tcW w:type="dxa" w:w="756"/>
          </w:tcPr>
          <w:p>
            <w:r>
              <w:rPr>
                <w:rFonts w:ascii="Arial" w:hAnsi="Arial"/>
                <w:b w:val="0"/>
                <w:i w:val="0"/>
                <w:color w:val="000000"/>
                <w:sz w:val="20"/>
              </w:rPr>
              <w:t>36.4</w:t>
            </w:r>
          </w:p>
        </w:tc>
        <w:tc>
          <w:tcPr>
            <w:tcW w:type="dxa" w:w="756"/>
          </w:tcPr>
          <w:p>
            <w:r>
              <w:rPr>
                <w:rFonts w:ascii="Arial" w:hAnsi="Arial"/>
                <w:b w:val="0"/>
                <w:i w:val="0"/>
                <w:color w:val="000000"/>
                <w:sz w:val="20"/>
              </w:rPr>
              <w:t>12.8</w:t>
            </w:r>
          </w:p>
        </w:tc>
        <w:tc>
          <w:tcPr>
            <w:tcW w:type="dxa" w:w="756"/>
          </w:tcPr>
          <w:p>
            <w:r>
              <w:rPr>
                <w:rFonts w:ascii="Arial" w:hAnsi="Arial"/>
                <w:b w:val="0"/>
                <w:i w:val="0"/>
                <w:color w:val="000000"/>
                <w:sz w:val="20"/>
              </w:rPr>
              <w:t>10.6</w:t>
            </w:r>
          </w:p>
        </w:tc>
        <w:tc>
          <w:tcPr>
            <w:tcW w:type="dxa" w:w="756"/>
          </w:tcPr>
          <w:p>
            <w:r>
              <w:rPr>
                <w:rFonts w:ascii="Arial" w:hAnsi="Arial"/>
                <w:b w:val="0"/>
                <w:i w:val="0"/>
                <w:color w:val="000000"/>
                <w:sz w:val="20"/>
              </w:rPr>
              <w:t>18.2</w:t>
            </w:r>
          </w:p>
        </w:tc>
        <w:tc>
          <w:tcPr>
            <w:tcW w:type="dxa" w:w="756"/>
          </w:tcPr>
          <w:p>
            <w:r>
              <w:rPr>
                <w:rFonts w:ascii="Arial" w:hAnsi="Arial"/>
                <w:b w:val="0"/>
                <w:i w:val="0"/>
                <w:color w:val="000000"/>
                <w:sz w:val="20"/>
              </w:rPr>
              <w:t>11.8</w:t>
            </w:r>
          </w:p>
        </w:tc>
        <w:tc>
          <w:tcPr>
            <w:tcW w:type="dxa" w:w="756"/>
          </w:tcPr>
          <w:p>
            <w:r>
              <w:rPr>
                <w:rFonts w:ascii="Arial" w:hAnsi="Arial"/>
                <w:b w:val="0"/>
                <w:i w:val="0"/>
                <w:color w:val="000000"/>
                <w:sz w:val="20"/>
              </w:rPr>
              <w:t>8.6</w:t>
            </w:r>
          </w:p>
        </w:tc>
        <w:tc>
          <w:tcPr>
            <w:tcW w:type="dxa" w:w="756"/>
          </w:tcPr>
          <w:p>
            <w:r>
              <w:rPr>
                <w:rFonts w:ascii="Arial" w:hAnsi="Arial"/>
                <w:b w:val="0"/>
                <w:i w:val="0"/>
                <w:color w:val="000000"/>
                <w:sz w:val="20"/>
              </w:rPr>
              <w:t>15.4</w:t>
            </w:r>
          </w:p>
        </w:tc>
        <w:tc>
          <w:tcPr>
            <w:tcW w:type="dxa" w:w="756"/>
          </w:tcPr>
          <w:p>
            <w:r>
              <w:rPr>
                <w:rFonts w:ascii="Arial" w:hAnsi="Arial"/>
                <w:b w:val="0"/>
                <w:i w:val="0"/>
                <w:color w:val="000000"/>
                <w:sz w:val="20"/>
              </w:rPr>
              <w:t>13.8</w:t>
            </w:r>
          </w:p>
        </w:tc>
        <w:tc>
          <w:tcPr>
            <w:tcW w:type="dxa" w:w="756"/>
          </w:tcPr>
          <w:p>
            <w:r>
              <w:rPr>
                <w:rFonts w:ascii="Arial" w:hAnsi="Arial"/>
                <w:b w:val="0"/>
                <w:i w:val="0"/>
                <w:color w:val="000000"/>
                <w:sz w:val="20"/>
              </w:rPr>
              <w:t>11.8</w:t>
            </w:r>
          </w:p>
        </w:tc>
        <w:tc>
          <w:tcPr>
            <w:tcW w:type="dxa" w:w="756"/>
          </w:tcPr>
          <w:p>
            <w:r>
              <w:rPr>
                <w:rFonts w:ascii="Arial" w:hAnsi="Arial"/>
                <w:b w:val="0"/>
                <w:i w:val="0"/>
                <w:color w:val="000000"/>
                <w:sz w:val="20"/>
              </w:rPr>
              <w:t>170.6</w:t>
            </w:r>
          </w:p>
        </w:tc>
      </w:tr>
      <w:tr>
        <w:tc>
          <w:tcPr>
            <w:tcW w:type="dxa" w:w="756"/>
          </w:tcPr>
          <w:p>
            <w:r>
              <w:rPr>
                <w:rFonts w:ascii="Arial" w:hAnsi="Arial"/>
                <w:b w:val="0"/>
                <w:i w:val="0"/>
                <w:color w:val="000000"/>
                <w:sz w:val="20"/>
              </w:rPr>
              <w:t>BOD</w:t>
            </w:r>
          </w:p>
        </w:tc>
        <w:tc>
          <w:tcPr>
            <w:tcW w:type="dxa" w:w="756"/>
          </w:tcPr>
          <w:p>
            <w:r>
              <w:rPr>
                <w:rFonts w:ascii="Arial" w:hAnsi="Arial"/>
                <w:b w:val="0"/>
                <w:i w:val="0"/>
                <w:color w:val="000000"/>
                <w:sz w:val="20"/>
              </w:rPr>
              <w:t>9.4</w:t>
            </w:r>
          </w:p>
        </w:tc>
        <w:tc>
          <w:tcPr>
            <w:tcW w:type="dxa" w:w="756"/>
          </w:tcPr>
          <w:p>
            <w:r>
              <w:rPr>
                <w:rFonts w:ascii="Arial" w:hAnsi="Arial"/>
                <w:b w:val="0"/>
                <w:i w:val="0"/>
                <w:color w:val="000000"/>
                <w:sz w:val="20"/>
              </w:rPr>
              <w:t>11.2</w:t>
            </w:r>
          </w:p>
        </w:tc>
        <w:tc>
          <w:tcPr>
            <w:tcW w:type="dxa" w:w="756"/>
          </w:tcPr>
          <w:p>
            <w:r>
              <w:rPr>
                <w:rFonts w:ascii="Arial" w:hAnsi="Arial"/>
                <w:b w:val="0"/>
                <w:i w:val="0"/>
                <w:color w:val="000000"/>
                <w:sz w:val="20"/>
              </w:rPr>
              <w:t>3.9</w:t>
            </w:r>
          </w:p>
        </w:tc>
        <w:tc>
          <w:tcPr>
            <w:tcW w:type="dxa" w:w="756"/>
          </w:tcPr>
          <w:p>
            <w:r>
              <w:rPr>
                <w:rFonts w:ascii="Arial" w:hAnsi="Arial"/>
                <w:b w:val="0"/>
                <w:i w:val="0"/>
                <w:color w:val="000000"/>
                <w:sz w:val="20"/>
              </w:rPr>
              <w:t>3.2</w:t>
            </w:r>
          </w:p>
        </w:tc>
        <w:tc>
          <w:tcPr>
            <w:tcW w:type="dxa" w:w="756"/>
          </w:tcPr>
          <w:p>
            <w:r>
              <w:rPr>
                <w:rFonts w:ascii="Arial" w:hAnsi="Arial"/>
                <w:b w:val="0"/>
                <w:i w:val="0"/>
                <w:color w:val="000000"/>
                <w:sz w:val="20"/>
              </w:rPr>
              <w:t>5.5</w:t>
            </w:r>
          </w:p>
        </w:tc>
        <w:tc>
          <w:tcPr>
            <w:tcW w:type="dxa" w:w="756"/>
          </w:tcPr>
          <w:p>
            <w:r>
              <w:rPr>
                <w:rFonts w:ascii="Arial" w:hAnsi="Arial"/>
                <w:b w:val="0"/>
                <w:i w:val="0"/>
                <w:color w:val="000000"/>
                <w:sz w:val="20"/>
              </w:rPr>
              <w:t>3.6</w:t>
            </w:r>
          </w:p>
        </w:tc>
        <w:tc>
          <w:tcPr>
            <w:tcW w:type="dxa" w:w="756"/>
          </w:tcPr>
          <w:p>
            <w:r>
              <w:rPr>
                <w:rFonts w:ascii="Arial" w:hAnsi="Arial"/>
                <w:b w:val="0"/>
                <w:i w:val="0"/>
                <w:color w:val="000000"/>
                <w:sz w:val="20"/>
              </w:rPr>
              <w:t>2.6</w:t>
            </w:r>
          </w:p>
        </w:tc>
        <w:tc>
          <w:tcPr>
            <w:tcW w:type="dxa" w:w="756"/>
          </w:tcPr>
          <w:p>
            <w:r>
              <w:rPr>
                <w:rFonts w:ascii="Arial" w:hAnsi="Arial"/>
                <w:b w:val="0"/>
                <w:i w:val="0"/>
                <w:color w:val="000000"/>
                <w:sz w:val="20"/>
              </w:rPr>
              <w:t>4.7</w:t>
            </w:r>
          </w:p>
        </w:tc>
        <w:tc>
          <w:tcPr>
            <w:tcW w:type="dxa" w:w="756"/>
          </w:tcPr>
          <w:p>
            <w:r>
              <w:rPr>
                <w:rFonts w:ascii="Arial" w:hAnsi="Arial"/>
                <w:b w:val="0"/>
                <w:i w:val="0"/>
                <w:color w:val="000000"/>
                <w:sz w:val="20"/>
              </w:rPr>
              <w:t>4.2</w:t>
            </w:r>
          </w:p>
        </w:tc>
        <w:tc>
          <w:tcPr>
            <w:tcW w:type="dxa" w:w="756"/>
          </w:tcPr>
          <w:p>
            <w:r>
              <w:rPr>
                <w:rFonts w:ascii="Arial" w:hAnsi="Arial"/>
                <w:b w:val="0"/>
                <w:i w:val="0"/>
                <w:color w:val="000000"/>
                <w:sz w:val="20"/>
              </w:rPr>
              <w:t>3.6</w:t>
            </w:r>
          </w:p>
        </w:tc>
        <w:tc>
          <w:tcPr>
            <w:tcW w:type="dxa" w:w="756"/>
          </w:tcPr>
          <w:p>
            <w:r>
              <w:rPr>
                <w:rFonts w:ascii="Arial" w:hAnsi="Arial"/>
                <w:b w:val="0"/>
                <w:i w:val="0"/>
                <w:color w:val="000000"/>
                <w:sz w:val="20"/>
              </w:rPr>
              <w:t>51.9</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46.4</w:t>
            </w:r>
          </w:p>
        </w:tc>
        <w:tc>
          <w:tcPr>
            <w:tcW w:type="dxa" w:w="756"/>
            <w:shd w:val="clear" w:color="auto" w:fill="F3F3F3"/>
          </w:tcPr>
          <w:p>
            <w:r>
              <w:rPr>
                <w:rFonts w:ascii="Arial" w:hAnsi="Arial"/>
                <w:b/>
                <w:i w:val="0"/>
                <w:color w:val="000000"/>
                <w:sz w:val="20"/>
              </w:rPr>
              <w:t>54.4</w:t>
            </w:r>
          </w:p>
        </w:tc>
        <w:tc>
          <w:tcPr>
            <w:tcW w:type="dxa" w:w="756"/>
            <w:shd w:val="clear" w:color="auto" w:fill="F3F3F3"/>
          </w:tcPr>
          <w:p>
            <w:r>
              <w:rPr>
                <w:rFonts w:ascii="Arial" w:hAnsi="Arial"/>
                <w:b/>
                <w:i w:val="0"/>
                <w:color w:val="000000"/>
                <w:sz w:val="20"/>
              </w:rPr>
              <w:t>19.1</w:t>
            </w:r>
          </w:p>
        </w:tc>
        <w:tc>
          <w:tcPr>
            <w:tcW w:type="dxa" w:w="756"/>
            <w:shd w:val="clear" w:color="auto" w:fill="F3F3F3"/>
          </w:tcPr>
          <w:p>
            <w:r>
              <w:rPr>
                <w:rFonts w:ascii="Arial" w:hAnsi="Arial"/>
                <w:b/>
                <w:i w:val="0"/>
                <w:color w:val="000000"/>
                <w:sz w:val="20"/>
              </w:rPr>
              <w:t>15.8</w:t>
            </w:r>
          </w:p>
        </w:tc>
        <w:tc>
          <w:tcPr>
            <w:tcW w:type="dxa" w:w="756"/>
            <w:shd w:val="clear" w:color="auto" w:fill="F3F3F3"/>
          </w:tcPr>
          <w:p>
            <w:r>
              <w:rPr>
                <w:rFonts w:ascii="Arial" w:hAnsi="Arial"/>
                <w:b/>
                <w:i w:val="0"/>
                <w:color w:val="000000"/>
                <w:sz w:val="20"/>
              </w:rPr>
              <w:t>27.1</w:t>
            </w:r>
          </w:p>
        </w:tc>
        <w:tc>
          <w:tcPr>
            <w:tcW w:type="dxa" w:w="756"/>
            <w:shd w:val="clear" w:color="auto" w:fill="F3F3F3"/>
          </w:tcPr>
          <w:p>
            <w:r>
              <w:rPr>
                <w:rFonts w:ascii="Arial" w:hAnsi="Arial"/>
                <w:b/>
                <w:i w:val="0"/>
                <w:color w:val="000000"/>
                <w:sz w:val="20"/>
              </w:rPr>
              <w:t>17.6</w:t>
            </w:r>
          </w:p>
        </w:tc>
        <w:tc>
          <w:tcPr>
            <w:tcW w:type="dxa" w:w="756"/>
            <w:shd w:val="clear" w:color="auto" w:fill="F3F3F3"/>
          </w:tcPr>
          <w:p>
            <w:r>
              <w:rPr>
                <w:rFonts w:ascii="Arial" w:hAnsi="Arial"/>
                <w:b/>
                <w:i w:val="0"/>
                <w:color w:val="000000"/>
                <w:sz w:val="20"/>
              </w:rPr>
              <w:t>12.8</w:t>
            </w:r>
          </w:p>
        </w:tc>
        <w:tc>
          <w:tcPr>
            <w:tcW w:type="dxa" w:w="756"/>
            <w:shd w:val="clear" w:color="auto" w:fill="F3F3F3"/>
          </w:tcPr>
          <w:p>
            <w:r>
              <w:rPr>
                <w:rFonts w:ascii="Arial" w:hAnsi="Arial"/>
                <w:b/>
                <w:i w:val="0"/>
                <w:color w:val="000000"/>
                <w:sz w:val="20"/>
              </w:rPr>
              <w:t>23.0</w:t>
            </w:r>
          </w:p>
        </w:tc>
        <w:tc>
          <w:tcPr>
            <w:tcW w:type="dxa" w:w="756"/>
            <w:shd w:val="clear" w:color="auto" w:fill="F3F3F3"/>
          </w:tcPr>
          <w:p>
            <w:r>
              <w:rPr>
                <w:rFonts w:ascii="Arial" w:hAnsi="Arial"/>
                <w:b/>
                <w:i w:val="0"/>
                <w:color w:val="000000"/>
                <w:sz w:val="20"/>
              </w:rPr>
              <w:t>20.6</w:t>
            </w:r>
          </w:p>
        </w:tc>
        <w:tc>
          <w:tcPr>
            <w:tcW w:type="dxa" w:w="756"/>
            <w:shd w:val="clear" w:color="auto" w:fill="F3F3F3"/>
          </w:tcPr>
          <w:p>
            <w:r>
              <w:rPr>
                <w:rFonts w:ascii="Arial" w:hAnsi="Arial"/>
                <w:b/>
                <w:i w:val="0"/>
                <w:color w:val="000000"/>
                <w:sz w:val="20"/>
              </w:rPr>
              <w:t>17.6</w:t>
            </w:r>
          </w:p>
        </w:tc>
        <w:tc>
          <w:tcPr>
            <w:tcW w:type="dxa" w:w="756"/>
            <w:shd w:val="clear" w:color="auto" w:fill="F3F3F3"/>
          </w:tcPr>
          <w:p>
            <w:r>
              <w:rPr>
                <w:rFonts w:ascii="Arial" w:hAnsi="Arial"/>
                <w:b/>
                <w:i w:val="0"/>
                <w:color w:val="000000"/>
                <w:sz w:val="20"/>
              </w:rPr>
              <w:t>254.4</w:t>
            </w:r>
          </w:p>
        </w:tc>
      </w:tr>
    </w:tbl>
    <w:p>
      <w:r>
        <w:rPr>
          <w:rFonts w:ascii="Arial" w:hAnsi="Arial"/>
          <w:b w:val="0"/>
          <w:i w:val="0"/>
          <w:color w:val="000000"/>
          <w:sz w:val="22"/>
        </w:rPr>
        <w:t>No other geographical areas outside those listed generated material water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5.3.6.4  Quantify Emissions to Water by Pollutant — By Source</w:t>
      </w:r>
    </w:p>
    <w:p>
      <w:r>
        <w:rPr>
          <w:rFonts w:ascii="Arial" w:hAnsi="Arial"/>
          <w:b/>
          <w:i w:val="0"/>
          <w:color w:val="000000"/>
          <w:sz w:val="20"/>
        </w:rPr>
        <w:t>Table 5.3.6.4 — Emissions to Water by Pollutant (By Source)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Direct</w:t>
            </w:r>
          </w:p>
        </w:tc>
        <w:tc>
          <w:tcPr>
            <w:tcW w:type="dxa" w:w="756"/>
            <w:shd w:val="clear" w:color="auto" w:fill="D9D9D9"/>
          </w:tcPr>
          <w:p>
            <w:r>
              <w:rPr>
                <w:rFonts w:ascii="Arial" w:hAnsi="Arial"/>
                <w:b/>
                <w:i w:val="0"/>
                <w:color w:val="000000"/>
                <w:sz w:val="20"/>
              </w:rPr>
              <w:t>Runoff</w:t>
            </w:r>
          </w:p>
        </w:tc>
        <w:tc>
          <w:tcPr>
            <w:tcW w:type="dxa" w:w="756"/>
            <w:shd w:val="clear" w:color="auto" w:fill="D9D9D9"/>
          </w:tcPr>
          <w:p>
            <w:r>
              <w:rPr>
                <w:rFonts w:ascii="Arial" w:hAnsi="Arial"/>
                <w:b/>
                <w:i w:val="0"/>
                <w:color w:val="000000"/>
                <w:sz w:val="20"/>
              </w:rPr>
              <w:t>Cooling</w:t>
            </w:r>
          </w:p>
        </w:tc>
        <w:tc>
          <w:tcPr>
            <w:tcW w:type="dxa" w:w="756"/>
            <w:shd w:val="clear" w:color="auto" w:fill="D9D9D9"/>
          </w:tcPr>
          <w:p>
            <w:r>
              <w:rPr>
                <w:rFonts w:ascii="Arial" w:hAnsi="Arial"/>
                <w:b/>
                <w:i w:val="0"/>
                <w:color w:val="000000"/>
                <w:sz w:val="20"/>
              </w:rPr>
              <w:t>Process</w:t>
            </w:r>
          </w:p>
        </w:tc>
        <w:tc>
          <w:tcPr>
            <w:tcW w:type="dxa" w:w="756"/>
            <w:shd w:val="clear" w:color="auto" w:fill="D9D9D9"/>
          </w:tcPr>
          <w:p>
            <w:r>
              <w:rPr>
                <w:rFonts w:ascii="Arial" w:hAnsi="Arial"/>
                <w:b/>
                <w:i w:val="0"/>
                <w:color w:val="000000"/>
                <w:sz w:val="20"/>
              </w:rPr>
              <w:t>Sewage</w:t>
            </w:r>
          </w:p>
        </w:tc>
        <w:tc>
          <w:tcPr>
            <w:tcW w:type="dxa" w:w="756"/>
            <w:shd w:val="clear" w:color="auto" w:fill="D9D9D9"/>
          </w:tcPr>
          <w:p>
            <w:r>
              <w:rPr>
                <w:rFonts w:ascii="Arial" w:hAnsi="Arial"/>
                <w:b/>
                <w:i w:val="0"/>
                <w:color w:val="000000"/>
                <w:sz w:val="20"/>
              </w:rPr>
              <w:t>Leachate</w:t>
            </w:r>
          </w:p>
        </w:tc>
        <w:tc>
          <w:tcPr>
            <w:tcW w:type="dxa" w:w="756"/>
            <w:shd w:val="clear" w:color="auto" w:fill="D9D9D9"/>
          </w:tcPr>
          <w:p>
            <w:r>
              <w:rPr>
                <w:rFonts w:ascii="Arial" w:hAnsi="Arial"/>
                <w:b/>
                <w:i w:val="0"/>
                <w:color w:val="000000"/>
                <w:sz w:val="20"/>
              </w:rPr>
              <w:t>Atm. Dep.</w:t>
            </w:r>
          </w:p>
        </w:tc>
        <w:tc>
          <w:tcPr>
            <w:tcW w:type="dxa" w:w="756"/>
            <w:shd w:val="clear" w:color="auto" w:fill="D9D9D9"/>
          </w:tcPr>
          <w:p>
            <w:r>
              <w:rPr>
                <w:rFonts w:ascii="Arial" w:hAnsi="Arial"/>
                <w:b/>
                <w:i w:val="0"/>
                <w:color w:val="000000"/>
                <w:sz w:val="20"/>
              </w:rPr>
              <w:t>Spill</w:t>
            </w:r>
          </w:p>
        </w:tc>
        <w:tc>
          <w:tcPr>
            <w:tcW w:type="dxa" w:w="756"/>
            <w:shd w:val="clear" w:color="auto" w:fill="D9D9D9"/>
          </w:tcPr>
          <w:p>
            <w:r>
              <w:rPr>
                <w:rFonts w:ascii="Arial" w:hAnsi="Arial"/>
                <w:b/>
                <w:i w:val="0"/>
                <w:color w:val="000000"/>
                <w:sz w:val="20"/>
              </w:rPr>
              <w:t>Sludge</w:t>
            </w:r>
          </w:p>
        </w:tc>
        <w:tc>
          <w:tcPr>
            <w:tcW w:type="dxa" w:w="756"/>
            <w:shd w:val="clear" w:color="auto" w:fill="D9D9D9"/>
          </w:tcPr>
          <w:p>
            <w:r>
              <w:rPr>
                <w:rFonts w:ascii="Arial" w:hAnsi="Arial"/>
                <w:b/>
                <w:i w:val="0"/>
                <w:color w:val="000000"/>
                <w:sz w:val="20"/>
              </w:rPr>
              <w:t>Other</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TSS</w:t>
            </w:r>
          </w:p>
        </w:tc>
        <w:tc>
          <w:tcPr>
            <w:tcW w:type="dxa" w:w="756"/>
          </w:tcPr>
          <w:p>
            <w:r>
              <w:rPr>
                <w:rFonts w:ascii="Arial" w:hAnsi="Arial"/>
                <w:b w:val="0"/>
                <w:i w:val="0"/>
                <w:color w:val="000000"/>
                <w:sz w:val="20"/>
              </w:rPr>
              <w:t>8.2</w:t>
            </w:r>
          </w:p>
        </w:tc>
        <w:tc>
          <w:tcPr>
            <w:tcW w:type="dxa" w:w="756"/>
          </w:tcPr>
          <w:p>
            <w:r>
              <w:rPr>
                <w:rFonts w:ascii="Arial" w:hAnsi="Arial"/>
                <w:b w:val="0"/>
                <w:i w:val="0"/>
                <w:color w:val="000000"/>
                <w:sz w:val="20"/>
              </w:rPr>
              <w:t>7.4</w:t>
            </w:r>
          </w:p>
        </w:tc>
        <w:tc>
          <w:tcPr>
            <w:tcW w:type="dxa" w:w="756"/>
          </w:tcPr>
          <w:p>
            <w:r>
              <w:rPr>
                <w:rFonts w:ascii="Arial" w:hAnsi="Arial"/>
                <w:b w:val="0"/>
                <w:i w:val="0"/>
                <w:color w:val="000000"/>
                <w:sz w:val="20"/>
              </w:rPr>
              <w:t>4.8</w:t>
            </w:r>
          </w:p>
        </w:tc>
        <w:tc>
          <w:tcPr>
            <w:tcW w:type="dxa" w:w="756"/>
          </w:tcPr>
          <w:p>
            <w:r>
              <w:rPr>
                <w:rFonts w:ascii="Arial" w:hAnsi="Arial"/>
                <w:b w:val="0"/>
                <w:i w:val="0"/>
                <w:color w:val="000000"/>
                <w:sz w:val="20"/>
              </w:rPr>
              <w:t>6.4</w:t>
            </w:r>
          </w:p>
        </w:tc>
        <w:tc>
          <w:tcPr>
            <w:tcW w:type="dxa" w:w="756"/>
          </w:tcPr>
          <w:p>
            <w:r>
              <w:rPr>
                <w:rFonts w:ascii="Arial" w:hAnsi="Arial"/>
                <w:b w:val="0"/>
                <w:i w:val="0"/>
                <w:color w:val="000000"/>
                <w:sz w:val="20"/>
              </w:rPr>
              <w:t>4.2</w:t>
            </w:r>
          </w:p>
        </w:tc>
        <w:tc>
          <w:tcPr>
            <w:tcW w:type="dxa" w:w="756"/>
          </w:tcPr>
          <w:p>
            <w:r>
              <w:rPr>
                <w:rFonts w:ascii="Arial" w:hAnsi="Arial"/>
                <w:b w:val="0"/>
                <w:i w:val="0"/>
                <w:color w:val="000000"/>
                <w:sz w:val="20"/>
              </w:rPr>
              <w:t>3.8</w:t>
            </w:r>
          </w:p>
        </w:tc>
        <w:tc>
          <w:tcPr>
            <w:tcW w:type="dxa" w:w="756"/>
          </w:tcPr>
          <w:p>
            <w:r>
              <w:rPr>
                <w:rFonts w:ascii="Arial" w:hAnsi="Arial"/>
                <w:b w:val="0"/>
                <w:i w:val="0"/>
                <w:color w:val="000000"/>
                <w:sz w:val="20"/>
              </w:rPr>
              <w:t>2.6</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2.0</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42.9</w:t>
            </w:r>
          </w:p>
        </w:tc>
      </w:tr>
      <w:tr>
        <w:tc>
          <w:tcPr>
            <w:tcW w:type="dxa" w:w="756"/>
          </w:tcPr>
          <w:p>
            <w:r>
              <w:rPr>
                <w:rFonts w:ascii="Arial" w:hAnsi="Arial"/>
                <w:b w:val="0"/>
                <w:i w:val="0"/>
                <w:color w:val="000000"/>
                <w:sz w:val="20"/>
              </w:rPr>
              <w:t>COD</w:t>
            </w:r>
          </w:p>
        </w:tc>
        <w:tc>
          <w:tcPr>
            <w:tcW w:type="dxa" w:w="756"/>
          </w:tcPr>
          <w:p>
            <w:r>
              <w:rPr>
                <w:rFonts w:ascii="Arial" w:hAnsi="Arial"/>
                <w:b w:val="0"/>
                <w:i w:val="0"/>
                <w:color w:val="000000"/>
                <w:sz w:val="20"/>
              </w:rPr>
              <w:t>44.2</w:t>
            </w:r>
          </w:p>
        </w:tc>
        <w:tc>
          <w:tcPr>
            <w:tcW w:type="dxa" w:w="756"/>
          </w:tcPr>
          <w:p>
            <w:r>
              <w:rPr>
                <w:rFonts w:ascii="Arial" w:hAnsi="Arial"/>
                <w:b w:val="0"/>
                <w:i w:val="0"/>
                <w:color w:val="000000"/>
                <w:sz w:val="20"/>
              </w:rPr>
              <w:t>39.8</w:t>
            </w:r>
          </w:p>
        </w:tc>
        <w:tc>
          <w:tcPr>
            <w:tcW w:type="dxa" w:w="756"/>
          </w:tcPr>
          <w:p>
            <w:r>
              <w:rPr>
                <w:rFonts w:ascii="Arial" w:hAnsi="Arial"/>
                <w:b w:val="0"/>
                <w:i w:val="0"/>
                <w:color w:val="000000"/>
                <w:sz w:val="20"/>
              </w:rPr>
              <w:t>26.4</w:t>
            </w:r>
          </w:p>
        </w:tc>
        <w:tc>
          <w:tcPr>
            <w:tcW w:type="dxa" w:w="756"/>
          </w:tcPr>
          <w:p>
            <w:r>
              <w:rPr>
                <w:rFonts w:ascii="Arial" w:hAnsi="Arial"/>
                <w:b w:val="0"/>
                <w:i w:val="0"/>
                <w:color w:val="000000"/>
                <w:sz w:val="20"/>
              </w:rPr>
              <w:t>34.2</w:t>
            </w:r>
          </w:p>
        </w:tc>
        <w:tc>
          <w:tcPr>
            <w:tcW w:type="dxa" w:w="756"/>
          </w:tcPr>
          <w:p>
            <w:r>
              <w:rPr>
                <w:rFonts w:ascii="Arial" w:hAnsi="Arial"/>
                <w:b w:val="0"/>
                <w:i w:val="0"/>
                <w:color w:val="000000"/>
                <w:sz w:val="20"/>
              </w:rPr>
              <w:t>22.8</w:t>
            </w:r>
          </w:p>
        </w:tc>
        <w:tc>
          <w:tcPr>
            <w:tcW w:type="dxa" w:w="756"/>
          </w:tcPr>
          <w:p>
            <w:r>
              <w:rPr>
                <w:rFonts w:ascii="Arial" w:hAnsi="Arial"/>
                <w:b w:val="0"/>
                <w:i w:val="0"/>
                <w:color w:val="000000"/>
                <w:sz w:val="20"/>
              </w:rPr>
              <w:t>20.4</w:t>
            </w:r>
          </w:p>
        </w:tc>
        <w:tc>
          <w:tcPr>
            <w:tcW w:type="dxa" w:w="756"/>
          </w:tcPr>
          <w:p>
            <w:r>
              <w:rPr>
                <w:rFonts w:ascii="Arial" w:hAnsi="Arial"/>
                <w:b w:val="0"/>
                <w:i w:val="0"/>
                <w:color w:val="000000"/>
                <w:sz w:val="20"/>
              </w:rPr>
              <w:t>14.2</w:t>
            </w:r>
          </w:p>
        </w:tc>
        <w:tc>
          <w:tcPr>
            <w:tcW w:type="dxa" w:w="756"/>
          </w:tcPr>
          <w:p>
            <w:r>
              <w:rPr>
                <w:rFonts w:ascii="Arial" w:hAnsi="Arial"/>
                <w:b w:val="0"/>
                <w:i w:val="0"/>
                <w:color w:val="000000"/>
                <w:sz w:val="20"/>
              </w:rPr>
              <w:t>11.4</w:t>
            </w:r>
          </w:p>
        </w:tc>
        <w:tc>
          <w:tcPr>
            <w:tcW w:type="dxa" w:w="756"/>
          </w:tcPr>
          <w:p>
            <w:r>
              <w:rPr>
                <w:rFonts w:ascii="Arial" w:hAnsi="Arial"/>
                <w:b w:val="0"/>
                <w:i w:val="0"/>
                <w:color w:val="000000"/>
                <w:sz w:val="20"/>
              </w:rPr>
              <w:t>10.8</w:t>
            </w:r>
          </w:p>
        </w:tc>
        <w:tc>
          <w:tcPr>
            <w:tcW w:type="dxa" w:w="756"/>
          </w:tcPr>
          <w:p>
            <w:r>
              <w:rPr>
                <w:rFonts w:ascii="Arial" w:hAnsi="Arial"/>
                <w:b w:val="0"/>
                <w:i w:val="0"/>
                <w:color w:val="000000"/>
                <w:sz w:val="20"/>
              </w:rPr>
              <w:t>7.4</w:t>
            </w:r>
          </w:p>
        </w:tc>
        <w:tc>
          <w:tcPr>
            <w:tcW w:type="dxa" w:w="756"/>
          </w:tcPr>
          <w:p>
            <w:r>
              <w:rPr>
                <w:rFonts w:ascii="Arial" w:hAnsi="Arial"/>
                <w:b w:val="0"/>
                <w:i w:val="0"/>
                <w:color w:val="000000"/>
                <w:sz w:val="20"/>
              </w:rPr>
              <w:t>231.6</w:t>
            </w:r>
          </w:p>
        </w:tc>
      </w:tr>
      <w:tr>
        <w:tc>
          <w:tcPr>
            <w:tcW w:type="dxa" w:w="756"/>
          </w:tcPr>
          <w:p>
            <w:r>
              <w:rPr>
                <w:rFonts w:ascii="Arial" w:hAnsi="Arial"/>
                <w:b w:val="0"/>
                <w:i w:val="0"/>
                <w:color w:val="000000"/>
                <w:sz w:val="20"/>
              </w:rPr>
              <w:t>BOD</w:t>
            </w:r>
          </w:p>
        </w:tc>
        <w:tc>
          <w:tcPr>
            <w:tcW w:type="dxa" w:w="756"/>
          </w:tcPr>
          <w:p>
            <w:r>
              <w:rPr>
                <w:rFonts w:ascii="Arial" w:hAnsi="Arial"/>
                <w:b w:val="0"/>
                <w:i w:val="0"/>
                <w:color w:val="000000"/>
                <w:sz w:val="20"/>
              </w:rPr>
              <w:t>13.4</w:t>
            </w:r>
          </w:p>
        </w:tc>
        <w:tc>
          <w:tcPr>
            <w:tcW w:type="dxa" w:w="756"/>
          </w:tcPr>
          <w:p>
            <w:r>
              <w:rPr>
                <w:rFonts w:ascii="Arial" w:hAnsi="Arial"/>
                <w:b w:val="0"/>
                <w:i w:val="0"/>
                <w:color w:val="000000"/>
                <w:sz w:val="20"/>
              </w:rPr>
              <w:t>12.2</w:t>
            </w:r>
          </w:p>
        </w:tc>
        <w:tc>
          <w:tcPr>
            <w:tcW w:type="dxa" w:w="756"/>
          </w:tcPr>
          <w:p>
            <w:r>
              <w:rPr>
                <w:rFonts w:ascii="Arial" w:hAnsi="Arial"/>
                <w:b w:val="0"/>
                <w:i w:val="0"/>
                <w:color w:val="000000"/>
                <w:sz w:val="20"/>
              </w:rPr>
              <w:t>8.0</w:t>
            </w:r>
          </w:p>
        </w:tc>
        <w:tc>
          <w:tcPr>
            <w:tcW w:type="dxa" w:w="756"/>
          </w:tcPr>
          <w:p>
            <w:r>
              <w:rPr>
                <w:rFonts w:ascii="Arial" w:hAnsi="Arial"/>
                <w:b w:val="0"/>
                <w:i w:val="0"/>
                <w:color w:val="000000"/>
                <w:sz w:val="20"/>
              </w:rPr>
              <w:t>10.4</w:t>
            </w:r>
          </w:p>
        </w:tc>
        <w:tc>
          <w:tcPr>
            <w:tcW w:type="dxa" w:w="756"/>
          </w:tcPr>
          <w:p>
            <w:r>
              <w:rPr>
                <w:rFonts w:ascii="Arial" w:hAnsi="Arial"/>
                <w:b w:val="0"/>
                <w:i w:val="0"/>
                <w:color w:val="000000"/>
                <w:sz w:val="20"/>
              </w:rPr>
              <w:t>6.8</w:t>
            </w:r>
          </w:p>
        </w:tc>
        <w:tc>
          <w:tcPr>
            <w:tcW w:type="dxa" w:w="756"/>
          </w:tcPr>
          <w:p>
            <w:r>
              <w:rPr>
                <w:rFonts w:ascii="Arial" w:hAnsi="Arial"/>
                <w:b w:val="0"/>
                <w:i w:val="0"/>
                <w:color w:val="000000"/>
                <w:sz w:val="20"/>
              </w:rPr>
              <w:t>6.2</w:t>
            </w:r>
          </w:p>
        </w:tc>
        <w:tc>
          <w:tcPr>
            <w:tcW w:type="dxa" w:w="756"/>
          </w:tcPr>
          <w:p>
            <w:r>
              <w:rPr>
                <w:rFonts w:ascii="Arial" w:hAnsi="Arial"/>
                <w:b w:val="0"/>
                <w:i w:val="0"/>
                <w:color w:val="000000"/>
                <w:sz w:val="20"/>
              </w:rPr>
              <w:t>4.2</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3.2</w:t>
            </w:r>
          </w:p>
        </w:tc>
        <w:tc>
          <w:tcPr>
            <w:tcW w:type="dxa" w:w="756"/>
          </w:tcPr>
          <w:p>
            <w:r>
              <w:rPr>
                <w:rFonts w:ascii="Arial" w:hAnsi="Arial"/>
                <w:b w:val="0"/>
                <w:i w:val="0"/>
                <w:color w:val="000000"/>
                <w:sz w:val="20"/>
              </w:rPr>
              <w:t>2.2</w:t>
            </w:r>
          </w:p>
        </w:tc>
        <w:tc>
          <w:tcPr>
            <w:tcW w:type="dxa" w:w="756"/>
          </w:tcPr>
          <w:p>
            <w:r>
              <w:rPr>
                <w:rFonts w:ascii="Arial" w:hAnsi="Arial"/>
                <w:b w:val="0"/>
                <w:i w:val="0"/>
                <w:color w:val="000000"/>
                <w:sz w:val="20"/>
              </w:rPr>
              <w:t>70.0</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65.8</w:t>
            </w:r>
          </w:p>
        </w:tc>
        <w:tc>
          <w:tcPr>
            <w:tcW w:type="dxa" w:w="756"/>
            <w:shd w:val="clear" w:color="auto" w:fill="F3F3F3"/>
          </w:tcPr>
          <w:p>
            <w:r>
              <w:rPr>
                <w:rFonts w:ascii="Arial" w:hAnsi="Arial"/>
                <w:b/>
                <w:i w:val="0"/>
                <w:color w:val="000000"/>
                <w:sz w:val="20"/>
              </w:rPr>
              <w:t>59.4</w:t>
            </w:r>
          </w:p>
        </w:tc>
        <w:tc>
          <w:tcPr>
            <w:tcW w:type="dxa" w:w="756"/>
            <w:shd w:val="clear" w:color="auto" w:fill="F3F3F3"/>
          </w:tcPr>
          <w:p>
            <w:r>
              <w:rPr>
                <w:rFonts w:ascii="Arial" w:hAnsi="Arial"/>
                <w:b/>
                <w:i w:val="0"/>
                <w:color w:val="000000"/>
                <w:sz w:val="20"/>
              </w:rPr>
              <w:t>39.2</w:t>
            </w:r>
          </w:p>
        </w:tc>
        <w:tc>
          <w:tcPr>
            <w:tcW w:type="dxa" w:w="756"/>
            <w:shd w:val="clear" w:color="auto" w:fill="F3F3F3"/>
          </w:tcPr>
          <w:p>
            <w:r>
              <w:rPr>
                <w:rFonts w:ascii="Arial" w:hAnsi="Arial"/>
                <w:b/>
                <w:i w:val="0"/>
                <w:color w:val="000000"/>
                <w:sz w:val="20"/>
              </w:rPr>
              <w:t>51.0</w:t>
            </w:r>
          </w:p>
        </w:tc>
        <w:tc>
          <w:tcPr>
            <w:tcW w:type="dxa" w:w="756"/>
            <w:shd w:val="clear" w:color="auto" w:fill="F3F3F3"/>
          </w:tcPr>
          <w:p>
            <w:r>
              <w:rPr>
                <w:rFonts w:ascii="Arial" w:hAnsi="Arial"/>
                <w:b/>
                <w:i w:val="0"/>
                <w:color w:val="000000"/>
                <w:sz w:val="20"/>
              </w:rPr>
              <w:t>33.8</w:t>
            </w:r>
          </w:p>
        </w:tc>
        <w:tc>
          <w:tcPr>
            <w:tcW w:type="dxa" w:w="756"/>
            <w:shd w:val="clear" w:color="auto" w:fill="F3F3F3"/>
          </w:tcPr>
          <w:p>
            <w:r>
              <w:rPr>
                <w:rFonts w:ascii="Arial" w:hAnsi="Arial"/>
                <w:b/>
                <w:i w:val="0"/>
                <w:color w:val="000000"/>
                <w:sz w:val="20"/>
              </w:rPr>
              <w:t>30.4</w:t>
            </w:r>
          </w:p>
        </w:tc>
        <w:tc>
          <w:tcPr>
            <w:tcW w:type="dxa" w:w="756"/>
            <w:shd w:val="clear" w:color="auto" w:fill="F3F3F3"/>
          </w:tcPr>
          <w:p>
            <w:r>
              <w:rPr>
                <w:rFonts w:ascii="Arial" w:hAnsi="Arial"/>
                <w:b/>
                <w:i w:val="0"/>
                <w:color w:val="000000"/>
                <w:sz w:val="20"/>
              </w:rPr>
              <w:t>21.0</w:t>
            </w:r>
          </w:p>
        </w:tc>
        <w:tc>
          <w:tcPr>
            <w:tcW w:type="dxa" w:w="756"/>
            <w:shd w:val="clear" w:color="auto" w:fill="F3F3F3"/>
          </w:tcPr>
          <w:p>
            <w:r>
              <w:rPr>
                <w:rFonts w:ascii="Arial" w:hAnsi="Arial"/>
                <w:b/>
                <w:i w:val="0"/>
                <w:color w:val="000000"/>
                <w:sz w:val="20"/>
              </w:rPr>
              <w:t>16.9</w:t>
            </w:r>
          </w:p>
        </w:tc>
        <w:tc>
          <w:tcPr>
            <w:tcW w:type="dxa" w:w="756"/>
            <w:shd w:val="clear" w:color="auto" w:fill="F3F3F3"/>
          </w:tcPr>
          <w:p>
            <w:r>
              <w:rPr>
                <w:rFonts w:ascii="Arial" w:hAnsi="Arial"/>
                <w:b/>
                <w:i w:val="0"/>
                <w:color w:val="000000"/>
                <w:sz w:val="20"/>
              </w:rPr>
              <w:t>16.0</w:t>
            </w:r>
          </w:p>
        </w:tc>
        <w:tc>
          <w:tcPr>
            <w:tcW w:type="dxa" w:w="756"/>
            <w:shd w:val="clear" w:color="auto" w:fill="F3F3F3"/>
          </w:tcPr>
          <w:p>
            <w:r>
              <w:rPr>
                <w:rFonts w:ascii="Arial" w:hAnsi="Arial"/>
                <w:b/>
                <w:i w:val="0"/>
                <w:color w:val="000000"/>
                <w:sz w:val="20"/>
              </w:rPr>
              <w:t>11.0</w:t>
            </w:r>
          </w:p>
        </w:tc>
        <w:tc>
          <w:tcPr>
            <w:tcW w:type="dxa" w:w="756"/>
            <w:shd w:val="clear" w:color="auto" w:fill="F3F3F3"/>
          </w:tcPr>
          <w:p>
            <w:r>
              <w:rPr>
                <w:rFonts w:ascii="Arial" w:hAnsi="Arial"/>
                <w:b/>
                <w:i w:val="0"/>
                <w:color w:val="000000"/>
                <w:sz w:val="20"/>
              </w:rPr>
              <w:t>344.5</w:t>
            </w:r>
          </w:p>
        </w:tc>
      </w:tr>
    </w:tbl>
    <w:p>
      <w:r>
        <w:rPr>
          <w:rFonts w:ascii="Arial" w:hAnsi="Arial"/>
          <w:b w:val="0"/>
          <w:i w:val="0"/>
          <w:color w:val="000000"/>
          <w:sz w:val="22"/>
        </w:rPr>
        <w:t>No other source categories outside those listed generated material water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5.3.6.5  Quantify Emissions to Water by Pollutant — By Site Location</w:t>
      </w:r>
    </w:p>
    <w:p>
      <w:r>
        <w:rPr>
          <w:rFonts w:ascii="Arial" w:hAnsi="Arial"/>
          <w:b/>
          <w:i w:val="0"/>
          <w:color w:val="000000"/>
          <w:sz w:val="20"/>
        </w:rPr>
        <w:t>Table 5.3.6.5 — Emissions to Water by Pollutant (By Site Location)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Dubai</w:t>
            </w:r>
          </w:p>
        </w:tc>
        <w:tc>
          <w:tcPr>
            <w:tcW w:type="dxa" w:w="756"/>
            <w:shd w:val="clear" w:color="auto" w:fill="D9D9D9"/>
          </w:tcPr>
          <w:p>
            <w:r>
              <w:rPr>
                <w:rFonts w:ascii="Arial" w:hAnsi="Arial"/>
                <w:b/>
                <w:i w:val="0"/>
                <w:color w:val="000000"/>
                <w:sz w:val="20"/>
              </w:rPr>
              <w:t>Mumbai</w:t>
            </w:r>
          </w:p>
        </w:tc>
        <w:tc>
          <w:tcPr>
            <w:tcW w:type="dxa" w:w="756"/>
            <w:shd w:val="clear" w:color="auto" w:fill="D9D9D9"/>
          </w:tcPr>
          <w:p>
            <w:r>
              <w:rPr>
                <w:rFonts w:ascii="Arial" w:hAnsi="Arial"/>
                <w:b/>
                <w:i w:val="0"/>
                <w:color w:val="000000"/>
                <w:sz w:val="20"/>
              </w:rPr>
              <w:t>Frankfurt</w:t>
            </w:r>
          </w:p>
        </w:tc>
        <w:tc>
          <w:tcPr>
            <w:tcW w:type="dxa" w:w="756"/>
            <w:shd w:val="clear" w:color="auto" w:fill="D9D9D9"/>
          </w:tcPr>
          <w:p>
            <w:r>
              <w:rPr>
                <w:rFonts w:ascii="Arial" w:hAnsi="Arial"/>
                <w:b/>
                <w:i w:val="0"/>
                <w:color w:val="000000"/>
                <w:sz w:val="20"/>
              </w:rPr>
              <w:t>Paris</w:t>
            </w:r>
          </w:p>
        </w:tc>
        <w:tc>
          <w:tcPr>
            <w:tcW w:type="dxa" w:w="756"/>
            <w:shd w:val="clear" w:color="auto" w:fill="D9D9D9"/>
          </w:tcPr>
          <w:p>
            <w:r>
              <w:rPr>
                <w:rFonts w:ascii="Arial" w:hAnsi="Arial"/>
                <w:b/>
                <w:i w:val="0"/>
                <w:color w:val="000000"/>
                <w:sz w:val="20"/>
              </w:rPr>
              <w:t>Singapore</w:t>
            </w:r>
          </w:p>
        </w:tc>
        <w:tc>
          <w:tcPr>
            <w:tcW w:type="dxa" w:w="756"/>
            <w:shd w:val="clear" w:color="auto" w:fill="D9D9D9"/>
          </w:tcPr>
          <w:p>
            <w:r>
              <w:rPr>
                <w:rFonts w:ascii="Arial" w:hAnsi="Arial"/>
                <w:b/>
                <w:i w:val="0"/>
                <w:color w:val="000000"/>
                <w:sz w:val="20"/>
              </w:rPr>
              <w:t>Tokyo</w:t>
            </w:r>
          </w:p>
        </w:tc>
        <w:tc>
          <w:tcPr>
            <w:tcW w:type="dxa" w:w="756"/>
            <w:shd w:val="clear" w:color="auto" w:fill="D9D9D9"/>
          </w:tcPr>
          <w:p>
            <w:r>
              <w:rPr>
                <w:rFonts w:ascii="Arial" w:hAnsi="Arial"/>
                <w:b/>
                <w:i w:val="0"/>
                <w:color w:val="000000"/>
                <w:sz w:val="20"/>
              </w:rPr>
              <w:t>London</w:t>
            </w:r>
          </w:p>
        </w:tc>
        <w:tc>
          <w:tcPr>
            <w:tcW w:type="dxa" w:w="756"/>
            <w:shd w:val="clear" w:color="auto" w:fill="D9D9D9"/>
          </w:tcPr>
          <w:p>
            <w:r>
              <w:rPr>
                <w:rFonts w:ascii="Arial" w:hAnsi="Arial"/>
                <w:b/>
                <w:i w:val="0"/>
                <w:color w:val="000000"/>
                <w:sz w:val="20"/>
              </w:rPr>
              <w:t>São Paulo</w:t>
            </w:r>
          </w:p>
        </w:tc>
        <w:tc>
          <w:tcPr>
            <w:tcW w:type="dxa" w:w="756"/>
            <w:shd w:val="clear" w:color="auto" w:fill="D9D9D9"/>
          </w:tcPr>
          <w:p>
            <w:r>
              <w:rPr>
                <w:rFonts w:ascii="Arial" w:hAnsi="Arial"/>
                <w:b/>
                <w:i w:val="0"/>
                <w:color w:val="000000"/>
                <w:sz w:val="20"/>
              </w:rPr>
              <w:t>Sydney</w:t>
            </w:r>
          </w:p>
        </w:tc>
        <w:tc>
          <w:tcPr>
            <w:tcW w:type="dxa" w:w="756"/>
            <w:shd w:val="clear" w:color="auto" w:fill="D9D9D9"/>
          </w:tcPr>
          <w:p>
            <w:r>
              <w:rPr>
                <w:rFonts w:ascii="Arial" w:hAnsi="Arial"/>
                <w:b/>
                <w:i w:val="0"/>
                <w:color w:val="000000"/>
                <w:sz w:val="20"/>
              </w:rPr>
              <w:t>Toronto</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TSS</w:t>
            </w:r>
          </w:p>
        </w:tc>
        <w:tc>
          <w:tcPr>
            <w:tcW w:type="dxa" w:w="756"/>
          </w:tcPr>
          <w:p>
            <w:r>
              <w:rPr>
                <w:rFonts w:ascii="Arial" w:hAnsi="Arial"/>
                <w:b w:val="0"/>
                <w:i w:val="0"/>
                <w:color w:val="000000"/>
                <w:sz w:val="20"/>
              </w:rPr>
              <w:t>5.6</w:t>
            </w:r>
          </w:p>
        </w:tc>
        <w:tc>
          <w:tcPr>
            <w:tcW w:type="dxa" w:w="756"/>
          </w:tcPr>
          <w:p>
            <w:r>
              <w:rPr>
                <w:rFonts w:ascii="Arial" w:hAnsi="Arial"/>
                <w:b w:val="0"/>
                <w:i w:val="0"/>
                <w:color w:val="000000"/>
                <w:sz w:val="20"/>
              </w:rPr>
              <w:t>6.6</w:t>
            </w:r>
          </w:p>
        </w:tc>
        <w:tc>
          <w:tcPr>
            <w:tcW w:type="dxa" w:w="756"/>
          </w:tcPr>
          <w:p>
            <w:r>
              <w:rPr>
                <w:rFonts w:ascii="Arial" w:hAnsi="Arial"/>
                <w:b w:val="0"/>
                <w:i w:val="0"/>
                <w:color w:val="000000"/>
                <w:sz w:val="20"/>
              </w:rPr>
              <w:t>2.3</w:t>
            </w:r>
          </w:p>
        </w:tc>
        <w:tc>
          <w:tcPr>
            <w:tcW w:type="dxa" w:w="756"/>
          </w:tcPr>
          <w:p>
            <w:r>
              <w:rPr>
                <w:rFonts w:ascii="Arial" w:hAnsi="Arial"/>
                <w:b w:val="0"/>
                <w:i w:val="0"/>
                <w:color w:val="000000"/>
                <w:sz w:val="20"/>
              </w:rPr>
              <w:t>1.9</w:t>
            </w:r>
          </w:p>
        </w:tc>
        <w:tc>
          <w:tcPr>
            <w:tcW w:type="dxa" w:w="756"/>
          </w:tcPr>
          <w:p>
            <w:r>
              <w:rPr>
                <w:rFonts w:ascii="Arial" w:hAnsi="Arial"/>
                <w:b w:val="0"/>
                <w:i w:val="0"/>
                <w:color w:val="000000"/>
                <w:sz w:val="20"/>
              </w:rPr>
              <w:t>3.2</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1.5</w:t>
            </w:r>
          </w:p>
        </w:tc>
        <w:tc>
          <w:tcPr>
            <w:tcW w:type="dxa" w:w="756"/>
          </w:tcPr>
          <w:p>
            <w:r>
              <w:rPr>
                <w:rFonts w:ascii="Arial" w:hAnsi="Arial"/>
                <w:b w:val="0"/>
                <w:i w:val="0"/>
                <w:color w:val="000000"/>
                <w:sz w:val="20"/>
              </w:rPr>
              <w:t>2.8</w:t>
            </w:r>
          </w:p>
        </w:tc>
        <w:tc>
          <w:tcPr>
            <w:tcW w:type="dxa" w:w="756"/>
          </w:tcPr>
          <w:p>
            <w:r>
              <w:rPr>
                <w:rFonts w:ascii="Arial" w:hAnsi="Arial"/>
                <w:b w:val="0"/>
                <w:i w:val="0"/>
                <w:color w:val="000000"/>
                <w:sz w:val="20"/>
              </w:rPr>
              <w:t>2.5</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30.6</w:t>
            </w:r>
          </w:p>
        </w:tc>
      </w:tr>
      <w:tr>
        <w:tc>
          <w:tcPr>
            <w:tcW w:type="dxa" w:w="756"/>
          </w:tcPr>
          <w:p>
            <w:r>
              <w:rPr>
                <w:rFonts w:ascii="Arial" w:hAnsi="Arial"/>
                <w:b w:val="0"/>
                <w:i w:val="0"/>
                <w:color w:val="000000"/>
                <w:sz w:val="20"/>
              </w:rPr>
              <w:t>COD</w:t>
            </w:r>
          </w:p>
        </w:tc>
        <w:tc>
          <w:tcPr>
            <w:tcW w:type="dxa" w:w="756"/>
          </w:tcPr>
          <w:p>
            <w:r>
              <w:rPr>
                <w:rFonts w:ascii="Arial" w:hAnsi="Arial"/>
                <w:b w:val="0"/>
                <w:i w:val="0"/>
                <w:color w:val="000000"/>
                <w:sz w:val="20"/>
              </w:rPr>
              <w:t>30.4</w:t>
            </w:r>
          </w:p>
        </w:tc>
        <w:tc>
          <w:tcPr>
            <w:tcW w:type="dxa" w:w="756"/>
          </w:tcPr>
          <w:p>
            <w:r>
              <w:rPr>
                <w:rFonts w:ascii="Arial" w:hAnsi="Arial"/>
                <w:b w:val="0"/>
                <w:i w:val="0"/>
                <w:color w:val="000000"/>
                <w:sz w:val="20"/>
              </w:rPr>
              <w:t>35.2</w:t>
            </w:r>
          </w:p>
        </w:tc>
        <w:tc>
          <w:tcPr>
            <w:tcW w:type="dxa" w:w="756"/>
          </w:tcPr>
          <w:p>
            <w:r>
              <w:rPr>
                <w:rFonts w:ascii="Arial" w:hAnsi="Arial"/>
                <w:b w:val="0"/>
                <w:i w:val="0"/>
                <w:color w:val="000000"/>
                <w:sz w:val="20"/>
              </w:rPr>
              <w:t>12.4</w:t>
            </w:r>
          </w:p>
        </w:tc>
        <w:tc>
          <w:tcPr>
            <w:tcW w:type="dxa" w:w="756"/>
          </w:tcPr>
          <w:p>
            <w:r>
              <w:rPr>
                <w:rFonts w:ascii="Arial" w:hAnsi="Arial"/>
                <w:b w:val="0"/>
                <w:i w:val="0"/>
                <w:color w:val="000000"/>
                <w:sz w:val="20"/>
              </w:rPr>
              <w:t>10.2</w:t>
            </w:r>
          </w:p>
        </w:tc>
        <w:tc>
          <w:tcPr>
            <w:tcW w:type="dxa" w:w="756"/>
          </w:tcPr>
          <w:p>
            <w:r>
              <w:rPr>
                <w:rFonts w:ascii="Arial" w:hAnsi="Arial"/>
                <w:b w:val="0"/>
                <w:i w:val="0"/>
                <w:color w:val="000000"/>
                <w:sz w:val="20"/>
              </w:rPr>
              <w:t>17.6</w:t>
            </w:r>
          </w:p>
        </w:tc>
        <w:tc>
          <w:tcPr>
            <w:tcW w:type="dxa" w:w="756"/>
          </w:tcPr>
          <w:p>
            <w:r>
              <w:rPr>
                <w:rFonts w:ascii="Arial" w:hAnsi="Arial"/>
                <w:b w:val="0"/>
                <w:i w:val="0"/>
                <w:color w:val="000000"/>
                <w:sz w:val="20"/>
              </w:rPr>
              <w:t>11.4</w:t>
            </w:r>
          </w:p>
        </w:tc>
        <w:tc>
          <w:tcPr>
            <w:tcW w:type="dxa" w:w="756"/>
          </w:tcPr>
          <w:p>
            <w:r>
              <w:rPr>
                <w:rFonts w:ascii="Arial" w:hAnsi="Arial"/>
                <w:b w:val="0"/>
                <w:i w:val="0"/>
                <w:color w:val="000000"/>
                <w:sz w:val="20"/>
              </w:rPr>
              <w:t>8.2</w:t>
            </w:r>
          </w:p>
        </w:tc>
        <w:tc>
          <w:tcPr>
            <w:tcW w:type="dxa" w:w="756"/>
          </w:tcPr>
          <w:p>
            <w:r>
              <w:rPr>
                <w:rFonts w:ascii="Arial" w:hAnsi="Arial"/>
                <w:b w:val="0"/>
                <w:i w:val="0"/>
                <w:color w:val="000000"/>
                <w:sz w:val="20"/>
              </w:rPr>
              <w:t>14.8</w:t>
            </w:r>
          </w:p>
        </w:tc>
        <w:tc>
          <w:tcPr>
            <w:tcW w:type="dxa" w:w="756"/>
          </w:tcPr>
          <w:p>
            <w:r>
              <w:rPr>
                <w:rFonts w:ascii="Arial" w:hAnsi="Arial"/>
                <w:b w:val="0"/>
                <w:i w:val="0"/>
                <w:color w:val="000000"/>
                <w:sz w:val="20"/>
              </w:rPr>
              <w:t>13.4</w:t>
            </w:r>
          </w:p>
        </w:tc>
        <w:tc>
          <w:tcPr>
            <w:tcW w:type="dxa" w:w="756"/>
          </w:tcPr>
          <w:p>
            <w:r>
              <w:rPr>
                <w:rFonts w:ascii="Arial" w:hAnsi="Arial"/>
                <w:b w:val="0"/>
                <w:i w:val="0"/>
                <w:color w:val="000000"/>
                <w:sz w:val="20"/>
              </w:rPr>
              <w:t>11.4</w:t>
            </w:r>
          </w:p>
        </w:tc>
        <w:tc>
          <w:tcPr>
            <w:tcW w:type="dxa" w:w="756"/>
          </w:tcPr>
          <w:p>
            <w:r>
              <w:rPr>
                <w:rFonts w:ascii="Arial" w:hAnsi="Arial"/>
                <w:b w:val="0"/>
                <w:i w:val="0"/>
                <w:color w:val="000000"/>
                <w:sz w:val="20"/>
              </w:rPr>
              <w:t>165.0</w:t>
            </w:r>
          </w:p>
        </w:tc>
      </w:tr>
      <w:tr>
        <w:tc>
          <w:tcPr>
            <w:tcW w:type="dxa" w:w="756"/>
          </w:tcPr>
          <w:p>
            <w:r>
              <w:rPr>
                <w:rFonts w:ascii="Arial" w:hAnsi="Arial"/>
                <w:b w:val="0"/>
                <w:i w:val="0"/>
                <w:color w:val="000000"/>
                <w:sz w:val="20"/>
              </w:rPr>
              <w:t>BOD</w:t>
            </w:r>
          </w:p>
        </w:tc>
        <w:tc>
          <w:tcPr>
            <w:tcW w:type="dxa" w:w="756"/>
          </w:tcPr>
          <w:p>
            <w:r>
              <w:rPr>
                <w:rFonts w:ascii="Arial" w:hAnsi="Arial"/>
                <w:b w:val="0"/>
                <w:i w:val="0"/>
                <w:color w:val="000000"/>
                <w:sz w:val="20"/>
              </w:rPr>
              <w:t>9.2</w:t>
            </w:r>
          </w:p>
        </w:tc>
        <w:tc>
          <w:tcPr>
            <w:tcW w:type="dxa" w:w="756"/>
          </w:tcPr>
          <w:p>
            <w:r>
              <w:rPr>
                <w:rFonts w:ascii="Arial" w:hAnsi="Arial"/>
                <w:b w:val="0"/>
                <w:i w:val="0"/>
                <w:color w:val="000000"/>
                <w:sz w:val="20"/>
              </w:rPr>
              <w:t>10.8</w:t>
            </w:r>
          </w:p>
        </w:tc>
        <w:tc>
          <w:tcPr>
            <w:tcW w:type="dxa" w:w="756"/>
          </w:tcPr>
          <w:p>
            <w:r>
              <w:rPr>
                <w:rFonts w:ascii="Arial" w:hAnsi="Arial"/>
                <w:b w:val="0"/>
                <w:i w:val="0"/>
                <w:color w:val="000000"/>
                <w:sz w:val="20"/>
              </w:rPr>
              <w:t>3.8</w:t>
            </w:r>
          </w:p>
        </w:tc>
        <w:tc>
          <w:tcPr>
            <w:tcW w:type="dxa" w:w="756"/>
          </w:tcPr>
          <w:p>
            <w:r>
              <w:rPr>
                <w:rFonts w:ascii="Arial" w:hAnsi="Arial"/>
                <w:b w:val="0"/>
                <w:i w:val="0"/>
                <w:color w:val="000000"/>
                <w:sz w:val="20"/>
              </w:rPr>
              <w:t>3.1</w:t>
            </w:r>
          </w:p>
        </w:tc>
        <w:tc>
          <w:tcPr>
            <w:tcW w:type="dxa" w:w="756"/>
          </w:tcPr>
          <w:p>
            <w:r>
              <w:rPr>
                <w:rFonts w:ascii="Arial" w:hAnsi="Arial"/>
                <w:b w:val="0"/>
                <w:i w:val="0"/>
                <w:color w:val="000000"/>
                <w:sz w:val="20"/>
              </w:rPr>
              <w:t>5.3</w:t>
            </w:r>
          </w:p>
        </w:tc>
        <w:tc>
          <w:tcPr>
            <w:tcW w:type="dxa" w:w="756"/>
          </w:tcPr>
          <w:p>
            <w:r>
              <w:rPr>
                <w:rFonts w:ascii="Arial" w:hAnsi="Arial"/>
                <w:b w:val="0"/>
                <w:i w:val="0"/>
                <w:color w:val="000000"/>
                <w:sz w:val="20"/>
              </w:rPr>
              <w:t>3.5</w:t>
            </w:r>
          </w:p>
        </w:tc>
        <w:tc>
          <w:tcPr>
            <w:tcW w:type="dxa" w:w="756"/>
          </w:tcPr>
          <w:p>
            <w:r>
              <w:rPr>
                <w:rFonts w:ascii="Arial" w:hAnsi="Arial"/>
                <w:b w:val="0"/>
                <w:i w:val="0"/>
                <w:color w:val="000000"/>
                <w:sz w:val="20"/>
              </w:rPr>
              <w:t>2.5</w:t>
            </w:r>
          </w:p>
        </w:tc>
        <w:tc>
          <w:tcPr>
            <w:tcW w:type="dxa" w:w="756"/>
          </w:tcPr>
          <w:p>
            <w:r>
              <w:rPr>
                <w:rFonts w:ascii="Arial" w:hAnsi="Arial"/>
                <w:b w:val="0"/>
                <w:i w:val="0"/>
                <w:color w:val="000000"/>
                <w:sz w:val="20"/>
              </w:rPr>
              <w:t>4.5</w:t>
            </w:r>
          </w:p>
        </w:tc>
        <w:tc>
          <w:tcPr>
            <w:tcW w:type="dxa" w:w="756"/>
          </w:tcPr>
          <w:p>
            <w:r>
              <w:rPr>
                <w:rFonts w:ascii="Arial" w:hAnsi="Arial"/>
                <w:b w:val="0"/>
                <w:i w:val="0"/>
                <w:color w:val="000000"/>
                <w:sz w:val="20"/>
              </w:rPr>
              <w:t>4.1</w:t>
            </w:r>
          </w:p>
        </w:tc>
        <w:tc>
          <w:tcPr>
            <w:tcW w:type="dxa" w:w="756"/>
          </w:tcPr>
          <w:p>
            <w:r>
              <w:rPr>
                <w:rFonts w:ascii="Arial" w:hAnsi="Arial"/>
                <w:b w:val="0"/>
                <w:i w:val="0"/>
                <w:color w:val="000000"/>
                <w:sz w:val="20"/>
              </w:rPr>
              <w:t>3.5</w:t>
            </w:r>
          </w:p>
        </w:tc>
        <w:tc>
          <w:tcPr>
            <w:tcW w:type="dxa" w:w="756"/>
          </w:tcPr>
          <w:p>
            <w:r>
              <w:rPr>
                <w:rFonts w:ascii="Arial" w:hAnsi="Arial"/>
                <w:b w:val="0"/>
                <w:i w:val="0"/>
                <w:color w:val="000000"/>
                <w:sz w:val="20"/>
              </w:rPr>
              <w:t>50.3</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45.2</w:t>
            </w:r>
          </w:p>
        </w:tc>
        <w:tc>
          <w:tcPr>
            <w:tcW w:type="dxa" w:w="756"/>
            <w:shd w:val="clear" w:color="auto" w:fill="F3F3F3"/>
          </w:tcPr>
          <w:p>
            <w:r>
              <w:rPr>
                <w:rFonts w:ascii="Arial" w:hAnsi="Arial"/>
                <w:b/>
                <w:i w:val="0"/>
                <w:color w:val="000000"/>
                <w:sz w:val="20"/>
              </w:rPr>
              <w:t>52.6</w:t>
            </w:r>
          </w:p>
        </w:tc>
        <w:tc>
          <w:tcPr>
            <w:tcW w:type="dxa" w:w="756"/>
            <w:shd w:val="clear" w:color="auto" w:fill="F3F3F3"/>
          </w:tcPr>
          <w:p>
            <w:r>
              <w:rPr>
                <w:rFonts w:ascii="Arial" w:hAnsi="Arial"/>
                <w:b/>
                <w:i w:val="0"/>
                <w:color w:val="000000"/>
                <w:sz w:val="20"/>
              </w:rPr>
              <w:t>18.5</w:t>
            </w:r>
          </w:p>
        </w:tc>
        <w:tc>
          <w:tcPr>
            <w:tcW w:type="dxa" w:w="756"/>
            <w:shd w:val="clear" w:color="auto" w:fill="F3F3F3"/>
          </w:tcPr>
          <w:p>
            <w:r>
              <w:rPr>
                <w:rFonts w:ascii="Arial" w:hAnsi="Arial"/>
                <w:b/>
                <w:i w:val="0"/>
                <w:color w:val="000000"/>
                <w:sz w:val="20"/>
              </w:rPr>
              <w:t>15.2</w:t>
            </w:r>
          </w:p>
        </w:tc>
        <w:tc>
          <w:tcPr>
            <w:tcW w:type="dxa" w:w="756"/>
            <w:shd w:val="clear" w:color="auto" w:fill="F3F3F3"/>
          </w:tcPr>
          <w:p>
            <w:r>
              <w:rPr>
                <w:rFonts w:ascii="Arial" w:hAnsi="Arial"/>
                <w:b/>
                <w:i w:val="0"/>
                <w:color w:val="000000"/>
                <w:sz w:val="20"/>
              </w:rPr>
              <w:t>26.1</w:t>
            </w:r>
          </w:p>
        </w:tc>
        <w:tc>
          <w:tcPr>
            <w:tcW w:type="dxa" w:w="756"/>
            <w:shd w:val="clear" w:color="auto" w:fill="F3F3F3"/>
          </w:tcPr>
          <w:p>
            <w:r>
              <w:rPr>
                <w:rFonts w:ascii="Arial" w:hAnsi="Arial"/>
                <w:b/>
                <w:i w:val="0"/>
                <w:color w:val="000000"/>
                <w:sz w:val="20"/>
              </w:rPr>
              <w:t>17.0</w:t>
            </w:r>
          </w:p>
        </w:tc>
        <w:tc>
          <w:tcPr>
            <w:tcW w:type="dxa" w:w="756"/>
            <w:shd w:val="clear" w:color="auto" w:fill="F3F3F3"/>
          </w:tcPr>
          <w:p>
            <w:r>
              <w:rPr>
                <w:rFonts w:ascii="Arial" w:hAnsi="Arial"/>
                <w:b/>
                <w:i w:val="0"/>
                <w:color w:val="000000"/>
                <w:sz w:val="20"/>
              </w:rPr>
              <w:t>12.2</w:t>
            </w:r>
          </w:p>
        </w:tc>
        <w:tc>
          <w:tcPr>
            <w:tcW w:type="dxa" w:w="756"/>
            <w:shd w:val="clear" w:color="auto" w:fill="F3F3F3"/>
          </w:tcPr>
          <w:p>
            <w:r>
              <w:rPr>
                <w:rFonts w:ascii="Arial" w:hAnsi="Arial"/>
                <w:b/>
                <w:i w:val="0"/>
                <w:color w:val="000000"/>
                <w:sz w:val="20"/>
              </w:rPr>
              <w:t>22.1</w:t>
            </w:r>
          </w:p>
        </w:tc>
        <w:tc>
          <w:tcPr>
            <w:tcW w:type="dxa" w:w="756"/>
            <w:shd w:val="clear" w:color="auto" w:fill="F3F3F3"/>
          </w:tcPr>
          <w:p>
            <w:r>
              <w:rPr>
                <w:rFonts w:ascii="Arial" w:hAnsi="Arial"/>
                <w:b/>
                <w:i w:val="0"/>
                <w:color w:val="000000"/>
                <w:sz w:val="20"/>
              </w:rPr>
              <w:t>20.0</w:t>
            </w:r>
          </w:p>
        </w:tc>
        <w:tc>
          <w:tcPr>
            <w:tcW w:type="dxa" w:w="756"/>
            <w:shd w:val="clear" w:color="auto" w:fill="F3F3F3"/>
          </w:tcPr>
          <w:p>
            <w:r>
              <w:rPr>
                <w:rFonts w:ascii="Arial" w:hAnsi="Arial"/>
                <w:b/>
                <w:i w:val="0"/>
                <w:color w:val="000000"/>
                <w:sz w:val="20"/>
              </w:rPr>
              <w:t>17.0</w:t>
            </w:r>
          </w:p>
        </w:tc>
        <w:tc>
          <w:tcPr>
            <w:tcW w:type="dxa" w:w="756"/>
            <w:shd w:val="clear" w:color="auto" w:fill="F3F3F3"/>
          </w:tcPr>
          <w:p>
            <w:r>
              <w:rPr>
                <w:rFonts w:ascii="Arial" w:hAnsi="Arial"/>
                <w:b/>
                <w:i w:val="0"/>
                <w:color w:val="000000"/>
                <w:sz w:val="20"/>
              </w:rPr>
              <w:t>245.9</w:t>
            </w:r>
          </w:p>
        </w:tc>
      </w:tr>
    </w:tbl>
    <w:p>
      <w:r>
        <w:rPr>
          <w:rFonts w:ascii="Arial" w:hAnsi="Arial"/>
          <w:b w:val="0"/>
          <w:i w:val="0"/>
          <w:color w:val="000000"/>
          <w:sz w:val="22"/>
        </w:rPr>
        <w:t>No other site locations outside those listed generated material water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5.3.6.6  Quantify Microplastics Generated and Used — Water Context</w:t>
      </w:r>
    </w:p>
    <w:p>
      <w:r>
        <w:rPr>
          <w:rFonts w:ascii="Arial" w:hAnsi="Arial"/>
          <w:b/>
          <w:i w:val="0"/>
          <w:color w:val="000000"/>
          <w:sz w:val="20"/>
        </w:rPr>
        <w:t>Table 5.3.6.6 — Microplastics Generated and Used (Water-Related Operations)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E2-4-AR-20-(b)</w:t>
      </w:r>
      <w:r>
        <w:rPr>
          <w:rFonts w:ascii="Arial" w:hAnsi="Arial"/>
          <w:b w:val="0"/>
          <w:i w:val="0"/>
          <w:color w:val="000000"/>
          <w:sz w:val="18"/>
        </w:rPr>
        <w:t>]</w:t>
      </w:r>
    </w:p>
    <w:tbl>
      <w:tblPr>
        <w:tblStyle w:val="TableGrid"/>
        <w:tblW w:type="auto" w:w="0"/>
        <w:tblLook w:firstColumn="1" w:firstRow="1" w:lastColumn="0" w:lastRow="0" w:noHBand="0" w:noVBand="1" w:val="04A0"/>
      </w:tblPr>
      <w:tblGrid>
        <w:gridCol w:w="4536"/>
        <w:gridCol w:w="4536"/>
      </w:tblGrid>
      <w:tr>
        <w:tc>
          <w:tcPr>
            <w:tcW w:type="dxa" w:w="4536"/>
            <w:shd w:val="clear" w:color="auto" w:fill="D9D9D9"/>
          </w:tcPr>
          <w:p>
            <w:r>
              <w:rPr>
                <w:rFonts w:ascii="Arial" w:hAnsi="Arial"/>
                <w:b/>
                <w:i w:val="0"/>
                <w:color w:val="000000"/>
                <w:sz w:val="20"/>
              </w:rPr>
              <w:t>Microplastics KPI</w:t>
            </w:r>
          </w:p>
        </w:tc>
        <w:tc>
          <w:tcPr>
            <w:tcW w:type="dxa" w:w="4536"/>
            <w:shd w:val="clear" w:color="auto" w:fill="D9D9D9"/>
          </w:tcPr>
          <w:p>
            <w:r>
              <w:rPr>
                <w:rFonts w:ascii="Arial" w:hAnsi="Arial"/>
                <w:b/>
                <w:i w:val="0"/>
                <w:color w:val="000000"/>
                <w:sz w:val="20"/>
              </w:rPr>
              <w:t>FY 2025 Data</w:t>
            </w:r>
          </w:p>
        </w:tc>
      </w:tr>
      <w:tr>
        <w:tc>
          <w:tcPr>
            <w:tcW w:type="dxa" w:w="4536"/>
          </w:tcPr>
          <w:p>
            <w:r>
              <w:rPr>
                <w:rFonts w:ascii="Arial" w:hAnsi="Arial"/>
                <w:b w:val="0"/>
                <w:i w:val="0"/>
                <w:color w:val="000000"/>
                <w:sz w:val="20"/>
              </w:rPr>
              <w:t>Microplastics Generated</w:t>
            </w:r>
          </w:p>
        </w:tc>
        <w:tc>
          <w:tcPr>
            <w:tcW w:type="dxa" w:w="4536"/>
          </w:tcPr>
          <w:p>
            <w:r>
              <w:rPr>
                <w:rFonts w:ascii="Arial" w:hAnsi="Arial"/>
                <w:b w:val="0"/>
                <w:i w:val="0"/>
                <w:color w:val="000000"/>
                <w:sz w:val="20"/>
              </w:rPr>
              <w:t>12,840 kg</w:t>
            </w:r>
          </w:p>
        </w:tc>
      </w:tr>
      <w:tr>
        <w:tc>
          <w:tcPr>
            <w:tcW w:type="dxa" w:w="4536"/>
          </w:tcPr>
          <w:p>
            <w:r>
              <w:rPr>
                <w:rFonts w:ascii="Arial" w:hAnsi="Arial"/>
                <w:b w:val="0"/>
                <w:i w:val="0"/>
                <w:color w:val="000000"/>
                <w:sz w:val="20"/>
              </w:rPr>
              <w:t>Microplastics Used</w:t>
            </w:r>
          </w:p>
        </w:tc>
        <w:tc>
          <w:tcPr>
            <w:tcW w:type="dxa" w:w="4536"/>
          </w:tcPr>
          <w:p>
            <w:r>
              <w:rPr>
                <w:rFonts w:ascii="Arial" w:hAnsi="Arial"/>
                <w:b w:val="0"/>
                <w:i w:val="0"/>
                <w:color w:val="000000"/>
                <w:sz w:val="20"/>
              </w:rPr>
              <w:t>4.7 metric tonnes</w:t>
            </w:r>
          </w:p>
        </w:tc>
      </w:tr>
    </w:tbl>
    <w:p>
      <w:pPr>
        <w:pStyle w:val="Heading3"/>
      </w:pPr>
      <w:r>
        <w:rPr>
          <w:rFonts w:ascii="Arial" w:hAnsi="Arial"/>
          <w:b/>
          <w:i w:val="0"/>
          <w:color w:val="000000"/>
          <w:sz w:val="22"/>
        </w:rPr>
        <w:t>5.3.6.7  Quantify Emissions of Pollutants to Water in Areas with Water Stress — FY 2025</w:t>
      </w:r>
    </w:p>
    <w:p>
      <w:r>
        <w:rPr>
          <w:rFonts w:ascii="Arial" w:hAnsi="Arial"/>
          <w:b/>
          <w:i w:val="0"/>
          <w:color w:val="000000"/>
          <w:sz w:val="20"/>
        </w:rPr>
        <w:t>Table 5.3.6.7 — Emissions of Pollutants to Water by Area with Water Stress — FY 2025</w:t>
      </w:r>
      <w:r>
        <w:rPr>
          <w:rFonts w:ascii="Arial" w:hAnsi="Arial"/>
          <w:b w:val="0"/>
          <w:i w:val="0"/>
          <w:color w:val="000000"/>
          <w:sz w:val="18"/>
        </w:rPr>
        <w:t xml:space="preserve"> [</w:t>
      </w:r>
      <w:r>
        <w:rPr>
          <w:rFonts w:ascii="Arial" w:hAnsi="Arial"/>
          <w:b w:val="0"/>
          <w:i w:val="0"/>
          <w:color w:val="00B050"/>
          <w:sz w:val="18"/>
        </w:rPr>
        <w:t>ESRS E2-4-AR-23-(c)</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Area Classification</w:t>
            </w:r>
          </w:p>
        </w:tc>
        <w:tc>
          <w:tcPr>
            <w:tcW w:type="dxa" w:w="3024"/>
            <w:shd w:val="clear" w:color="auto" w:fill="D9D9D9"/>
          </w:tcPr>
          <w:p>
            <w:r>
              <w:rPr>
                <w:rFonts w:ascii="Arial" w:hAnsi="Arial"/>
                <w:b/>
                <w:i w:val="0"/>
                <w:color w:val="000000"/>
                <w:sz w:val="20"/>
              </w:rPr>
              <w:t>Emissions to Water — Absolute (metric tonnes)</w:t>
            </w:r>
          </w:p>
        </w:tc>
        <w:tc>
          <w:tcPr>
            <w:tcW w:type="dxa" w:w="3024"/>
            <w:shd w:val="clear" w:color="auto" w:fill="D9D9D9"/>
          </w:tcPr>
          <w:p>
            <w:r>
              <w:rPr>
                <w:rFonts w:ascii="Arial" w:hAnsi="Arial"/>
                <w:b/>
                <w:i w:val="0"/>
                <w:color w:val="000000"/>
                <w:sz w:val="20"/>
              </w:rPr>
              <w:t>% of Total Emissions</w:t>
            </w:r>
          </w:p>
        </w:tc>
      </w:tr>
      <w:tr>
        <w:tc>
          <w:tcPr>
            <w:tcW w:type="dxa" w:w="3024"/>
          </w:tcPr>
          <w:p>
            <w:r>
              <w:rPr>
                <w:rFonts w:ascii="Arial" w:hAnsi="Arial"/>
                <w:b w:val="0"/>
                <w:i w:val="0"/>
                <w:color w:val="000000"/>
                <w:sz w:val="20"/>
              </w:rPr>
              <w:t>Areas at Water Risk</w:t>
            </w:r>
          </w:p>
        </w:tc>
        <w:tc>
          <w:tcPr>
            <w:tcW w:type="dxa" w:w="3024"/>
          </w:tcPr>
          <w:p>
            <w:r>
              <w:rPr>
                <w:rFonts w:ascii="Arial" w:hAnsi="Arial"/>
                <w:b w:val="0"/>
                <w:i w:val="0"/>
                <w:color w:val="000000"/>
                <w:sz w:val="20"/>
              </w:rPr>
              <w:t>47.8</w:t>
            </w:r>
          </w:p>
        </w:tc>
        <w:tc>
          <w:tcPr>
            <w:tcW w:type="dxa" w:w="3024"/>
          </w:tcPr>
          <w:p>
            <w:r>
              <w:rPr>
                <w:rFonts w:ascii="Arial" w:hAnsi="Arial"/>
                <w:b w:val="0"/>
                <w:i w:val="0"/>
                <w:color w:val="000000"/>
                <w:sz w:val="20"/>
              </w:rPr>
              <w:t>12.8%</w:t>
            </w:r>
          </w:p>
        </w:tc>
      </w:tr>
      <w:tr>
        <w:tc>
          <w:tcPr>
            <w:tcW w:type="dxa" w:w="3024"/>
          </w:tcPr>
          <w:p>
            <w:r>
              <w:rPr>
                <w:rFonts w:ascii="Arial" w:hAnsi="Arial"/>
                <w:b w:val="0"/>
                <w:i w:val="0"/>
                <w:color w:val="000000"/>
                <w:sz w:val="20"/>
              </w:rPr>
              <w:t>Areas of High Water Stress</w:t>
            </w:r>
          </w:p>
        </w:tc>
        <w:tc>
          <w:tcPr>
            <w:tcW w:type="dxa" w:w="3024"/>
          </w:tcPr>
          <w:p>
            <w:r>
              <w:rPr>
                <w:rFonts w:ascii="Arial" w:hAnsi="Arial"/>
                <w:b w:val="0"/>
                <w:i w:val="0"/>
                <w:color w:val="000000"/>
                <w:sz w:val="20"/>
              </w:rPr>
              <w:t>89.4</w:t>
            </w:r>
          </w:p>
        </w:tc>
        <w:tc>
          <w:tcPr>
            <w:tcW w:type="dxa" w:w="3024"/>
          </w:tcPr>
          <w:p>
            <w:r>
              <w:rPr>
                <w:rFonts w:ascii="Arial" w:hAnsi="Arial"/>
                <w:b w:val="0"/>
                <w:i w:val="0"/>
                <w:color w:val="000000"/>
                <w:sz w:val="20"/>
              </w:rPr>
              <w:t>24.0%</w:t>
            </w:r>
          </w:p>
        </w:tc>
      </w:tr>
      <w:tr>
        <w:tc>
          <w:tcPr>
            <w:tcW w:type="dxa" w:w="3024"/>
            <w:shd w:val="clear" w:color="auto" w:fill="F3F3F3"/>
          </w:tcPr>
          <w:p>
            <w:r>
              <w:rPr>
                <w:rFonts w:ascii="Arial" w:hAnsi="Arial"/>
                <w:b/>
                <w:i w:val="0"/>
                <w:color w:val="000000"/>
                <w:sz w:val="20"/>
              </w:rPr>
              <w:t>Total Emissions to Water</w:t>
            </w:r>
          </w:p>
        </w:tc>
        <w:tc>
          <w:tcPr>
            <w:tcW w:type="dxa" w:w="3024"/>
            <w:shd w:val="clear" w:color="auto" w:fill="F3F3F3"/>
          </w:tcPr>
          <w:p>
            <w:r>
              <w:rPr>
                <w:rFonts w:ascii="Arial" w:hAnsi="Arial"/>
                <w:b/>
                <w:i w:val="0"/>
                <w:color w:val="000000"/>
                <w:sz w:val="20"/>
              </w:rPr>
              <w:t>372.2</w:t>
            </w:r>
          </w:p>
        </w:tc>
        <w:tc>
          <w:tcPr>
            <w:tcW w:type="dxa" w:w="3024"/>
            <w:shd w:val="clear" w:color="auto" w:fill="F3F3F3"/>
          </w:tcPr>
          <w:p>
            <w:r>
              <w:rPr>
                <w:rFonts w:ascii="Arial" w:hAnsi="Arial"/>
                <w:b/>
                <w:i w:val="0"/>
                <w:color w:val="000000"/>
                <w:sz w:val="20"/>
              </w:rPr>
              <w:t>100.0%</w:t>
            </w:r>
          </w:p>
        </w:tc>
      </w:tr>
    </w:tbl>
    <w:p>
      <w:pPr>
        <w:pStyle w:val="Heading3"/>
      </w:pPr>
      <w:r>
        <w:rPr>
          <w:rFonts w:ascii="Arial" w:hAnsi="Arial"/>
          <w:b/>
          <w:i w:val="0"/>
          <w:color w:val="000000"/>
          <w:sz w:val="22"/>
        </w:rPr>
        <w:t>5.3.6.8  Explain Description of Changes Over Time — Pollution of Water</w:t>
      </w:r>
    </w:p>
    <w:p>
      <w:r>
        <w:rPr>
          <w:rFonts w:ascii="Arial" w:hAnsi="Arial"/>
          <w:b w:val="0"/>
          <w:i w:val="0"/>
          <w:color w:val="000000"/>
          <w:sz w:val="22"/>
        </w:rPr>
        <w:t>Total emissions to water declined by 2.6% year-on-year to 372.2 metric tonnes in FY 2025. TSS declined by 9.1% to 43.9 metric tonnes and BOD declined by 8.0% to 72.1 metric tonnes, reflecting the full-year effect of upgraded biological treatment systems installed at Sites 2 and 4 in late FY 2024. COD increased marginally by 1.3% to 237.7 metric tonnes due to a temporary increase in production throughput at two facilities during H1 FY 2025. Nitrate and phosphorus loadings continued to decline. No uncontrolled releases or spills to water were recorded during FY 2025.</w:t>
      </w:r>
      <w:r>
        <w:rPr>
          <w:rFonts w:ascii="Arial" w:hAnsi="Arial"/>
          <w:b w:val="0"/>
          <w:i w:val="0"/>
          <w:color w:val="000000"/>
          <w:sz w:val="18"/>
        </w:rPr>
        <w:t xml:space="preserve"> [</w:t>
      </w:r>
      <w:r>
        <w:rPr>
          <w:rFonts w:ascii="Arial" w:hAnsi="Arial"/>
          <w:b w:val="0"/>
          <w:i w:val="0"/>
          <w:color w:val="00B050"/>
          <w:sz w:val="18"/>
        </w:rPr>
        <w:t>ESRS E2-4-30-(a)</w:t>
      </w:r>
      <w:r>
        <w:rPr>
          <w:rFonts w:ascii="Arial" w:hAnsi="Arial"/>
          <w:b w:val="0"/>
          <w:i w:val="0"/>
          <w:color w:val="000000"/>
          <w:sz w:val="18"/>
        </w:rPr>
        <w:t>]</w:t>
      </w:r>
    </w:p>
    <w:p>
      <w:pPr>
        <w:pStyle w:val="Heading3"/>
      </w:pPr>
      <w:r>
        <w:rPr>
          <w:rFonts w:ascii="Arial" w:hAnsi="Arial"/>
          <w:b/>
          <w:i w:val="0"/>
          <w:color w:val="000000"/>
          <w:sz w:val="22"/>
        </w:rPr>
        <w:t>5.3.6.9  Explain Description of Measurement Methodologies — Pollution of Water</w:t>
      </w:r>
    </w:p>
    <w:p>
      <w:r>
        <w:rPr>
          <w:rFonts w:ascii="Arial" w:hAnsi="Arial"/>
          <w:b w:val="0"/>
          <w:i w:val="0"/>
          <w:color w:val="000000"/>
          <w:sz w:val="22"/>
        </w:rPr>
        <w:t>Water emission quantification uses a combination of continuous on-line effluent monitoring, composite sample analysis by accredited environmental laboratories, and mass balance methodologies for cooling water and storm water discharges. All IED-regulated installations with direct water discharges are subject to effluent monitoring in accordance with permit conditions. Monitoring frequencies range from continuous (for CEMS-equipped outfalls) to monthly composite sampling for non-CEMS discharge points.</w:t>
      </w:r>
      <w:r>
        <w:rPr>
          <w:rFonts w:ascii="Arial" w:hAnsi="Arial"/>
          <w:b w:val="0"/>
          <w:i w:val="0"/>
          <w:color w:val="000000"/>
          <w:sz w:val="18"/>
        </w:rPr>
        <w:t xml:space="preserve"> [</w:t>
      </w:r>
      <w:r>
        <w:rPr>
          <w:rFonts w:ascii="Arial" w:hAnsi="Arial"/>
          <w:b w:val="0"/>
          <w:i w:val="0"/>
          <w:color w:val="00B050"/>
          <w:sz w:val="18"/>
        </w:rPr>
        <w:t>ESRS E2-4-30-(b)</w:t>
      </w:r>
      <w:r>
        <w:rPr>
          <w:rFonts w:ascii="Arial" w:hAnsi="Arial"/>
          <w:b w:val="0"/>
          <w:i w:val="0"/>
          <w:color w:val="000000"/>
          <w:sz w:val="18"/>
        </w:rPr>
        <w:t>]</w:t>
      </w:r>
    </w:p>
    <w:p>
      <w:pPr>
        <w:pStyle w:val="Heading3"/>
      </w:pPr>
      <w:r>
        <w:rPr>
          <w:rFonts w:ascii="Arial" w:hAnsi="Arial"/>
          <w:b/>
          <w:i w:val="0"/>
          <w:color w:val="000000"/>
          <w:sz w:val="22"/>
        </w:rPr>
        <w:t>5.3.6.10  Explain Description of Data Collection Processes for Water Pollution Accounting and Reporting</w:t>
      </w:r>
    </w:p>
    <w:p>
      <w:r>
        <w:rPr>
          <w:rFonts w:ascii="Arial" w:hAnsi="Arial"/>
          <w:b w:val="0"/>
          <w:i w:val="0"/>
          <w:color w:val="000000"/>
          <w:sz w:val="22"/>
        </w:rPr>
        <w:t>Water pollution data is collected via the Company's EMIS, integrating on-line monitoring data, laboratory analysis certificates, and process data inputs from site-level environmental officers. Data quality controls include laboratory accreditation requirements (ISO 17025), automated validation checks for on-line monitoring data, and annual third-party data assurance. Where sampling gaps arise, conservative estimation is applied in accordance with documented data gap-filling protocols.</w:t>
      </w:r>
      <w:r>
        <w:rPr>
          <w:rFonts w:ascii="Arial" w:hAnsi="Arial"/>
          <w:b w:val="0"/>
          <w:i w:val="0"/>
          <w:color w:val="000000"/>
          <w:sz w:val="18"/>
        </w:rPr>
        <w:t xml:space="preserve"> [</w:t>
      </w:r>
      <w:r>
        <w:rPr>
          <w:rFonts w:ascii="Arial" w:hAnsi="Arial"/>
          <w:b w:val="0"/>
          <w:i w:val="0"/>
          <w:color w:val="00B050"/>
          <w:sz w:val="18"/>
        </w:rPr>
        <w:t>ESRS E2-4-30-(c)</w:t>
      </w:r>
      <w:r>
        <w:rPr>
          <w:rFonts w:ascii="Arial" w:hAnsi="Arial"/>
          <w:b w:val="0"/>
          <w:i w:val="0"/>
          <w:color w:val="000000"/>
          <w:sz w:val="18"/>
        </w:rPr>
        <w:t>]</w:t>
      </w:r>
    </w:p>
    <w:p>
      <w:pPr>
        <w:pStyle w:val="Heading3"/>
      </w:pPr>
      <w:r>
        <w:rPr>
          <w:rFonts w:ascii="Arial" w:hAnsi="Arial"/>
          <w:b/>
          <w:i w:val="0"/>
          <w:color w:val="000000"/>
          <w:sz w:val="22"/>
        </w:rPr>
        <w:t>5.3.6.11  Disclose Inferior Methodology for Quantifying Water Emissions — Applicability and Disclosure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Inferior methodology compared to direct measurement chosen to quantify water emissions</w:t>
            </w:r>
          </w:p>
        </w:tc>
        <w:tc>
          <w:tcPr>
            <w:tcW w:type="dxa" w:w="3024"/>
          </w:tcPr>
          <w:p>
            <w:r>
              <w:rPr>
                <w:rFonts w:ascii="Arial" w:hAnsi="Arial"/>
                <w:b w:val="0"/>
                <w:i w:val="0"/>
                <w:color w:val="00B050"/>
                <w:sz w:val="18"/>
              </w:rPr>
              <w:t>ESRS E2-4-31-(c)</w:t>
            </w:r>
          </w:p>
        </w:tc>
        <w:tc>
          <w:tcPr>
            <w:tcW w:type="dxa" w:w="3024"/>
          </w:tcPr>
          <w:p>
            <w:r>
              <w:rPr>
                <w:rFonts w:ascii="Arial" w:hAnsi="Arial"/>
                <w:b w:val="0"/>
                <w:i w:val="0"/>
                <w:color w:val="000000"/>
                <w:sz w:val="20"/>
              </w:rPr>
              <w:t>No. All water emission quantification is based on direct effluent monitoring or recognised mass balance and calculation standards.</w:t>
            </w:r>
          </w:p>
        </w:tc>
      </w:tr>
    </w:tbl>
    <w:p>
      <w:r>
        <w:rPr>
          <w:rFonts w:ascii="Arial" w:hAnsi="Arial"/>
          <w:b w:val="0"/>
          <w:i w:val="0"/>
          <w:color w:val="000000"/>
          <w:sz w:val="22"/>
        </w:rPr>
        <w:t>No inferior methodology compared to direct measurement was chosen to quantify water emissions during FY 2025. No disclosure of reasons for choosing an inferior methodology is required for this reporting period.</w:t>
      </w:r>
      <w:r>
        <w:rPr>
          <w:rFonts w:ascii="Arial" w:hAnsi="Arial"/>
          <w:b w:val="0"/>
          <w:i w:val="0"/>
          <w:color w:val="000000"/>
          <w:sz w:val="18"/>
        </w:rPr>
        <w:t xml:space="preserve"> [</w:t>
      </w:r>
      <w:r>
        <w:rPr>
          <w:rFonts w:ascii="Arial" w:hAnsi="Arial"/>
          <w:b w:val="0"/>
          <w:i w:val="0"/>
          <w:color w:val="00B050"/>
          <w:sz w:val="18"/>
        </w:rPr>
        <w:t>ESRS E2-4-31-(c)</w:t>
      </w:r>
      <w:r>
        <w:rPr>
          <w:rFonts w:ascii="Arial" w:hAnsi="Arial"/>
          <w:b w:val="0"/>
          <w:i w:val="0"/>
          <w:color w:val="000000"/>
          <w:sz w:val="18"/>
        </w:rPr>
        <w:t>]</w:t>
      </w:r>
    </w:p>
    <w:p>
      <w:pPr>
        <w:pStyle w:val="Heading2"/>
      </w:pPr>
      <w:r>
        <w:rPr>
          <w:rFonts w:ascii="Arial" w:hAnsi="Arial"/>
          <w:b/>
          <w:i w:val="0"/>
          <w:color w:val="000000"/>
          <w:sz w:val="26"/>
        </w:rPr>
        <w:t>5.3.7  Pollution of Soil</w:t>
      </w:r>
    </w:p>
    <w:p>
      <w:r>
        <w:rPr>
          <w:rFonts w:ascii="Arial" w:hAnsi="Arial"/>
          <w:b w:val="0"/>
          <w:i w:val="0"/>
          <w:color w:val="00B050"/>
          <w:sz w:val="18"/>
        </w:rPr>
        <w:t>ESRS E2-4</w:t>
      </w:r>
      <w:r>
        <w:rPr>
          <w:rFonts w:ascii="Arial" w:hAnsi="Arial"/>
          <w:b w:val="0"/>
          <w:i w:val="0"/>
          <w:color w:val="000000"/>
          <w:sz w:val="18"/>
        </w:rPr>
        <w:t xml:space="preserve"> |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ESRS E2-4-AR-20</w:t>
      </w:r>
      <w:r>
        <w:rPr>
          <w:rFonts w:ascii="Arial" w:hAnsi="Arial"/>
          <w:b w:val="0"/>
          <w:i w:val="0"/>
          <w:color w:val="000000"/>
          <w:sz w:val="18"/>
        </w:rPr>
        <w:t xml:space="preserve"> | </w:t>
      </w:r>
      <w:r>
        <w:rPr>
          <w:rFonts w:ascii="Arial" w:hAnsi="Arial"/>
          <w:b w:val="0"/>
          <w:i w:val="0"/>
          <w:color w:val="00B050"/>
          <w:sz w:val="18"/>
        </w:rPr>
        <w:t>ESRS E2-4-AR-22</w:t>
      </w:r>
      <w:r>
        <w:rPr>
          <w:rFonts w:ascii="Arial" w:hAnsi="Arial"/>
          <w:b w:val="0"/>
          <w:i w:val="0"/>
          <w:color w:val="000000"/>
          <w:sz w:val="18"/>
        </w:rPr>
        <w:t xml:space="preserve"> | </w:t>
      </w:r>
      <w:r>
        <w:rPr>
          <w:rFonts w:ascii="Arial" w:hAnsi="Arial"/>
          <w:b w:val="0"/>
          <w:i w:val="0"/>
          <w:color w:val="00B050"/>
          <w:sz w:val="18"/>
        </w:rPr>
        <w:t>ESRS E2-4-AR-23-(c)</w:t>
      </w:r>
      <w:r>
        <w:rPr>
          <w:rFonts w:ascii="Arial" w:hAnsi="Arial"/>
          <w:b w:val="0"/>
          <w:i w:val="0"/>
          <w:color w:val="000000"/>
          <w:sz w:val="18"/>
        </w:rPr>
        <w:t xml:space="preserve"> | </w:t>
      </w:r>
      <w:r>
        <w:rPr>
          <w:rFonts w:ascii="Arial" w:hAnsi="Arial"/>
          <w:b w:val="0"/>
          <w:i w:val="0"/>
          <w:color w:val="00B050"/>
          <w:sz w:val="18"/>
        </w:rPr>
        <w:t>ESRS E2-4-30</w:t>
      </w:r>
      <w:r>
        <w:rPr>
          <w:rFonts w:ascii="Arial" w:hAnsi="Arial"/>
          <w:b w:val="0"/>
          <w:i w:val="0"/>
          <w:color w:val="000000"/>
          <w:sz w:val="18"/>
        </w:rPr>
        <w:t xml:space="preserve"> | </w:t>
      </w:r>
      <w:r>
        <w:rPr>
          <w:rFonts w:ascii="Arial" w:hAnsi="Arial"/>
          <w:b w:val="0"/>
          <w:i w:val="0"/>
          <w:color w:val="00B050"/>
          <w:sz w:val="18"/>
        </w:rPr>
        <w:t>ESRS E2-4-31</w:t>
      </w:r>
    </w:p>
    <w:p>
      <w:pPr>
        <w:pStyle w:val="Heading3"/>
      </w:pPr>
      <w:r>
        <w:rPr>
          <w:rFonts w:ascii="Arial" w:hAnsi="Arial"/>
          <w:b/>
          <w:i w:val="0"/>
          <w:color w:val="000000"/>
          <w:sz w:val="22"/>
        </w:rPr>
        <w:t>5.3.7.1  Quantify Emissions to Soil by Pollutant — Summary</w:t>
      </w:r>
    </w:p>
    <w:p>
      <w:r>
        <w:rPr>
          <w:rFonts w:ascii="Arial" w:hAnsi="Arial"/>
          <w:b/>
          <w:i w:val="0"/>
          <w:color w:val="000000"/>
          <w:sz w:val="20"/>
        </w:rPr>
        <w:t>Table 5.3.7.1 — Emissions to Soil by Pollutant (FY 2024 vs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(metric tonnes)</w:t>
            </w:r>
          </w:p>
        </w:tc>
        <w:tc>
          <w:tcPr>
            <w:tcW w:type="dxa" w:w="3024"/>
            <w:shd w:val="clear" w:color="auto" w:fill="D9D9D9"/>
          </w:tcPr>
          <w:p>
            <w:r>
              <w:rPr>
                <w:rFonts w:ascii="Arial" w:hAnsi="Arial"/>
                <w:b/>
                <w:i w:val="0"/>
                <w:color w:val="000000"/>
                <w:sz w:val="20"/>
              </w:rPr>
              <w:t>FY 2025 (metric tonnes)</w:t>
            </w:r>
          </w:p>
        </w:tc>
      </w:tr>
      <w:tr>
        <w:tc>
          <w:tcPr>
            <w:tcW w:type="dxa" w:w="3024"/>
          </w:tcPr>
          <w:p>
            <w:r>
              <w:rPr>
                <w:rFonts w:ascii="Arial" w:hAnsi="Arial"/>
                <w:b w:val="0"/>
                <w:i w:val="0"/>
                <w:color w:val="000000"/>
                <w:sz w:val="20"/>
              </w:rPr>
              <w:t>Heavy Metals</w:t>
            </w:r>
          </w:p>
        </w:tc>
        <w:tc>
          <w:tcPr>
            <w:tcW w:type="dxa" w:w="3024"/>
          </w:tcPr>
          <w:p>
            <w:r>
              <w:rPr>
                <w:rFonts w:ascii="Arial" w:hAnsi="Arial"/>
                <w:b w:val="0"/>
                <w:i w:val="0"/>
                <w:color w:val="000000"/>
                <w:sz w:val="20"/>
              </w:rPr>
              <w:t>6.9</w:t>
            </w:r>
          </w:p>
        </w:tc>
        <w:tc>
          <w:tcPr>
            <w:tcW w:type="dxa" w:w="3024"/>
          </w:tcPr>
          <w:p>
            <w:r>
              <w:rPr>
                <w:rFonts w:ascii="Arial" w:hAnsi="Arial"/>
                <w:b w:val="0"/>
                <w:i w:val="0"/>
                <w:color w:val="000000"/>
                <w:sz w:val="20"/>
              </w:rPr>
              <w:t>6.5</w:t>
            </w:r>
          </w:p>
        </w:tc>
      </w:tr>
      <w:tr>
        <w:tc>
          <w:tcPr>
            <w:tcW w:type="dxa" w:w="3024"/>
          </w:tcPr>
          <w:p>
            <w:r>
              <w:rPr>
                <w:rFonts w:ascii="Arial" w:hAnsi="Arial"/>
                <w:b w:val="0"/>
                <w:i w:val="0"/>
                <w:color w:val="000000"/>
                <w:sz w:val="20"/>
              </w:rPr>
              <w:t>Hydrocarbons (TPH)</w:t>
            </w:r>
          </w:p>
        </w:tc>
        <w:tc>
          <w:tcPr>
            <w:tcW w:type="dxa" w:w="3024"/>
          </w:tcPr>
          <w:p>
            <w:r>
              <w:rPr>
                <w:rFonts w:ascii="Arial" w:hAnsi="Arial"/>
                <w:b w:val="0"/>
                <w:i w:val="0"/>
                <w:color w:val="000000"/>
                <w:sz w:val="20"/>
              </w:rPr>
              <w:t>24.9</w:t>
            </w:r>
          </w:p>
        </w:tc>
        <w:tc>
          <w:tcPr>
            <w:tcW w:type="dxa" w:w="3024"/>
          </w:tcPr>
          <w:p>
            <w:r>
              <w:rPr>
                <w:rFonts w:ascii="Arial" w:hAnsi="Arial"/>
                <w:b w:val="0"/>
                <w:i w:val="0"/>
                <w:color w:val="000000"/>
                <w:sz w:val="20"/>
              </w:rPr>
              <w:t>23.7</w:t>
            </w:r>
          </w:p>
        </w:tc>
      </w:tr>
      <w:tr>
        <w:tc>
          <w:tcPr>
            <w:tcW w:type="dxa" w:w="3024"/>
          </w:tcPr>
          <w:p>
            <w:r>
              <w:rPr>
                <w:rFonts w:ascii="Arial" w:hAnsi="Arial"/>
                <w:b w:val="0"/>
                <w:i w:val="0"/>
                <w:color w:val="000000"/>
                <w:sz w:val="20"/>
              </w:rPr>
              <w:t>Pesticides/Biocides</w:t>
            </w:r>
          </w:p>
        </w:tc>
        <w:tc>
          <w:tcPr>
            <w:tcW w:type="dxa" w:w="3024"/>
          </w:tcPr>
          <w:p>
            <w:r>
              <w:rPr>
                <w:rFonts w:ascii="Arial" w:hAnsi="Arial"/>
                <w:b w:val="0"/>
                <w:i w:val="0"/>
                <w:color w:val="000000"/>
                <w:sz w:val="20"/>
              </w:rPr>
              <w:t>1.8</w:t>
            </w:r>
          </w:p>
        </w:tc>
        <w:tc>
          <w:tcPr>
            <w:tcW w:type="dxa" w:w="3024"/>
          </w:tcPr>
          <w:p>
            <w:r>
              <w:rPr>
                <w:rFonts w:ascii="Arial" w:hAnsi="Arial"/>
                <w:b w:val="0"/>
                <w:i w:val="0"/>
                <w:color w:val="000000"/>
                <w:sz w:val="20"/>
              </w:rPr>
              <w:t>1.7</w:t>
            </w:r>
          </w:p>
        </w:tc>
      </w:tr>
      <w:tr>
        <w:tc>
          <w:tcPr>
            <w:tcW w:type="dxa" w:w="3024"/>
          </w:tcPr>
          <w:p>
            <w:r>
              <w:rPr>
                <w:rFonts w:ascii="Arial" w:hAnsi="Arial"/>
                <w:b w:val="0"/>
                <w:i w:val="0"/>
                <w:color w:val="000000"/>
                <w:sz w:val="20"/>
              </w:rPr>
              <w:t>Nitrates — Diffuse</w:t>
            </w:r>
          </w:p>
        </w:tc>
        <w:tc>
          <w:tcPr>
            <w:tcW w:type="dxa" w:w="3024"/>
          </w:tcPr>
          <w:p>
            <w:r>
              <w:rPr>
                <w:rFonts w:ascii="Arial" w:hAnsi="Arial"/>
                <w:b w:val="0"/>
                <w:i w:val="0"/>
                <w:color w:val="000000"/>
                <w:sz w:val="20"/>
              </w:rPr>
              <w:t>11.0</w:t>
            </w:r>
          </w:p>
        </w:tc>
        <w:tc>
          <w:tcPr>
            <w:tcW w:type="dxa" w:w="3024"/>
          </w:tcPr>
          <w:p>
            <w:r>
              <w:rPr>
                <w:rFonts w:ascii="Arial" w:hAnsi="Arial"/>
                <w:b w:val="0"/>
                <w:i w:val="0"/>
                <w:color w:val="000000"/>
                <w:sz w:val="20"/>
              </w:rPr>
              <w:t>10.3</w:t>
            </w:r>
          </w:p>
        </w:tc>
      </w:tr>
      <w:tr>
        <w:tc>
          <w:tcPr>
            <w:tcW w:type="dxa" w:w="3024"/>
            <w:shd w:val="clear" w:color="auto" w:fill="F3F3F3"/>
          </w:tcPr>
          <w:p>
            <w:r>
              <w:rPr>
                <w:rFonts w:ascii="Arial" w:hAnsi="Arial"/>
                <w:b/>
                <w:i w:val="0"/>
                <w:color w:val="000000"/>
                <w:sz w:val="20"/>
              </w:rPr>
              <w:t>Total Emissions to Soil</w:t>
            </w:r>
          </w:p>
        </w:tc>
        <w:tc>
          <w:tcPr>
            <w:tcW w:type="dxa" w:w="3024"/>
            <w:shd w:val="clear" w:color="auto" w:fill="F3F3F3"/>
          </w:tcPr>
          <w:p>
            <w:r>
              <w:rPr>
                <w:rFonts w:ascii="Arial" w:hAnsi="Arial"/>
                <w:b/>
                <w:i w:val="0"/>
                <w:color w:val="000000"/>
                <w:sz w:val="20"/>
              </w:rPr>
              <w:t>44.6</w:t>
            </w:r>
          </w:p>
        </w:tc>
        <w:tc>
          <w:tcPr>
            <w:tcW w:type="dxa" w:w="3024"/>
            <w:shd w:val="clear" w:color="auto" w:fill="F3F3F3"/>
          </w:tcPr>
          <w:p>
            <w:r>
              <w:rPr>
                <w:rFonts w:ascii="Arial" w:hAnsi="Arial"/>
                <w:b/>
                <w:i w:val="0"/>
                <w:color w:val="000000"/>
                <w:sz w:val="20"/>
              </w:rPr>
              <w:t>42.2</w:t>
            </w:r>
          </w:p>
        </w:tc>
      </w:tr>
    </w:tbl>
    <w:p>
      <w:pPr>
        <w:pStyle w:val="Heading3"/>
      </w:pPr>
      <w:r>
        <w:rPr>
          <w:rFonts w:ascii="Arial" w:hAnsi="Arial"/>
          <w:b/>
          <w:i w:val="0"/>
          <w:color w:val="000000"/>
          <w:sz w:val="22"/>
        </w:rPr>
        <w:t>5.3.7.2  Quantify Emissions to Soil by Pollutant — By Sector</w:t>
      </w:r>
    </w:p>
    <w:p>
      <w:r>
        <w:rPr>
          <w:rFonts w:ascii="Arial" w:hAnsi="Arial"/>
          <w:b/>
          <w:i w:val="0"/>
          <w:color w:val="000000"/>
          <w:sz w:val="20"/>
        </w:rPr>
        <w:t>Table 5.3.7.2 — Emissions to Soil by Pollutant (By Sector)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S1</w:t>
            </w:r>
          </w:p>
        </w:tc>
        <w:tc>
          <w:tcPr>
            <w:tcW w:type="dxa" w:w="756"/>
            <w:shd w:val="clear" w:color="auto" w:fill="D9D9D9"/>
          </w:tcPr>
          <w:p>
            <w:r>
              <w:rPr>
                <w:rFonts w:ascii="Arial" w:hAnsi="Arial"/>
                <w:b/>
                <w:i w:val="0"/>
                <w:color w:val="000000"/>
                <w:sz w:val="20"/>
              </w:rPr>
              <w:t>S2</w:t>
            </w:r>
          </w:p>
        </w:tc>
        <w:tc>
          <w:tcPr>
            <w:tcW w:type="dxa" w:w="756"/>
            <w:shd w:val="clear" w:color="auto" w:fill="D9D9D9"/>
          </w:tcPr>
          <w:p>
            <w:r>
              <w:rPr>
                <w:rFonts w:ascii="Arial" w:hAnsi="Arial"/>
                <w:b/>
                <w:i w:val="0"/>
                <w:color w:val="000000"/>
                <w:sz w:val="20"/>
              </w:rPr>
              <w:t>S3</w:t>
            </w:r>
          </w:p>
        </w:tc>
        <w:tc>
          <w:tcPr>
            <w:tcW w:type="dxa" w:w="756"/>
            <w:shd w:val="clear" w:color="auto" w:fill="D9D9D9"/>
          </w:tcPr>
          <w:p>
            <w:r>
              <w:rPr>
                <w:rFonts w:ascii="Arial" w:hAnsi="Arial"/>
                <w:b/>
                <w:i w:val="0"/>
                <w:color w:val="000000"/>
                <w:sz w:val="20"/>
              </w:rPr>
              <w:t>S4</w:t>
            </w:r>
          </w:p>
        </w:tc>
        <w:tc>
          <w:tcPr>
            <w:tcW w:type="dxa" w:w="756"/>
            <w:shd w:val="clear" w:color="auto" w:fill="D9D9D9"/>
          </w:tcPr>
          <w:p>
            <w:r>
              <w:rPr>
                <w:rFonts w:ascii="Arial" w:hAnsi="Arial"/>
                <w:b/>
                <w:i w:val="0"/>
                <w:color w:val="000000"/>
                <w:sz w:val="20"/>
              </w:rPr>
              <w:t>S5</w:t>
            </w:r>
          </w:p>
        </w:tc>
        <w:tc>
          <w:tcPr>
            <w:tcW w:type="dxa" w:w="756"/>
            <w:shd w:val="clear" w:color="auto" w:fill="D9D9D9"/>
          </w:tcPr>
          <w:p>
            <w:r>
              <w:rPr>
                <w:rFonts w:ascii="Arial" w:hAnsi="Arial"/>
                <w:b/>
                <w:i w:val="0"/>
                <w:color w:val="000000"/>
                <w:sz w:val="20"/>
              </w:rPr>
              <w:t>S6</w:t>
            </w:r>
          </w:p>
        </w:tc>
        <w:tc>
          <w:tcPr>
            <w:tcW w:type="dxa" w:w="756"/>
            <w:shd w:val="clear" w:color="auto" w:fill="D9D9D9"/>
          </w:tcPr>
          <w:p>
            <w:r>
              <w:rPr>
                <w:rFonts w:ascii="Arial" w:hAnsi="Arial"/>
                <w:b/>
                <w:i w:val="0"/>
                <w:color w:val="000000"/>
                <w:sz w:val="20"/>
              </w:rPr>
              <w:t>S7</w:t>
            </w:r>
          </w:p>
        </w:tc>
        <w:tc>
          <w:tcPr>
            <w:tcW w:type="dxa" w:w="756"/>
            <w:shd w:val="clear" w:color="auto" w:fill="D9D9D9"/>
          </w:tcPr>
          <w:p>
            <w:r>
              <w:rPr>
                <w:rFonts w:ascii="Arial" w:hAnsi="Arial"/>
                <w:b/>
                <w:i w:val="0"/>
                <w:color w:val="000000"/>
                <w:sz w:val="20"/>
              </w:rPr>
              <w:t>S8</w:t>
            </w:r>
          </w:p>
        </w:tc>
        <w:tc>
          <w:tcPr>
            <w:tcW w:type="dxa" w:w="756"/>
            <w:shd w:val="clear" w:color="auto" w:fill="D9D9D9"/>
          </w:tcPr>
          <w:p>
            <w:r>
              <w:rPr>
                <w:rFonts w:ascii="Arial" w:hAnsi="Arial"/>
                <w:b/>
                <w:i w:val="0"/>
                <w:color w:val="000000"/>
                <w:sz w:val="20"/>
              </w:rPr>
              <w:t>S9</w:t>
            </w:r>
          </w:p>
        </w:tc>
        <w:tc>
          <w:tcPr>
            <w:tcW w:type="dxa" w:w="756"/>
            <w:shd w:val="clear" w:color="auto" w:fill="D9D9D9"/>
          </w:tcPr>
          <w:p>
            <w:r>
              <w:rPr>
                <w:rFonts w:ascii="Arial" w:hAnsi="Arial"/>
                <w:b/>
                <w:i w:val="0"/>
                <w:color w:val="000000"/>
                <w:sz w:val="20"/>
              </w:rPr>
              <w:t>S10</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Heavy Metals</w:t>
            </w:r>
          </w:p>
        </w:tc>
        <w:tc>
          <w:tcPr>
            <w:tcW w:type="dxa" w:w="756"/>
          </w:tcPr>
          <w:p>
            <w:r>
              <w:rPr>
                <w:rFonts w:ascii="Arial" w:hAnsi="Arial"/>
                <w:b w:val="0"/>
                <w:i w:val="0"/>
                <w:color w:val="000000"/>
                <w:sz w:val="20"/>
              </w:rPr>
              <w:t>1.2</w:t>
            </w:r>
          </w:p>
        </w:tc>
        <w:tc>
          <w:tcPr>
            <w:tcW w:type="dxa" w:w="756"/>
          </w:tcPr>
          <w:p>
            <w:r>
              <w:rPr>
                <w:rFonts w:ascii="Arial" w:hAnsi="Arial"/>
                <w:b w:val="0"/>
                <w:i w:val="0"/>
                <w:color w:val="000000"/>
                <w:sz w:val="20"/>
              </w:rPr>
              <w:t>0.8</w:t>
            </w:r>
          </w:p>
        </w:tc>
        <w:tc>
          <w:tcPr>
            <w:tcW w:type="dxa" w:w="756"/>
          </w:tcPr>
          <w:p>
            <w:r>
              <w:rPr>
                <w:rFonts w:ascii="Arial" w:hAnsi="Arial"/>
                <w:b w:val="0"/>
                <w:i w:val="0"/>
                <w:color w:val="000000"/>
                <w:sz w:val="20"/>
              </w:rPr>
              <w:t>0.6</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0.5</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0.5</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5.9</w:t>
            </w:r>
          </w:p>
        </w:tc>
      </w:tr>
      <w:tr>
        <w:tc>
          <w:tcPr>
            <w:tcW w:type="dxa" w:w="756"/>
          </w:tcPr>
          <w:p>
            <w:r>
              <w:rPr>
                <w:rFonts w:ascii="Arial" w:hAnsi="Arial"/>
                <w:b w:val="0"/>
                <w:i w:val="0"/>
                <w:color w:val="000000"/>
                <w:sz w:val="20"/>
              </w:rPr>
              <w:t>Hydrocarbons</w:t>
            </w:r>
          </w:p>
        </w:tc>
        <w:tc>
          <w:tcPr>
            <w:tcW w:type="dxa" w:w="756"/>
          </w:tcPr>
          <w:p>
            <w:r>
              <w:rPr>
                <w:rFonts w:ascii="Arial" w:hAnsi="Arial"/>
                <w:b w:val="0"/>
                <w:i w:val="0"/>
                <w:color w:val="000000"/>
                <w:sz w:val="20"/>
              </w:rPr>
              <w:t>3.4</w:t>
            </w:r>
          </w:p>
        </w:tc>
        <w:tc>
          <w:tcPr>
            <w:tcW w:type="dxa" w:w="756"/>
          </w:tcPr>
          <w:p>
            <w:r>
              <w:rPr>
                <w:rFonts w:ascii="Arial" w:hAnsi="Arial"/>
                <w:b w:val="0"/>
                <w:i w:val="0"/>
                <w:color w:val="000000"/>
                <w:sz w:val="20"/>
              </w:rPr>
              <w:t>2.8</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2.9</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1.6</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2.2</w:t>
            </w:r>
          </w:p>
        </w:tc>
        <w:tc>
          <w:tcPr>
            <w:tcW w:type="dxa" w:w="756"/>
          </w:tcPr>
          <w:p>
            <w:r>
              <w:rPr>
                <w:rFonts w:ascii="Arial" w:hAnsi="Arial"/>
                <w:b w:val="0"/>
                <w:i w:val="0"/>
                <w:color w:val="000000"/>
                <w:sz w:val="20"/>
              </w:rPr>
              <w:t>1.9</w:t>
            </w:r>
          </w:p>
        </w:tc>
        <w:tc>
          <w:tcPr>
            <w:tcW w:type="dxa" w:w="756"/>
          </w:tcPr>
          <w:p>
            <w:r>
              <w:rPr>
                <w:rFonts w:ascii="Arial" w:hAnsi="Arial"/>
                <w:b w:val="0"/>
                <w:i w:val="0"/>
                <w:color w:val="000000"/>
                <w:sz w:val="20"/>
              </w:rPr>
              <w:t>1.6</w:t>
            </w:r>
          </w:p>
        </w:tc>
        <w:tc>
          <w:tcPr>
            <w:tcW w:type="dxa" w:w="756"/>
          </w:tcPr>
          <w:p>
            <w:r>
              <w:rPr>
                <w:rFonts w:ascii="Arial" w:hAnsi="Arial"/>
                <w:b w:val="0"/>
                <w:i w:val="0"/>
                <w:color w:val="000000"/>
                <w:sz w:val="20"/>
              </w:rPr>
              <w:t>21.7</w:t>
            </w:r>
          </w:p>
        </w:tc>
      </w:tr>
      <w:tr>
        <w:tc>
          <w:tcPr>
            <w:tcW w:type="dxa" w:w="756"/>
          </w:tcPr>
          <w:p>
            <w:r>
              <w:rPr>
                <w:rFonts w:ascii="Arial" w:hAnsi="Arial"/>
                <w:b w:val="0"/>
                <w:i w:val="0"/>
                <w:color w:val="000000"/>
                <w:sz w:val="20"/>
              </w:rPr>
              <w:t>Pesticides</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2.0</w:t>
            </w:r>
          </w:p>
        </w:tc>
      </w:tr>
      <w:tr>
        <w:tc>
          <w:tcPr>
            <w:tcW w:type="dxa" w:w="756"/>
          </w:tcPr>
          <w:p>
            <w:r>
              <w:rPr>
                <w:rFonts w:ascii="Arial" w:hAnsi="Arial"/>
                <w:b w:val="0"/>
                <w:i w:val="0"/>
                <w:color w:val="000000"/>
                <w:sz w:val="20"/>
              </w:rPr>
              <w:t>Nitrates—Diffuse</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1.0</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1.2</w:t>
            </w:r>
          </w:p>
        </w:tc>
        <w:tc>
          <w:tcPr>
            <w:tcW w:type="dxa" w:w="756"/>
          </w:tcPr>
          <w:p>
            <w:r>
              <w:rPr>
                <w:rFonts w:ascii="Arial" w:hAnsi="Arial"/>
                <w:b w:val="0"/>
                <w:i w:val="0"/>
                <w:color w:val="000000"/>
                <w:sz w:val="20"/>
              </w:rPr>
              <w:t>0.8</w:t>
            </w:r>
          </w:p>
        </w:tc>
        <w:tc>
          <w:tcPr>
            <w:tcW w:type="dxa" w:w="756"/>
          </w:tcPr>
          <w:p>
            <w:r>
              <w:rPr>
                <w:rFonts w:ascii="Arial" w:hAnsi="Arial"/>
                <w:b w:val="0"/>
                <w:i w:val="0"/>
                <w:color w:val="000000"/>
                <w:sz w:val="20"/>
              </w:rPr>
              <w:t>1.0</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1.3</w:t>
            </w:r>
          </w:p>
        </w:tc>
        <w:tc>
          <w:tcPr>
            <w:tcW w:type="dxa" w:w="756"/>
          </w:tcPr>
          <w:p>
            <w:r>
              <w:rPr>
                <w:rFonts w:ascii="Arial" w:hAnsi="Arial"/>
                <w:b w:val="0"/>
                <w:i w:val="0"/>
                <w:color w:val="000000"/>
                <w:sz w:val="20"/>
              </w:rPr>
              <w:t>1.0</w:t>
            </w:r>
          </w:p>
        </w:tc>
        <w:tc>
          <w:tcPr>
            <w:tcW w:type="dxa" w:w="756"/>
          </w:tcPr>
          <w:p>
            <w:r>
              <w:rPr>
                <w:rFonts w:ascii="Arial" w:hAnsi="Arial"/>
                <w:b w:val="0"/>
                <w:i w:val="0"/>
                <w:color w:val="000000"/>
                <w:sz w:val="20"/>
              </w:rPr>
              <w:t>1.5</w:t>
            </w:r>
          </w:p>
        </w:tc>
        <w:tc>
          <w:tcPr>
            <w:tcW w:type="dxa" w:w="756"/>
          </w:tcPr>
          <w:p>
            <w:r>
              <w:rPr>
                <w:rFonts w:ascii="Arial" w:hAnsi="Arial"/>
                <w:b w:val="0"/>
                <w:i w:val="0"/>
                <w:color w:val="000000"/>
                <w:sz w:val="20"/>
              </w:rPr>
              <w:t>11.0</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6.2</w:t>
            </w:r>
          </w:p>
        </w:tc>
        <w:tc>
          <w:tcPr>
            <w:tcW w:type="dxa" w:w="756"/>
            <w:shd w:val="clear" w:color="auto" w:fill="F3F3F3"/>
          </w:tcPr>
          <w:p>
            <w:r>
              <w:rPr>
                <w:rFonts w:ascii="Arial" w:hAnsi="Arial"/>
                <w:b/>
                <w:i w:val="0"/>
                <w:color w:val="000000"/>
                <w:sz w:val="20"/>
              </w:rPr>
              <w:t>4.8</w:t>
            </w:r>
          </w:p>
        </w:tc>
        <w:tc>
          <w:tcPr>
            <w:tcW w:type="dxa" w:w="756"/>
            <w:shd w:val="clear" w:color="auto" w:fill="F3F3F3"/>
          </w:tcPr>
          <w:p>
            <w:r>
              <w:rPr>
                <w:rFonts w:ascii="Arial" w:hAnsi="Arial"/>
                <w:b/>
                <w:i w:val="0"/>
                <w:color w:val="000000"/>
                <w:sz w:val="20"/>
              </w:rPr>
              <w:t>3.8</w:t>
            </w:r>
          </w:p>
        </w:tc>
        <w:tc>
          <w:tcPr>
            <w:tcW w:type="dxa" w:w="756"/>
            <w:shd w:val="clear" w:color="auto" w:fill="F3F3F3"/>
          </w:tcPr>
          <w:p>
            <w:r>
              <w:rPr>
                <w:rFonts w:ascii="Arial" w:hAnsi="Arial"/>
                <w:b/>
                <w:i w:val="0"/>
                <w:color w:val="000000"/>
                <w:sz w:val="20"/>
              </w:rPr>
              <w:t>5.2</w:t>
            </w:r>
          </w:p>
        </w:tc>
        <w:tc>
          <w:tcPr>
            <w:tcW w:type="dxa" w:w="756"/>
            <w:shd w:val="clear" w:color="auto" w:fill="F3F3F3"/>
          </w:tcPr>
          <w:p>
            <w:r>
              <w:rPr>
                <w:rFonts w:ascii="Arial" w:hAnsi="Arial"/>
                <w:b/>
                <w:i w:val="0"/>
                <w:color w:val="000000"/>
                <w:sz w:val="20"/>
              </w:rPr>
              <w:t>3.3</w:t>
            </w:r>
          </w:p>
        </w:tc>
        <w:tc>
          <w:tcPr>
            <w:tcW w:type="dxa" w:w="756"/>
            <w:shd w:val="clear" w:color="auto" w:fill="F3F3F3"/>
          </w:tcPr>
          <w:p>
            <w:r>
              <w:rPr>
                <w:rFonts w:ascii="Arial" w:hAnsi="Arial"/>
                <w:b/>
                <w:i w:val="0"/>
                <w:color w:val="000000"/>
                <w:sz w:val="20"/>
              </w:rPr>
              <w:t>3.2</w:t>
            </w:r>
          </w:p>
        </w:tc>
        <w:tc>
          <w:tcPr>
            <w:tcW w:type="dxa" w:w="756"/>
            <w:shd w:val="clear" w:color="auto" w:fill="F3F3F3"/>
          </w:tcPr>
          <w:p>
            <w:r>
              <w:rPr>
                <w:rFonts w:ascii="Arial" w:hAnsi="Arial"/>
                <w:b/>
                <w:i w:val="0"/>
                <w:color w:val="000000"/>
                <w:sz w:val="20"/>
              </w:rPr>
              <w:t>2.8</w:t>
            </w:r>
          </w:p>
        </w:tc>
        <w:tc>
          <w:tcPr>
            <w:tcW w:type="dxa" w:w="756"/>
            <w:shd w:val="clear" w:color="auto" w:fill="F3F3F3"/>
          </w:tcPr>
          <w:p>
            <w:r>
              <w:rPr>
                <w:rFonts w:ascii="Arial" w:hAnsi="Arial"/>
                <w:b/>
                <w:i w:val="0"/>
                <w:color w:val="000000"/>
                <w:sz w:val="20"/>
              </w:rPr>
              <w:t>4.2</w:t>
            </w:r>
          </w:p>
        </w:tc>
        <w:tc>
          <w:tcPr>
            <w:tcW w:type="dxa" w:w="756"/>
            <w:shd w:val="clear" w:color="auto" w:fill="F3F3F3"/>
          </w:tcPr>
          <w:p>
            <w:r>
              <w:rPr>
                <w:rFonts w:ascii="Arial" w:hAnsi="Arial"/>
                <w:b/>
                <w:i w:val="0"/>
                <w:color w:val="000000"/>
                <w:sz w:val="20"/>
              </w:rPr>
              <w:t>3.5</w:t>
            </w:r>
          </w:p>
        </w:tc>
        <w:tc>
          <w:tcPr>
            <w:tcW w:type="dxa" w:w="756"/>
            <w:shd w:val="clear" w:color="auto" w:fill="F3F3F3"/>
          </w:tcPr>
          <w:p>
            <w:r>
              <w:rPr>
                <w:rFonts w:ascii="Arial" w:hAnsi="Arial"/>
                <w:b/>
                <w:i w:val="0"/>
                <w:color w:val="000000"/>
                <w:sz w:val="20"/>
              </w:rPr>
              <w:t>3.6</w:t>
            </w:r>
          </w:p>
        </w:tc>
        <w:tc>
          <w:tcPr>
            <w:tcW w:type="dxa" w:w="756"/>
            <w:shd w:val="clear" w:color="auto" w:fill="F3F3F3"/>
          </w:tcPr>
          <w:p>
            <w:r>
              <w:rPr>
                <w:rFonts w:ascii="Arial" w:hAnsi="Arial"/>
                <w:b/>
                <w:i w:val="0"/>
                <w:color w:val="000000"/>
                <w:sz w:val="20"/>
              </w:rPr>
              <w:t>40.6</w:t>
            </w:r>
          </w:p>
        </w:tc>
      </w:tr>
    </w:tbl>
    <w:p>
      <w:r>
        <w:rPr>
          <w:rFonts w:ascii="Arial" w:hAnsi="Arial"/>
          <w:b w:val="0"/>
          <w:i w:val="0"/>
          <w:color w:val="000000"/>
          <w:sz w:val="22"/>
        </w:rPr>
        <w:t>No other sector categories outside those listed generated material soil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5.3.7.3  Quantify Emissions to Soil by Pollutant — By Geographical Area</w:t>
      </w:r>
    </w:p>
    <w:p>
      <w:r>
        <w:rPr>
          <w:rFonts w:ascii="Arial" w:hAnsi="Arial"/>
          <w:b/>
          <w:i w:val="0"/>
          <w:color w:val="000000"/>
          <w:sz w:val="20"/>
        </w:rPr>
        <w:t>Table 5.3.7.3 — Emissions to Soil by Pollutant (By Geographical Area)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UAE</w:t>
            </w:r>
          </w:p>
        </w:tc>
        <w:tc>
          <w:tcPr>
            <w:tcW w:type="dxa" w:w="756"/>
            <w:shd w:val="clear" w:color="auto" w:fill="D9D9D9"/>
          </w:tcPr>
          <w:p>
            <w:r>
              <w:rPr>
                <w:rFonts w:ascii="Arial" w:hAnsi="Arial"/>
                <w:b/>
                <w:i w:val="0"/>
                <w:color w:val="000000"/>
                <w:sz w:val="20"/>
              </w:rPr>
              <w:t>India</w:t>
            </w:r>
          </w:p>
        </w:tc>
        <w:tc>
          <w:tcPr>
            <w:tcW w:type="dxa" w:w="756"/>
            <w:shd w:val="clear" w:color="auto" w:fill="D9D9D9"/>
          </w:tcPr>
          <w:p>
            <w:r>
              <w:rPr>
                <w:rFonts w:ascii="Arial" w:hAnsi="Arial"/>
                <w:b/>
                <w:i w:val="0"/>
                <w:color w:val="000000"/>
                <w:sz w:val="20"/>
              </w:rPr>
              <w:t>Germany</w:t>
            </w:r>
          </w:p>
        </w:tc>
        <w:tc>
          <w:tcPr>
            <w:tcW w:type="dxa" w:w="756"/>
            <w:shd w:val="clear" w:color="auto" w:fill="D9D9D9"/>
          </w:tcPr>
          <w:p>
            <w:r>
              <w:rPr>
                <w:rFonts w:ascii="Arial" w:hAnsi="Arial"/>
                <w:b/>
                <w:i w:val="0"/>
                <w:color w:val="000000"/>
                <w:sz w:val="20"/>
              </w:rPr>
              <w:t>France</w:t>
            </w:r>
          </w:p>
        </w:tc>
        <w:tc>
          <w:tcPr>
            <w:tcW w:type="dxa" w:w="756"/>
            <w:shd w:val="clear" w:color="auto" w:fill="D9D9D9"/>
          </w:tcPr>
          <w:p>
            <w:r>
              <w:rPr>
                <w:rFonts w:ascii="Arial" w:hAnsi="Arial"/>
                <w:b/>
                <w:i w:val="0"/>
                <w:color w:val="000000"/>
                <w:sz w:val="20"/>
              </w:rPr>
              <w:t>Singapore</w:t>
            </w:r>
          </w:p>
        </w:tc>
        <w:tc>
          <w:tcPr>
            <w:tcW w:type="dxa" w:w="756"/>
            <w:shd w:val="clear" w:color="auto" w:fill="D9D9D9"/>
          </w:tcPr>
          <w:p>
            <w:r>
              <w:rPr>
                <w:rFonts w:ascii="Arial" w:hAnsi="Arial"/>
                <w:b/>
                <w:i w:val="0"/>
                <w:color w:val="000000"/>
                <w:sz w:val="20"/>
              </w:rPr>
              <w:t>Japan</w:t>
            </w:r>
          </w:p>
        </w:tc>
        <w:tc>
          <w:tcPr>
            <w:tcW w:type="dxa" w:w="756"/>
            <w:shd w:val="clear" w:color="auto" w:fill="D9D9D9"/>
          </w:tcPr>
          <w:p>
            <w:r>
              <w:rPr>
                <w:rFonts w:ascii="Arial" w:hAnsi="Arial"/>
                <w:b/>
                <w:i w:val="0"/>
                <w:color w:val="000000"/>
                <w:sz w:val="20"/>
              </w:rPr>
              <w:t>UK</w:t>
            </w:r>
          </w:p>
        </w:tc>
        <w:tc>
          <w:tcPr>
            <w:tcW w:type="dxa" w:w="756"/>
            <w:shd w:val="clear" w:color="auto" w:fill="D9D9D9"/>
          </w:tcPr>
          <w:p>
            <w:r>
              <w:rPr>
                <w:rFonts w:ascii="Arial" w:hAnsi="Arial"/>
                <w:b/>
                <w:i w:val="0"/>
                <w:color w:val="000000"/>
                <w:sz w:val="20"/>
              </w:rPr>
              <w:t>Brazil</w:t>
            </w:r>
          </w:p>
        </w:tc>
        <w:tc>
          <w:tcPr>
            <w:tcW w:type="dxa" w:w="756"/>
            <w:shd w:val="clear" w:color="auto" w:fill="D9D9D9"/>
          </w:tcPr>
          <w:p>
            <w:r>
              <w:rPr>
                <w:rFonts w:ascii="Arial" w:hAnsi="Arial"/>
                <w:b/>
                <w:i w:val="0"/>
                <w:color w:val="000000"/>
                <w:sz w:val="20"/>
              </w:rPr>
              <w:t>Australia</w:t>
            </w:r>
          </w:p>
        </w:tc>
        <w:tc>
          <w:tcPr>
            <w:tcW w:type="dxa" w:w="756"/>
            <w:shd w:val="clear" w:color="auto" w:fill="D9D9D9"/>
          </w:tcPr>
          <w:p>
            <w:r>
              <w:rPr>
                <w:rFonts w:ascii="Arial" w:hAnsi="Arial"/>
                <w:b/>
                <w:i w:val="0"/>
                <w:color w:val="000000"/>
                <w:sz w:val="20"/>
              </w:rPr>
              <w:t>Canada</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Heavy Metals</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0.6</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6.8</w:t>
            </w:r>
          </w:p>
        </w:tc>
      </w:tr>
      <w:tr>
        <w:tc>
          <w:tcPr>
            <w:tcW w:type="dxa" w:w="756"/>
          </w:tcPr>
          <w:p>
            <w:r>
              <w:rPr>
                <w:rFonts w:ascii="Arial" w:hAnsi="Arial"/>
                <w:b w:val="0"/>
                <w:i w:val="0"/>
                <w:color w:val="000000"/>
                <w:sz w:val="20"/>
              </w:rPr>
              <w:t>Hydrocarbons</w:t>
            </w:r>
          </w:p>
        </w:tc>
        <w:tc>
          <w:tcPr>
            <w:tcW w:type="dxa" w:w="756"/>
          </w:tcPr>
          <w:p>
            <w:r>
              <w:rPr>
                <w:rFonts w:ascii="Arial" w:hAnsi="Arial"/>
                <w:b w:val="0"/>
                <w:i w:val="0"/>
                <w:color w:val="000000"/>
                <w:sz w:val="20"/>
              </w:rPr>
              <w:t>4.8</w:t>
            </w:r>
          </w:p>
        </w:tc>
        <w:tc>
          <w:tcPr>
            <w:tcW w:type="dxa" w:w="756"/>
          </w:tcPr>
          <w:p>
            <w:r>
              <w:rPr>
                <w:rFonts w:ascii="Arial" w:hAnsi="Arial"/>
                <w:b w:val="0"/>
                <w:i w:val="0"/>
                <w:color w:val="000000"/>
                <w:sz w:val="20"/>
              </w:rPr>
              <w:t>5.6</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3.0</w:t>
            </w:r>
          </w:p>
        </w:tc>
        <w:tc>
          <w:tcPr>
            <w:tcW w:type="dxa" w:w="756"/>
          </w:tcPr>
          <w:p>
            <w:r>
              <w:rPr>
                <w:rFonts w:ascii="Arial" w:hAnsi="Arial"/>
                <w:b w:val="0"/>
                <w:i w:val="0"/>
                <w:color w:val="000000"/>
                <w:sz w:val="20"/>
              </w:rPr>
              <w:t>1.9</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1.7</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1.6</w:t>
            </w:r>
          </w:p>
        </w:tc>
        <w:tc>
          <w:tcPr>
            <w:tcW w:type="dxa" w:w="756"/>
          </w:tcPr>
          <w:p>
            <w:r>
              <w:rPr>
                <w:rFonts w:ascii="Arial" w:hAnsi="Arial"/>
                <w:b w:val="0"/>
                <w:i w:val="0"/>
                <w:color w:val="000000"/>
                <w:sz w:val="20"/>
              </w:rPr>
              <w:t>25.7</w:t>
            </w:r>
          </w:p>
        </w:tc>
      </w:tr>
      <w:tr>
        <w:tc>
          <w:tcPr>
            <w:tcW w:type="dxa" w:w="756"/>
          </w:tcPr>
          <w:p>
            <w:r>
              <w:rPr>
                <w:rFonts w:ascii="Arial" w:hAnsi="Arial"/>
                <w:b w:val="0"/>
                <w:i w:val="0"/>
                <w:color w:val="000000"/>
                <w:sz w:val="20"/>
              </w:rPr>
              <w:t>Pesticides</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1.8</w:t>
            </w:r>
          </w:p>
        </w:tc>
      </w:tr>
      <w:tr>
        <w:tc>
          <w:tcPr>
            <w:tcW w:type="dxa" w:w="756"/>
          </w:tcPr>
          <w:p>
            <w:r>
              <w:rPr>
                <w:rFonts w:ascii="Arial" w:hAnsi="Arial"/>
                <w:b w:val="0"/>
                <w:i w:val="0"/>
                <w:color w:val="000000"/>
                <w:sz w:val="20"/>
              </w:rPr>
              <w:t>Nitrates—Diffuse</w:t>
            </w:r>
          </w:p>
        </w:tc>
        <w:tc>
          <w:tcPr>
            <w:tcW w:type="dxa" w:w="756"/>
          </w:tcPr>
          <w:p>
            <w:r>
              <w:rPr>
                <w:rFonts w:ascii="Arial" w:hAnsi="Arial"/>
                <w:b w:val="0"/>
                <w:i w:val="0"/>
                <w:color w:val="000000"/>
                <w:sz w:val="20"/>
              </w:rPr>
              <w:t>1.0</w:t>
            </w:r>
          </w:p>
        </w:tc>
        <w:tc>
          <w:tcPr>
            <w:tcW w:type="dxa" w:w="756"/>
          </w:tcPr>
          <w:p>
            <w:r>
              <w:rPr>
                <w:rFonts w:ascii="Arial" w:hAnsi="Arial"/>
                <w:b w:val="0"/>
                <w:i w:val="0"/>
                <w:color w:val="000000"/>
                <w:sz w:val="20"/>
              </w:rPr>
              <w:t>2.6</w:t>
            </w:r>
          </w:p>
        </w:tc>
        <w:tc>
          <w:tcPr>
            <w:tcW w:type="dxa" w:w="756"/>
          </w:tcPr>
          <w:p>
            <w:r>
              <w:rPr>
                <w:rFonts w:ascii="Arial" w:hAnsi="Arial"/>
                <w:b w:val="0"/>
                <w:i w:val="0"/>
                <w:color w:val="000000"/>
                <w:sz w:val="20"/>
              </w:rPr>
              <w:t>1.2</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0.8</w:t>
            </w:r>
          </w:p>
        </w:tc>
        <w:tc>
          <w:tcPr>
            <w:tcW w:type="dxa" w:w="756"/>
          </w:tcPr>
          <w:p>
            <w:r>
              <w:rPr>
                <w:rFonts w:ascii="Arial" w:hAnsi="Arial"/>
                <w:b w:val="0"/>
                <w:i w:val="0"/>
                <w:color w:val="000000"/>
                <w:sz w:val="20"/>
              </w:rPr>
              <w:t>0.7</w:t>
            </w:r>
          </w:p>
        </w:tc>
        <w:tc>
          <w:tcPr>
            <w:tcW w:type="dxa" w:w="756"/>
          </w:tcPr>
          <w:p>
            <w:r>
              <w:rPr>
                <w:rFonts w:ascii="Arial" w:hAnsi="Arial"/>
                <w:b w:val="0"/>
                <w:i w:val="0"/>
                <w:color w:val="000000"/>
                <w:sz w:val="20"/>
              </w:rPr>
              <w:t>1.0</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1.0</w:t>
            </w:r>
          </w:p>
        </w:tc>
        <w:tc>
          <w:tcPr>
            <w:tcW w:type="dxa" w:w="756"/>
          </w:tcPr>
          <w:p>
            <w:r>
              <w:rPr>
                <w:rFonts w:ascii="Arial" w:hAnsi="Arial"/>
                <w:b w:val="0"/>
                <w:i w:val="0"/>
                <w:color w:val="000000"/>
                <w:sz w:val="20"/>
              </w:rPr>
              <w:t>11.0</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7.7</w:t>
            </w:r>
          </w:p>
        </w:tc>
        <w:tc>
          <w:tcPr>
            <w:tcW w:type="dxa" w:w="756"/>
            <w:shd w:val="clear" w:color="auto" w:fill="F3F3F3"/>
          </w:tcPr>
          <w:p>
            <w:r>
              <w:rPr>
                <w:rFonts w:ascii="Arial" w:hAnsi="Arial"/>
                <w:b/>
                <w:i w:val="0"/>
                <w:color w:val="000000"/>
                <w:sz w:val="20"/>
              </w:rPr>
              <w:t>10.7</w:t>
            </w:r>
          </w:p>
        </w:tc>
        <w:tc>
          <w:tcPr>
            <w:tcW w:type="dxa" w:w="756"/>
            <w:shd w:val="clear" w:color="auto" w:fill="F3F3F3"/>
          </w:tcPr>
          <w:p>
            <w:r>
              <w:rPr>
                <w:rFonts w:ascii="Arial" w:hAnsi="Arial"/>
                <w:b/>
                <w:i w:val="0"/>
                <w:color w:val="000000"/>
                <w:sz w:val="20"/>
              </w:rPr>
              <w:t>3.9</w:t>
            </w:r>
          </w:p>
        </w:tc>
        <w:tc>
          <w:tcPr>
            <w:tcW w:type="dxa" w:w="756"/>
            <w:shd w:val="clear" w:color="auto" w:fill="F3F3F3"/>
          </w:tcPr>
          <w:p>
            <w:r>
              <w:rPr>
                <w:rFonts w:ascii="Arial" w:hAnsi="Arial"/>
                <w:b/>
                <w:i w:val="0"/>
                <w:color w:val="000000"/>
                <w:sz w:val="20"/>
              </w:rPr>
              <w:t>3.1</w:t>
            </w:r>
          </w:p>
        </w:tc>
        <w:tc>
          <w:tcPr>
            <w:tcW w:type="dxa" w:w="756"/>
            <w:shd w:val="clear" w:color="auto" w:fill="F3F3F3"/>
          </w:tcPr>
          <w:p>
            <w:r>
              <w:rPr>
                <w:rFonts w:ascii="Arial" w:hAnsi="Arial"/>
                <w:b/>
                <w:i w:val="0"/>
                <w:color w:val="000000"/>
                <w:sz w:val="20"/>
              </w:rPr>
              <w:t>4.7</w:t>
            </w:r>
          </w:p>
        </w:tc>
        <w:tc>
          <w:tcPr>
            <w:tcW w:type="dxa" w:w="756"/>
            <w:shd w:val="clear" w:color="auto" w:fill="F3F3F3"/>
          </w:tcPr>
          <w:p>
            <w:r>
              <w:rPr>
                <w:rFonts w:ascii="Arial" w:hAnsi="Arial"/>
                <w:b/>
                <w:i w:val="0"/>
                <w:color w:val="000000"/>
                <w:sz w:val="20"/>
              </w:rPr>
              <w:t>3.1</w:t>
            </w:r>
          </w:p>
        </w:tc>
        <w:tc>
          <w:tcPr>
            <w:tcW w:type="dxa" w:w="756"/>
            <w:shd w:val="clear" w:color="auto" w:fill="F3F3F3"/>
          </w:tcPr>
          <w:p>
            <w:r>
              <w:rPr>
                <w:rFonts w:ascii="Arial" w:hAnsi="Arial"/>
                <w:b/>
                <w:i w:val="0"/>
                <w:color w:val="000000"/>
                <w:sz w:val="20"/>
              </w:rPr>
              <w:t>2.4</w:t>
            </w:r>
          </w:p>
        </w:tc>
        <w:tc>
          <w:tcPr>
            <w:tcW w:type="dxa" w:w="756"/>
            <w:shd w:val="clear" w:color="auto" w:fill="F3F3F3"/>
          </w:tcPr>
          <w:p>
            <w:r>
              <w:rPr>
                <w:rFonts w:ascii="Arial" w:hAnsi="Arial"/>
                <w:b/>
                <w:i w:val="0"/>
                <w:color w:val="000000"/>
                <w:sz w:val="20"/>
              </w:rPr>
              <w:t>3.3</w:t>
            </w:r>
          </w:p>
        </w:tc>
        <w:tc>
          <w:tcPr>
            <w:tcW w:type="dxa" w:w="756"/>
            <w:shd w:val="clear" w:color="auto" w:fill="F3F3F3"/>
          </w:tcPr>
          <w:p>
            <w:r>
              <w:rPr>
                <w:rFonts w:ascii="Arial" w:hAnsi="Arial"/>
                <w:b/>
                <w:i w:val="0"/>
                <w:color w:val="000000"/>
                <w:sz w:val="20"/>
              </w:rPr>
              <w:t>3.3</w:t>
            </w:r>
          </w:p>
        </w:tc>
        <w:tc>
          <w:tcPr>
            <w:tcW w:type="dxa" w:w="756"/>
            <w:shd w:val="clear" w:color="auto" w:fill="F3F3F3"/>
          </w:tcPr>
          <w:p>
            <w:r>
              <w:rPr>
                <w:rFonts w:ascii="Arial" w:hAnsi="Arial"/>
                <w:b/>
                <w:i w:val="0"/>
                <w:color w:val="000000"/>
                <w:sz w:val="20"/>
              </w:rPr>
              <w:t>3.1</w:t>
            </w:r>
          </w:p>
        </w:tc>
        <w:tc>
          <w:tcPr>
            <w:tcW w:type="dxa" w:w="756"/>
            <w:shd w:val="clear" w:color="auto" w:fill="F3F3F3"/>
          </w:tcPr>
          <w:p>
            <w:r>
              <w:rPr>
                <w:rFonts w:ascii="Arial" w:hAnsi="Arial"/>
                <w:b/>
                <w:i w:val="0"/>
                <w:color w:val="000000"/>
                <w:sz w:val="20"/>
              </w:rPr>
              <w:t>45.3</w:t>
            </w:r>
          </w:p>
        </w:tc>
      </w:tr>
    </w:tbl>
    <w:p>
      <w:r>
        <w:rPr>
          <w:rFonts w:ascii="Arial" w:hAnsi="Arial"/>
          <w:b w:val="0"/>
          <w:i w:val="0"/>
          <w:color w:val="000000"/>
          <w:sz w:val="22"/>
        </w:rPr>
        <w:t>No other geographical areas outside those listed generated material soil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5.3.7.4  Quantify Emissions to Soil by Pollutant — By Source</w:t>
      </w:r>
    </w:p>
    <w:p>
      <w:r>
        <w:rPr>
          <w:rFonts w:ascii="Arial" w:hAnsi="Arial"/>
          <w:b/>
          <w:i w:val="0"/>
          <w:color w:val="000000"/>
          <w:sz w:val="20"/>
        </w:rPr>
        <w:t>Table 5.3.7.4 — Emissions to Soil by Pollutant (By Source)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Fugitive</w:t>
            </w:r>
          </w:p>
        </w:tc>
        <w:tc>
          <w:tcPr>
            <w:tcW w:type="dxa" w:w="756"/>
            <w:shd w:val="clear" w:color="auto" w:fill="D9D9D9"/>
          </w:tcPr>
          <w:p>
            <w:r>
              <w:rPr>
                <w:rFonts w:ascii="Arial" w:hAnsi="Arial"/>
                <w:b/>
                <w:i w:val="0"/>
                <w:color w:val="000000"/>
                <w:sz w:val="20"/>
              </w:rPr>
              <w:t>Spill</w:t>
            </w:r>
          </w:p>
        </w:tc>
        <w:tc>
          <w:tcPr>
            <w:tcW w:type="dxa" w:w="756"/>
            <w:shd w:val="clear" w:color="auto" w:fill="D9D9D9"/>
          </w:tcPr>
          <w:p>
            <w:r>
              <w:rPr>
                <w:rFonts w:ascii="Arial" w:hAnsi="Arial"/>
                <w:b/>
                <w:i w:val="0"/>
                <w:color w:val="000000"/>
                <w:sz w:val="20"/>
              </w:rPr>
              <w:t>Diffuse</w:t>
            </w:r>
          </w:p>
        </w:tc>
        <w:tc>
          <w:tcPr>
            <w:tcW w:type="dxa" w:w="756"/>
            <w:shd w:val="clear" w:color="auto" w:fill="D9D9D9"/>
          </w:tcPr>
          <w:p>
            <w:r>
              <w:rPr>
                <w:rFonts w:ascii="Arial" w:hAnsi="Arial"/>
                <w:b/>
                <w:i w:val="0"/>
                <w:color w:val="000000"/>
                <w:sz w:val="20"/>
              </w:rPr>
              <w:t>Leachate</w:t>
            </w:r>
          </w:p>
        </w:tc>
        <w:tc>
          <w:tcPr>
            <w:tcW w:type="dxa" w:w="756"/>
            <w:shd w:val="clear" w:color="auto" w:fill="D9D9D9"/>
          </w:tcPr>
          <w:p>
            <w:r>
              <w:rPr>
                <w:rFonts w:ascii="Arial" w:hAnsi="Arial"/>
                <w:b/>
                <w:i w:val="0"/>
                <w:color w:val="000000"/>
                <w:sz w:val="20"/>
              </w:rPr>
              <w:t>Runoff</w:t>
            </w:r>
          </w:p>
        </w:tc>
        <w:tc>
          <w:tcPr>
            <w:tcW w:type="dxa" w:w="756"/>
            <w:shd w:val="clear" w:color="auto" w:fill="D9D9D9"/>
          </w:tcPr>
          <w:p>
            <w:r>
              <w:rPr>
                <w:rFonts w:ascii="Arial" w:hAnsi="Arial"/>
                <w:b/>
                <w:i w:val="0"/>
                <w:color w:val="000000"/>
                <w:sz w:val="20"/>
              </w:rPr>
              <w:t>Process</w:t>
            </w:r>
          </w:p>
        </w:tc>
        <w:tc>
          <w:tcPr>
            <w:tcW w:type="dxa" w:w="756"/>
            <w:shd w:val="clear" w:color="auto" w:fill="D9D9D9"/>
          </w:tcPr>
          <w:p>
            <w:r>
              <w:rPr>
                <w:rFonts w:ascii="Arial" w:hAnsi="Arial"/>
                <w:b/>
                <w:i w:val="0"/>
                <w:color w:val="000000"/>
                <w:sz w:val="20"/>
              </w:rPr>
              <w:t>Atm. Dep.</w:t>
            </w:r>
          </w:p>
        </w:tc>
        <w:tc>
          <w:tcPr>
            <w:tcW w:type="dxa" w:w="756"/>
            <w:shd w:val="clear" w:color="auto" w:fill="D9D9D9"/>
          </w:tcPr>
          <w:p>
            <w:r>
              <w:rPr>
                <w:rFonts w:ascii="Arial" w:hAnsi="Arial"/>
                <w:b/>
                <w:i w:val="0"/>
                <w:color w:val="000000"/>
                <w:sz w:val="20"/>
              </w:rPr>
              <w:t>Waste</w:t>
            </w:r>
          </w:p>
        </w:tc>
        <w:tc>
          <w:tcPr>
            <w:tcW w:type="dxa" w:w="756"/>
            <w:shd w:val="clear" w:color="auto" w:fill="D9D9D9"/>
          </w:tcPr>
          <w:p>
            <w:r>
              <w:rPr>
                <w:rFonts w:ascii="Arial" w:hAnsi="Arial"/>
                <w:b/>
                <w:i w:val="0"/>
                <w:color w:val="000000"/>
                <w:sz w:val="20"/>
              </w:rPr>
              <w:t>Sludge</w:t>
            </w:r>
          </w:p>
        </w:tc>
        <w:tc>
          <w:tcPr>
            <w:tcW w:type="dxa" w:w="756"/>
            <w:shd w:val="clear" w:color="auto" w:fill="D9D9D9"/>
          </w:tcPr>
          <w:p>
            <w:r>
              <w:rPr>
                <w:rFonts w:ascii="Arial" w:hAnsi="Arial"/>
                <w:b/>
                <w:i w:val="0"/>
                <w:color w:val="000000"/>
                <w:sz w:val="20"/>
              </w:rPr>
              <w:t>Remediation</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Heavy Metals</w:t>
            </w:r>
          </w:p>
        </w:tc>
        <w:tc>
          <w:tcPr>
            <w:tcW w:type="dxa" w:w="756"/>
          </w:tcPr>
          <w:p>
            <w:r>
              <w:rPr>
                <w:rFonts w:ascii="Arial" w:hAnsi="Arial"/>
                <w:b w:val="0"/>
                <w:i w:val="0"/>
                <w:color w:val="000000"/>
                <w:sz w:val="20"/>
              </w:rPr>
              <w:t>0.8</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0.5</w:t>
            </w:r>
          </w:p>
        </w:tc>
        <w:tc>
          <w:tcPr>
            <w:tcW w:type="dxa" w:w="756"/>
          </w:tcPr>
          <w:p>
            <w:r>
              <w:rPr>
                <w:rFonts w:ascii="Arial" w:hAnsi="Arial"/>
                <w:b w:val="0"/>
                <w:i w:val="0"/>
                <w:color w:val="000000"/>
                <w:sz w:val="20"/>
              </w:rPr>
              <w:t>0.6</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0.6</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0.5</w:t>
            </w:r>
          </w:p>
        </w:tc>
        <w:tc>
          <w:tcPr>
            <w:tcW w:type="dxa" w:w="756"/>
          </w:tcPr>
          <w:p>
            <w:r>
              <w:rPr>
                <w:rFonts w:ascii="Arial" w:hAnsi="Arial"/>
                <w:b w:val="0"/>
                <w:i w:val="0"/>
                <w:color w:val="000000"/>
                <w:sz w:val="20"/>
              </w:rPr>
              <w:t>0.5</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5.9</w:t>
            </w:r>
          </w:p>
        </w:tc>
      </w:tr>
      <w:tr>
        <w:tc>
          <w:tcPr>
            <w:tcW w:type="dxa" w:w="756"/>
          </w:tcPr>
          <w:p>
            <w:r>
              <w:rPr>
                <w:rFonts w:ascii="Arial" w:hAnsi="Arial"/>
                <w:b w:val="0"/>
                <w:i w:val="0"/>
                <w:color w:val="000000"/>
                <w:sz w:val="20"/>
              </w:rPr>
              <w:t>Hydrocarbons</w:t>
            </w:r>
          </w:p>
        </w:tc>
        <w:tc>
          <w:tcPr>
            <w:tcW w:type="dxa" w:w="756"/>
          </w:tcPr>
          <w:p>
            <w:r>
              <w:rPr>
                <w:rFonts w:ascii="Arial" w:hAnsi="Arial"/>
                <w:b w:val="0"/>
                <w:i w:val="0"/>
                <w:color w:val="000000"/>
                <w:sz w:val="20"/>
              </w:rPr>
              <w:t>3.2</w:t>
            </w:r>
          </w:p>
        </w:tc>
        <w:tc>
          <w:tcPr>
            <w:tcW w:type="dxa" w:w="756"/>
          </w:tcPr>
          <w:p>
            <w:r>
              <w:rPr>
                <w:rFonts w:ascii="Arial" w:hAnsi="Arial"/>
                <w:b w:val="0"/>
                <w:i w:val="0"/>
                <w:color w:val="000000"/>
                <w:sz w:val="20"/>
              </w:rPr>
              <w:t>6.4</w:t>
            </w:r>
          </w:p>
        </w:tc>
        <w:tc>
          <w:tcPr>
            <w:tcW w:type="dxa" w:w="756"/>
          </w:tcPr>
          <w:p>
            <w:r>
              <w:rPr>
                <w:rFonts w:ascii="Arial" w:hAnsi="Arial"/>
                <w:b w:val="0"/>
                <w:i w:val="0"/>
                <w:color w:val="000000"/>
                <w:sz w:val="20"/>
              </w:rPr>
              <w:t>3.8</w:t>
            </w:r>
          </w:p>
        </w:tc>
        <w:tc>
          <w:tcPr>
            <w:tcW w:type="dxa" w:w="756"/>
          </w:tcPr>
          <w:p>
            <w:r>
              <w:rPr>
                <w:rFonts w:ascii="Arial" w:hAnsi="Arial"/>
                <w:b w:val="0"/>
                <w:i w:val="0"/>
                <w:color w:val="000000"/>
                <w:sz w:val="20"/>
              </w:rPr>
              <w:t>2.2</w:t>
            </w:r>
          </w:p>
        </w:tc>
        <w:tc>
          <w:tcPr>
            <w:tcW w:type="dxa" w:w="756"/>
          </w:tcPr>
          <w:p>
            <w:r>
              <w:rPr>
                <w:rFonts w:ascii="Arial" w:hAnsi="Arial"/>
                <w:b w:val="0"/>
                <w:i w:val="0"/>
                <w:color w:val="000000"/>
                <w:sz w:val="20"/>
              </w:rPr>
              <w:t>2.6</w:t>
            </w:r>
          </w:p>
        </w:tc>
        <w:tc>
          <w:tcPr>
            <w:tcW w:type="dxa" w:w="756"/>
          </w:tcPr>
          <w:p>
            <w:r>
              <w:rPr>
                <w:rFonts w:ascii="Arial" w:hAnsi="Arial"/>
                <w:b w:val="0"/>
                <w:i w:val="0"/>
                <w:color w:val="000000"/>
                <w:sz w:val="20"/>
              </w:rPr>
              <w:t>2.9</w:t>
            </w:r>
          </w:p>
        </w:tc>
        <w:tc>
          <w:tcPr>
            <w:tcW w:type="dxa" w:w="756"/>
          </w:tcPr>
          <w:p>
            <w:r>
              <w:rPr>
                <w:rFonts w:ascii="Arial" w:hAnsi="Arial"/>
                <w:b w:val="0"/>
                <w:i w:val="0"/>
                <w:color w:val="000000"/>
                <w:sz w:val="20"/>
              </w:rPr>
              <w:t>1.2</w:t>
            </w:r>
          </w:p>
        </w:tc>
        <w:tc>
          <w:tcPr>
            <w:tcW w:type="dxa" w:w="756"/>
          </w:tcPr>
          <w:p>
            <w:r>
              <w:rPr>
                <w:rFonts w:ascii="Arial" w:hAnsi="Arial"/>
                <w:b w:val="0"/>
                <w:i w:val="0"/>
                <w:color w:val="000000"/>
                <w:sz w:val="20"/>
              </w:rPr>
              <w:t>2.4</w:t>
            </w:r>
          </w:p>
        </w:tc>
        <w:tc>
          <w:tcPr>
            <w:tcW w:type="dxa" w:w="756"/>
          </w:tcPr>
          <w:p>
            <w:r>
              <w:rPr>
                <w:rFonts w:ascii="Arial" w:hAnsi="Arial"/>
                <w:b w:val="0"/>
                <w:i w:val="0"/>
                <w:color w:val="000000"/>
                <w:sz w:val="20"/>
              </w:rPr>
              <w:t>2.2</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28.3</w:t>
            </w:r>
          </w:p>
        </w:tc>
      </w:tr>
      <w:tr>
        <w:tc>
          <w:tcPr>
            <w:tcW w:type="dxa" w:w="756"/>
          </w:tcPr>
          <w:p>
            <w:r>
              <w:rPr>
                <w:rFonts w:ascii="Arial" w:hAnsi="Arial"/>
                <w:b w:val="0"/>
                <w:i w:val="0"/>
                <w:color w:val="000000"/>
                <w:sz w:val="20"/>
              </w:rPr>
              <w:t>Pesticides</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0.6</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1.7</w:t>
            </w:r>
          </w:p>
        </w:tc>
      </w:tr>
      <w:tr>
        <w:tc>
          <w:tcPr>
            <w:tcW w:type="dxa" w:w="756"/>
          </w:tcPr>
          <w:p>
            <w:r>
              <w:rPr>
                <w:rFonts w:ascii="Arial" w:hAnsi="Arial"/>
                <w:b w:val="0"/>
                <w:i w:val="0"/>
                <w:color w:val="000000"/>
                <w:sz w:val="20"/>
              </w:rPr>
              <w:t>Nitrates—Diffuse</w:t>
            </w:r>
          </w:p>
        </w:tc>
        <w:tc>
          <w:tcPr>
            <w:tcW w:type="dxa" w:w="756"/>
          </w:tcPr>
          <w:p>
            <w:r>
              <w:rPr>
                <w:rFonts w:ascii="Arial" w:hAnsi="Arial"/>
                <w:b w:val="0"/>
                <w:i w:val="0"/>
                <w:color w:val="000000"/>
                <w:sz w:val="20"/>
              </w:rPr>
              <w:t>0.8</w:t>
            </w:r>
          </w:p>
        </w:tc>
        <w:tc>
          <w:tcPr>
            <w:tcW w:type="dxa" w:w="756"/>
          </w:tcPr>
          <w:p>
            <w:r>
              <w:rPr>
                <w:rFonts w:ascii="Arial" w:hAnsi="Arial"/>
                <w:b w:val="0"/>
                <w:i w:val="0"/>
                <w:color w:val="000000"/>
                <w:sz w:val="20"/>
              </w:rPr>
              <w:t>0.7</w:t>
            </w:r>
          </w:p>
        </w:tc>
        <w:tc>
          <w:tcPr>
            <w:tcW w:type="dxa" w:w="756"/>
          </w:tcPr>
          <w:p>
            <w:r>
              <w:rPr>
                <w:rFonts w:ascii="Arial" w:hAnsi="Arial"/>
                <w:b w:val="0"/>
                <w:i w:val="0"/>
                <w:color w:val="000000"/>
                <w:sz w:val="20"/>
              </w:rPr>
              <w:t>4.2</w:t>
            </w:r>
          </w:p>
        </w:tc>
        <w:tc>
          <w:tcPr>
            <w:tcW w:type="dxa" w:w="756"/>
          </w:tcPr>
          <w:p>
            <w:r>
              <w:rPr>
                <w:rFonts w:ascii="Arial" w:hAnsi="Arial"/>
                <w:b w:val="0"/>
                <w:i w:val="0"/>
                <w:color w:val="000000"/>
                <w:sz w:val="20"/>
              </w:rPr>
              <w:t>0.8</w:t>
            </w:r>
          </w:p>
        </w:tc>
        <w:tc>
          <w:tcPr>
            <w:tcW w:type="dxa" w:w="756"/>
          </w:tcPr>
          <w:p>
            <w:r>
              <w:rPr>
                <w:rFonts w:ascii="Arial" w:hAnsi="Arial"/>
                <w:b w:val="0"/>
                <w:i w:val="0"/>
                <w:color w:val="000000"/>
                <w:sz w:val="20"/>
              </w:rPr>
              <w:t>1.4</w:t>
            </w:r>
          </w:p>
        </w:tc>
        <w:tc>
          <w:tcPr>
            <w:tcW w:type="dxa" w:w="756"/>
          </w:tcPr>
          <w:p>
            <w:r>
              <w:rPr>
                <w:rFonts w:ascii="Arial" w:hAnsi="Arial"/>
                <w:b w:val="0"/>
                <w:i w:val="0"/>
                <w:color w:val="000000"/>
                <w:sz w:val="20"/>
              </w:rPr>
              <w:t>0.7</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0.8</w:t>
            </w:r>
          </w:p>
        </w:tc>
        <w:tc>
          <w:tcPr>
            <w:tcW w:type="dxa" w:w="756"/>
          </w:tcPr>
          <w:p>
            <w:r>
              <w:rPr>
                <w:rFonts w:ascii="Arial" w:hAnsi="Arial"/>
                <w:b w:val="0"/>
                <w:i w:val="0"/>
                <w:color w:val="000000"/>
                <w:sz w:val="20"/>
              </w:rPr>
              <w:t>0.8</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11.0</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4.9</w:t>
            </w:r>
          </w:p>
        </w:tc>
        <w:tc>
          <w:tcPr>
            <w:tcW w:type="dxa" w:w="756"/>
            <w:shd w:val="clear" w:color="auto" w:fill="F3F3F3"/>
          </w:tcPr>
          <w:p>
            <w:r>
              <w:rPr>
                <w:rFonts w:ascii="Arial" w:hAnsi="Arial"/>
                <w:b/>
                <w:i w:val="0"/>
                <w:color w:val="000000"/>
                <w:sz w:val="20"/>
              </w:rPr>
              <w:t>8.7</w:t>
            </w:r>
          </w:p>
        </w:tc>
        <w:tc>
          <w:tcPr>
            <w:tcW w:type="dxa" w:w="756"/>
            <w:shd w:val="clear" w:color="auto" w:fill="F3F3F3"/>
          </w:tcPr>
          <w:p>
            <w:r>
              <w:rPr>
                <w:rFonts w:ascii="Arial" w:hAnsi="Arial"/>
                <w:b/>
                <w:i w:val="0"/>
                <w:color w:val="000000"/>
                <w:sz w:val="20"/>
              </w:rPr>
              <w:t>9.1</w:t>
            </w:r>
          </w:p>
        </w:tc>
        <w:tc>
          <w:tcPr>
            <w:tcW w:type="dxa" w:w="756"/>
            <w:shd w:val="clear" w:color="auto" w:fill="F3F3F3"/>
          </w:tcPr>
          <w:p>
            <w:r>
              <w:rPr>
                <w:rFonts w:ascii="Arial" w:hAnsi="Arial"/>
                <w:b/>
                <w:i w:val="0"/>
                <w:color w:val="000000"/>
                <w:sz w:val="20"/>
              </w:rPr>
              <w:t>3.7</w:t>
            </w:r>
          </w:p>
        </w:tc>
        <w:tc>
          <w:tcPr>
            <w:tcW w:type="dxa" w:w="756"/>
            <w:shd w:val="clear" w:color="auto" w:fill="F3F3F3"/>
          </w:tcPr>
          <w:p>
            <w:r>
              <w:rPr>
                <w:rFonts w:ascii="Arial" w:hAnsi="Arial"/>
                <w:b/>
                <w:i w:val="0"/>
                <w:color w:val="000000"/>
                <w:sz w:val="20"/>
              </w:rPr>
              <w:t>4.6</w:t>
            </w:r>
          </w:p>
        </w:tc>
        <w:tc>
          <w:tcPr>
            <w:tcW w:type="dxa" w:w="756"/>
            <w:shd w:val="clear" w:color="auto" w:fill="F3F3F3"/>
          </w:tcPr>
          <w:p>
            <w:r>
              <w:rPr>
                <w:rFonts w:ascii="Arial" w:hAnsi="Arial"/>
                <w:b/>
                <w:i w:val="0"/>
                <w:color w:val="000000"/>
                <w:sz w:val="20"/>
              </w:rPr>
              <w:t>4.3</w:t>
            </w:r>
          </w:p>
        </w:tc>
        <w:tc>
          <w:tcPr>
            <w:tcW w:type="dxa" w:w="756"/>
            <w:shd w:val="clear" w:color="auto" w:fill="F3F3F3"/>
          </w:tcPr>
          <w:p>
            <w:r>
              <w:rPr>
                <w:rFonts w:ascii="Arial" w:hAnsi="Arial"/>
                <w:b/>
                <w:i w:val="0"/>
                <w:color w:val="000000"/>
                <w:sz w:val="20"/>
              </w:rPr>
              <w:t>2.0</w:t>
            </w:r>
          </w:p>
        </w:tc>
        <w:tc>
          <w:tcPr>
            <w:tcW w:type="dxa" w:w="756"/>
            <w:shd w:val="clear" w:color="auto" w:fill="F3F3F3"/>
          </w:tcPr>
          <w:p>
            <w:r>
              <w:rPr>
                <w:rFonts w:ascii="Arial" w:hAnsi="Arial"/>
                <w:b/>
                <w:i w:val="0"/>
                <w:color w:val="000000"/>
                <w:sz w:val="20"/>
              </w:rPr>
              <w:t>3.8</w:t>
            </w:r>
          </w:p>
        </w:tc>
        <w:tc>
          <w:tcPr>
            <w:tcW w:type="dxa" w:w="756"/>
            <w:shd w:val="clear" w:color="auto" w:fill="F3F3F3"/>
          </w:tcPr>
          <w:p>
            <w:r>
              <w:rPr>
                <w:rFonts w:ascii="Arial" w:hAnsi="Arial"/>
                <w:b/>
                <w:i w:val="0"/>
                <w:color w:val="000000"/>
                <w:sz w:val="20"/>
              </w:rPr>
              <w:t>3.6</w:t>
            </w:r>
          </w:p>
        </w:tc>
        <w:tc>
          <w:tcPr>
            <w:tcW w:type="dxa" w:w="756"/>
            <w:shd w:val="clear" w:color="auto" w:fill="F3F3F3"/>
          </w:tcPr>
          <w:p>
            <w:r>
              <w:rPr>
                <w:rFonts w:ascii="Arial" w:hAnsi="Arial"/>
                <w:b/>
                <w:i w:val="0"/>
                <w:color w:val="000000"/>
                <w:sz w:val="20"/>
              </w:rPr>
              <w:t>2.2</w:t>
            </w:r>
          </w:p>
        </w:tc>
        <w:tc>
          <w:tcPr>
            <w:tcW w:type="dxa" w:w="756"/>
            <w:shd w:val="clear" w:color="auto" w:fill="F3F3F3"/>
          </w:tcPr>
          <w:p>
            <w:r>
              <w:rPr>
                <w:rFonts w:ascii="Arial" w:hAnsi="Arial"/>
                <w:b/>
                <w:i w:val="0"/>
                <w:color w:val="000000"/>
                <w:sz w:val="20"/>
              </w:rPr>
              <w:t>46.9</w:t>
            </w:r>
          </w:p>
        </w:tc>
      </w:tr>
    </w:tbl>
    <w:p>
      <w:r>
        <w:rPr>
          <w:rFonts w:ascii="Arial" w:hAnsi="Arial"/>
          <w:b w:val="0"/>
          <w:i w:val="0"/>
          <w:color w:val="000000"/>
          <w:sz w:val="22"/>
        </w:rPr>
        <w:t>No other source categories outside those listed generated material soil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5.3.7.5  Quantify Emissions to Soil by Pollutant — By Site Location</w:t>
      </w:r>
    </w:p>
    <w:p>
      <w:r>
        <w:rPr>
          <w:rFonts w:ascii="Arial" w:hAnsi="Arial"/>
          <w:b/>
          <w:i w:val="0"/>
          <w:color w:val="000000"/>
          <w:sz w:val="20"/>
        </w:rPr>
        <w:t>Table 5.3.7.5 — Emissions to Soil by Pollutant (By Site Location)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tbl>
      <w:tblPr>
        <w:tblStyle w:val="TableGrid"/>
        <w:tblW w:type="auto" w:w="0"/>
        <w:tblLook w:firstColumn="1" w:firstRow="1" w:lastColumn="0" w:lastRow="0" w:noHBand="0" w:noVBand="1" w:val="04A0"/>
      </w:tblPr>
      <w:tblGrid>
        <w:gridCol w:w="756"/>
        <w:gridCol w:w="756"/>
        <w:gridCol w:w="756"/>
        <w:gridCol w:w="756"/>
        <w:gridCol w:w="756"/>
        <w:gridCol w:w="756"/>
        <w:gridCol w:w="756"/>
        <w:gridCol w:w="756"/>
        <w:gridCol w:w="756"/>
        <w:gridCol w:w="756"/>
        <w:gridCol w:w="756"/>
        <w:gridCol w:w="756"/>
      </w:tblGrid>
      <w:tr>
        <w:tc>
          <w:tcPr>
            <w:tcW w:type="dxa" w:w="756"/>
            <w:shd w:val="clear" w:color="auto" w:fill="D9D9D9"/>
          </w:tcPr>
          <w:p>
            <w:r>
              <w:rPr>
                <w:rFonts w:ascii="Arial" w:hAnsi="Arial"/>
                <w:b/>
                <w:i w:val="0"/>
                <w:color w:val="000000"/>
                <w:sz w:val="20"/>
              </w:rPr>
              <w:t>Pollutant</w:t>
            </w:r>
          </w:p>
        </w:tc>
        <w:tc>
          <w:tcPr>
            <w:tcW w:type="dxa" w:w="756"/>
            <w:shd w:val="clear" w:color="auto" w:fill="D9D9D9"/>
          </w:tcPr>
          <w:p>
            <w:r>
              <w:rPr>
                <w:rFonts w:ascii="Arial" w:hAnsi="Arial"/>
                <w:b/>
                <w:i w:val="0"/>
                <w:color w:val="000000"/>
                <w:sz w:val="20"/>
              </w:rPr>
              <w:t>Dubai</w:t>
            </w:r>
          </w:p>
        </w:tc>
        <w:tc>
          <w:tcPr>
            <w:tcW w:type="dxa" w:w="756"/>
            <w:shd w:val="clear" w:color="auto" w:fill="D9D9D9"/>
          </w:tcPr>
          <w:p>
            <w:r>
              <w:rPr>
                <w:rFonts w:ascii="Arial" w:hAnsi="Arial"/>
                <w:b/>
                <w:i w:val="0"/>
                <w:color w:val="000000"/>
                <w:sz w:val="20"/>
              </w:rPr>
              <w:t>Mumbai</w:t>
            </w:r>
          </w:p>
        </w:tc>
        <w:tc>
          <w:tcPr>
            <w:tcW w:type="dxa" w:w="756"/>
            <w:shd w:val="clear" w:color="auto" w:fill="D9D9D9"/>
          </w:tcPr>
          <w:p>
            <w:r>
              <w:rPr>
                <w:rFonts w:ascii="Arial" w:hAnsi="Arial"/>
                <w:b/>
                <w:i w:val="0"/>
                <w:color w:val="000000"/>
                <w:sz w:val="20"/>
              </w:rPr>
              <w:t>Frankfurt</w:t>
            </w:r>
          </w:p>
        </w:tc>
        <w:tc>
          <w:tcPr>
            <w:tcW w:type="dxa" w:w="756"/>
            <w:shd w:val="clear" w:color="auto" w:fill="D9D9D9"/>
          </w:tcPr>
          <w:p>
            <w:r>
              <w:rPr>
                <w:rFonts w:ascii="Arial" w:hAnsi="Arial"/>
                <w:b/>
                <w:i w:val="0"/>
                <w:color w:val="000000"/>
                <w:sz w:val="20"/>
              </w:rPr>
              <w:t>Paris</w:t>
            </w:r>
          </w:p>
        </w:tc>
        <w:tc>
          <w:tcPr>
            <w:tcW w:type="dxa" w:w="756"/>
            <w:shd w:val="clear" w:color="auto" w:fill="D9D9D9"/>
          </w:tcPr>
          <w:p>
            <w:r>
              <w:rPr>
                <w:rFonts w:ascii="Arial" w:hAnsi="Arial"/>
                <w:b/>
                <w:i w:val="0"/>
                <w:color w:val="000000"/>
                <w:sz w:val="20"/>
              </w:rPr>
              <w:t>Singapore</w:t>
            </w:r>
          </w:p>
        </w:tc>
        <w:tc>
          <w:tcPr>
            <w:tcW w:type="dxa" w:w="756"/>
            <w:shd w:val="clear" w:color="auto" w:fill="D9D9D9"/>
          </w:tcPr>
          <w:p>
            <w:r>
              <w:rPr>
                <w:rFonts w:ascii="Arial" w:hAnsi="Arial"/>
                <w:b/>
                <w:i w:val="0"/>
                <w:color w:val="000000"/>
                <w:sz w:val="20"/>
              </w:rPr>
              <w:t>Tokyo</w:t>
            </w:r>
          </w:p>
        </w:tc>
        <w:tc>
          <w:tcPr>
            <w:tcW w:type="dxa" w:w="756"/>
            <w:shd w:val="clear" w:color="auto" w:fill="D9D9D9"/>
          </w:tcPr>
          <w:p>
            <w:r>
              <w:rPr>
                <w:rFonts w:ascii="Arial" w:hAnsi="Arial"/>
                <w:b/>
                <w:i w:val="0"/>
                <w:color w:val="000000"/>
                <w:sz w:val="20"/>
              </w:rPr>
              <w:t>London</w:t>
            </w:r>
          </w:p>
        </w:tc>
        <w:tc>
          <w:tcPr>
            <w:tcW w:type="dxa" w:w="756"/>
            <w:shd w:val="clear" w:color="auto" w:fill="D9D9D9"/>
          </w:tcPr>
          <w:p>
            <w:r>
              <w:rPr>
                <w:rFonts w:ascii="Arial" w:hAnsi="Arial"/>
                <w:b/>
                <w:i w:val="0"/>
                <w:color w:val="000000"/>
                <w:sz w:val="20"/>
              </w:rPr>
              <w:t>São Paulo</w:t>
            </w:r>
          </w:p>
        </w:tc>
        <w:tc>
          <w:tcPr>
            <w:tcW w:type="dxa" w:w="756"/>
            <w:shd w:val="clear" w:color="auto" w:fill="D9D9D9"/>
          </w:tcPr>
          <w:p>
            <w:r>
              <w:rPr>
                <w:rFonts w:ascii="Arial" w:hAnsi="Arial"/>
                <w:b/>
                <w:i w:val="0"/>
                <w:color w:val="000000"/>
                <w:sz w:val="20"/>
              </w:rPr>
              <w:t>Sydney</w:t>
            </w:r>
          </w:p>
        </w:tc>
        <w:tc>
          <w:tcPr>
            <w:tcW w:type="dxa" w:w="756"/>
            <w:shd w:val="clear" w:color="auto" w:fill="D9D9D9"/>
          </w:tcPr>
          <w:p>
            <w:r>
              <w:rPr>
                <w:rFonts w:ascii="Arial" w:hAnsi="Arial"/>
                <w:b/>
                <w:i w:val="0"/>
                <w:color w:val="000000"/>
                <w:sz w:val="20"/>
              </w:rPr>
              <w:t>Toronto</w:t>
            </w:r>
          </w:p>
        </w:tc>
        <w:tc>
          <w:tcPr>
            <w:tcW w:type="dxa" w:w="756"/>
            <w:shd w:val="clear" w:color="auto" w:fill="D9D9D9"/>
          </w:tcPr>
          <w:p>
            <w:r>
              <w:rPr>
                <w:rFonts w:ascii="Arial" w:hAnsi="Arial"/>
                <w:b/>
                <w:i w:val="0"/>
                <w:color w:val="000000"/>
                <w:sz w:val="20"/>
              </w:rPr>
              <w:t>Total (t)</w:t>
            </w:r>
          </w:p>
        </w:tc>
      </w:tr>
      <w:tr>
        <w:tc>
          <w:tcPr>
            <w:tcW w:type="dxa" w:w="756"/>
          </w:tcPr>
          <w:p>
            <w:r>
              <w:rPr>
                <w:rFonts w:ascii="Arial" w:hAnsi="Arial"/>
                <w:b w:val="0"/>
                <w:i w:val="0"/>
                <w:color w:val="000000"/>
                <w:sz w:val="20"/>
              </w:rPr>
              <w:t>Heavy Metals</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2.0</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0.5</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0.3</w:t>
            </w:r>
          </w:p>
        </w:tc>
        <w:tc>
          <w:tcPr>
            <w:tcW w:type="dxa" w:w="756"/>
          </w:tcPr>
          <w:p>
            <w:r>
              <w:rPr>
                <w:rFonts w:ascii="Arial" w:hAnsi="Arial"/>
                <w:b w:val="0"/>
                <w:i w:val="0"/>
                <w:color w:val="000000"/>
                <w:sz w:val="20"/>
              </w:rPr>
              <w:t>6.5</w:t>
            </w:r>
          </w:p>
        </w:tc>
      </w:tr>
      <w:tr>
        <w:tc>
          <w:tcPr>
            <w:tcW w:type="dxa" w:w="756"/>
          </w:tcPr>
          <w:p>
            <w:r>
              <w:rPr>
                <w:rFonts w:ascii="Arial" w:hAnsi="Arial"/>
                <w:b w:val="0"/>
                <w:i w:val="0"/>
                <w:color w:val="000000"/>
                <w:sz w:val="20"/>
              </w:rPr>
              <w:t>Hydrocarbons</w:t>
            </w:r>
          </w:p>
        </w:tc>
        <w:tc>
          <w:tcPr>
            <w:tcW w:type="dxa" w:w="756"/>
          </w:tcPr>
          <w:p>
            <w:r>
              <w:rPr>
                <w:rFonts w:ascii="Arial" w:hAnsi="Arial"/>
                <w:b w:val="0"/>
                <w:i w:val="0"/>
                <w:color w:val="000000"/>
                <w:sz w:val="20"/>
              </w:rPr>
              <w:t>4.7</w:t>
            </w:r>
          </w:p>
        </w:tc>
        <w:tc>
          <w:tcPr>
            <w:tcW w:type="dxa" w:w="756"/>
          </w:tcPr>
          <w:p>
            <w:r>
              <w:rPr>
                <w:rFonts w:ascii="Arial" w:hAnsi="Arial"/>
                <w:b w:val="0"/>
                <w:i w:val="0"/>
                <w:color w:val="000000"/>
                <w:sz w:val="20"/>
              </w:rPr>
              <w:t>5.5</w:t>
            </w:r>
          </w:p>
        </w:tc>
        <w:tc>
          <w:tcPr>
            <w:tcW w:type="dxa" w:w="756"/>
          </w:tcPr>
          <w:p>
            <w:r>
              <w:rPr>
                <w:rFonts w:ascii="Arial" w:hAnsi="Arial"/>
                <w:b w:val="0"/>
                <w:i w:val="0"/>
                <w:color w:val="000000"/>
                <w:sz w:val="20"/>
              </w:rPr>
              <w:t>2.1</w:t>
            </w:r>
          </w:p>
        </w:tc>
        <w:tc>
          <w:tcPr>
            <w:tcW w:type="dxa" w:w="756"/>
          </w:tcPr>
          <w:p>
            <w:r>
              <w:rPr>
                <w:rFonts w:ascii="Arial" w:hAnsi="Arial"/>
                <w:b w:val="0"/>
                <w:i w:val="0"/>
                <w:color w:val="000000"/>
                <w:sz w:val="20"/>
              </w:rPr>
              <w:t>1.7</w:t>
            </w:r>
          </w:p>
        </w:tc>
        <w:tc>
          <w:tcPr>
            <w:tcW w:type="dxa" w:w="756"/>
          </w:tcPr>
          <w:p>
            <w:r>
              <w:rPr>
                <w:rFonts w:ascii="Arial" w:hAnsi="Arial"/>
                <w:b w:val="0"/>
                <w:i w:val="0"/>
                <w:color w:val="000000"/>
                <w:sz w:val="20"/>
              </w:rPr>
              <w:t>2.9</w:t>
            </w:r>
          </w:p>
        </w:tc>
        <w:tc>
          <w:tcPr>
            <w:tcW w:type="dxa" w:w="756"/>
          </w:tcPr>
          <w:p>
            <w:r>
              <w:rPr>
                <w:rFonts w:ascii="Arial" w:hAnsi="Arial"/>
                <w:b w:val="0"/>
                <w:i w:val="0"/>
                <w:color w:val="000000"/>
                <w:sz w:val="20"/>
              </w:rPr>
              <w:t>1.8</w:t>
            </w:r>
          </w:p>
        </w:tc>
        <w:tc>
          <w:tcPr>
            <w:tcW w:type="dxa" w:w="756"/>
          </w:tcPr>
          <w:p>
            <w:r>
              <w:rPr>
                <w:rFonts w:ascii="Arial" w:hAnsi="Arial"/>
                <w:b w:val="0"/>
                <w:i w:val="0"/>
                <w:color w:val="000000"/>
                <w:sz w:val="20"/>
              </w:rPr>
              <w:t>1.3</w:t>
            </w:r>
          </w:p>
        </w:tc>
        <w:tc>
          <w:tcPr>
            <w:tcW w:type="dxa" w:w="756"/>
          </w:tcPr>
          <w:p>
            <w:r>
              <w:rPr>
                <w:rFonts w:ascii="Arial" w:hAnsi="Arial"/>
                <w:b w:val="0"/>
                <w:i w:val="0"/>
                <w:color w:val="000000"/>
                <w:sz w:val="20"/>
              </w:rPr>
              <w:t>1.7</w:t>
            </w:r>
          </w:p>
        </w:tc>
        <w:tc>
          <w:tcPr>
            <w:tcW w:type="dxa" w:w="756"/>
          </w:tcPr>
          <w:p>
            <w:r>
              <w:rPr>
                <w:rFonts w:ascii="Arial" w:hAnsi="Arial"/>
                <w:b w:val="0"/>
                <w:i w:val="0"/>
                <w:color w:val="000000"/>
                <w:sz w:val="20"/>
              </w:rPr>
              <w:t>1.7</w:t>
            </w:r>
          </w:p>
        </w:tc>
        <w:tc>
          <w:tcPr>
            <w:tcW w:type="dxa" w:w="756"/>
          </w:tcPr>
          <w:p>
            <w:r>
              <w:rPr>
                <w:rFonts w:ascii="Arial" w:hAnsi="Arial"/>
                <w:b w:val="0"/>
                <w:i w:val="0"/>
                <w:color w:val="000000"/>
                <w:sz w:val="20"/>
              </w:rPr>
              <w:t>1.5</w:t>
            </w:r>
          </w:p>
        </w:tc>
        <w:tc>
          <w:tcPr>
            <w:tcW w:type="dxa" w:w="756"/>
          </w:tcPr>
          <w:p>
            <w:r>
              <w:rPr>
                <w:rFonts w:ascii="Arial" w:hAnsi="Arial"/>
                <w:b w:val="0"/>
                <w:i w:val="0"/>
                <w:color w:val="000000"/>
                <w:sz w:val="20"/>
              </w:rPr>
              <w:t>24.9</w:t>
            </w:r>
          </w:p>
        </w:tc>
      </w:tr>
      <w:tr>
        <w:tc>
          <w:tcPr>
            <w:tcW w:type="dxa" w:w="756"/>
          </w:tcPr>
          <w:p>
            <w:r>
              <w:rPr>
                <w:rFonts w:ascii="Arial" w:hAnsi="Arial"/>
                <w:b w:val="0"/>
                <w:i w:val="0"/>
                <w:color w:val="000000"/>
                <w:sz w:val="20"/>
              </w:rPr>
              <w:t>Pesticides</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0.4</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0.1</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0.2</w:t>
            </w:r>
          </w:p>
        </w:tc>
        <w:tc>
          <w:tcPr>
            <w:tcW w:type="dxa" w:w="756"/>
          </w:tcPr>
          <w:p>
            <w:r>
              <w:rPr>
                <w:rFonts w:ascii="Arial" w:hAnsi="Arial"/>
                <w:b w:val="0"/>
                <w:i w:val="0"/>
                <w:color w:val="000000"/>
                <w:sz w:val="20"/>
              </w:rPr>
              <w:t>1.8</w:t>
            </w:r>
          </w:p>
        </w:tc>
      </w:tr>
      <w:tr>
        <w:tc>
          <w:tcPr>
            <w:tcW w:type="dxa" w:w="756"/>
          </w:tcPr>
          <w:p>
            <w:r>
              <w:rPr>
                <w:rFonts w:ascii="Arial" w:hAnsi="Arial"/>
                <w:b w:val="0"/>
                <w:i w:val="0"/>
                <w:color w:val="000000"/>
                <w:sz w:val="20"/>
              </w:rPr>
              <w:t>Nitrates—Diffuse</w:t>
            </w:r>
          </w:p>
        </w:tc>
        <w:tc>
          <w:tcPr>
            <w:tcW w:type="dxa" w:w="756"/>
          </w:tcPr>
          <w:p>
            <w:r>
              <w:rPr>
                <w:rFonts w:ascii="Arial" w:hAnsi="Arial"/>
                <w:b w:val="0"/>
                <w:i w:val="0"/>
                <w:color w:val="000000"/>
                <w:sz w:val="20"/>
              </w:rPr>
              <w:t>1.0</w:t>
            </w:r>
          </w:p>
        </w:tc>
        <w:tc>
          <w:tcPr>
            <w:tcW w:type="dxa" w:w="756"/>
          </w:tcPr>
          <w:p>
            <w:r>
              <w:rPr>
                <w:rFonts w:ascii="Arial" w:hAnsi="Arial"/>
                <w:b w:val="0"/>
                <w:i w:val="0"/>
                <w:color w:val="000000"/>
                <w:sz w:val="20"/>
              </w:rPr>
              <w:t>2.5</w:t>
            </w:r>
          </w:p>
        </w:tc>
        <w:tc>
          <w:tcPr>
            <w:tcW w:type="dxa" w:w="756"/>
          </w:tcPr>
          <w:p>
            <w:r>
              <w:rPr>
                <w:rFonts w:ascii="Arial" w:hAnsi="Arial"/>
                <w:b w:val="0"/>
                <w:i w:val="0"/>
                <w:color w:val="000000"/>
                <w:sz w:val="20"/>
              </w:rPr>
              <w:t>1.2</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0.7</w:t>
            </w:r>
          </w:p>
        </w:tc>
        <w:tc>
          <w:tcPr>
            <w:tcW w:type="dxa" w:w="756"/>
          </w:tcPr>
          <w:p>
            <w:r>
              <w:rPr>
                <w:rFonts w:ascii="Arial" w:hAnsi="Arial"/>
                <w:b w:val="0"/>
                <w:i w:val="0"/>
                <w:color w:val="000000"/>
                <w:sz w:val="20"/>
              </w:rPr>
              <w:t>0.6</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0.9</w:t>
            </w:r>
          </w:p>
        </w:tc>
        <w:tc>
          <w:tcPr>
            <w:tcW w:type="dxa" w:w="756"/>
          </w:tcPr>
          <w:p>
            <w:r>
              <w:rPr>
                <w:rFonts w:ascii="Arial" w:hAnsi="Arial"/>
                <w:b w:val="0"/>
                <w:i w:val="0"/>
                <w:color w:val="000000"/>
                <w:sz w:val="20"/>
              </w:rPr>
              <w:t>0.7</w:t>
            </w:r>
          </w:p>
        </w:tc>
        <w:tc>
          <w:tcPr>
            <w:tcW w:type="dxa" w:w="756"/>
          </w:tcPr>
          <w:p>
            <w:r>
              <w:rPr>
                <w:rFonts w:ascii="Arial" w:hAnsi="Arial"/>
                <w:b w:val="0"/>
                <w:i w:val="0"/>
                <w:color w:val="000000"/>
                <w:sz w:val="20"/>
              </w:rPr>
              <w:t>10.3</w:t>
            </w:r>
          </w:p>
        </w:tc>
      </w:tr>
      <w:tr>
        <w:tc>
          <w:tcPr>
            <w:tcW w:type="dxa" w:w="756"/>
            <w:shd w:val="clear" w:color="auto" w:fill="F3F3F3"/>
          </w:tcPr>
          <w:p>
            <w:r>
              <w:rPr>
                <w:rFonts w:ascii="Arial" w:hAnsi="Arial"/>
                <w:b/>
                <w:i w:val="0"/>
                <w:color w:val="000000"/>
                <w:sz w:val="20"/>
              </w:rPr>
              <w:t>Total</w:t>
            </w:r>
          </w:p>
        </w:tc>
        <w:tc>
          <w:tcPr>
            <w:tcW w:type="dxa" w:w="756"/>
            <w:shd w:val="clear" w:color="auto" w:fill="F3F3F3"/>
          </w:tcPr>
          <w:p>
            <w:r>
              <w:rPr>
                <w:rFonts w:ascii="Arial" w:hAnsi="Arial"/>
                <w:b/>
                <w:i w:val="0"/>
                <w:color w:val="000000"/>
                <w:sz w:val="20"/>
              </w:rPr>
              <w:t>7.6</w:t>
            </w:r>
          </w:p>
        </w:tc>
        <w:tc>
          <w:tcPr>
            <w:tcW w:type="dxa" w:w="756"/>
            <w:shd w:val="clear" w:color="auto" w:fill="F3F3F3"/>
          </w:tcPr>
          <w:p>
            <w:r>
              <w:rPr>
                <w:rFonts w:ascii="Arial" w:hAnsi="Arial"/>
                <w:b/>
                <w:i w:val="0"/>
                <w:color w:val="000000"/>
                <w:sz w:val="20"/>
              </w:rPr>
              <w:t>10.4</w:t>
            </w:r>
          </w:p>
        </w:tc>
        <w:tc>
          <w:tcPr>
            <w:tcW w:type="dxa" w:w="756"/>
            <w:shd w:val="clear" w:color="auto" w:fill="F3F3F3"/>
          </w:tcPr>
          <w:p>
            <w:r>
              <w:rPr>
                <w:rFonts w:ascii="Arial" w:hAnsi="Arial"/>
                <w:b/>
                <w:i w:val="0"/>
                <w:color w:val="000000"/>
                <w:sz w:val="20"/>
              </w:rPr>
              <w:t>3.9</w:t>
            </w:r>
          </w:p>
        </w:tc>
        <w:tc>
          <w:tcPr>
            <w:tcW w:type="dxa" w:w="756"/>
            <w:shd w:val="clear" w:color="auto" w:fill="F3F3F3"/>
          </w:tcPr>
          <w:p>
            <w:r>
              <w:rPr>
                <w:rFonts w:ascii="Arial" w:hAnsi="Arial"/>
                <w:b/>
                <w:i w:val="0"/>
                <w:color w:val="000000"/>
                <w:sz w:val="20"/>
              </w:rPr>
              <w:t>2.9</w:t>
            </w:r>
          </w:p>
        </w:tc>
        <w:tc>
          <w:tcPr>
            <w:tcW w:type="dxa" w:w="756"/>
            <w:shd w:val="clear" w:color="auto" w:fill="F3F3F3"/>
          </w:tcPr>
          <w:p>
            <w:r>
              <w:rPr>
                <w:rFonts w:ascii="Arial" w:hAnsi="Arial"/>
                <w:b/>
                <w:i w:val="0"/>
                <w:color w:val="000000"/>
                <w:sz w:val="20"/>
              </w:rPr>
              <w:t>4.5</w:t>
            </w:r>
          </w:p>
        </w:tc>
        <w:tc>
          <w:tcPr>
            <w:tcW w:type="dxa" w:w="756"/>
            <w:shd w:val="clear" w:color="auto" w:fill="F3F3F3"/>
          </w:tcPr>
          <w:p>
            <w:r>
              <w:rPr>
                <w:rFonts w:ascii="Arial" w:hAnsi="Arial"/>
                <w:b/>
                <w:i w:val="0"/>
                <w:color w:val="000000"/>
                <w:sz w:val="20"/>
              </w:rPr>
              <w:t>2.9</w:t>
            </w:r>
          </w:p>
        </w:tc>
        <w:tc>
          <w:tcPr>
            <w:tcW w:type="dxa" w:w="756"/>
            <w:shd w:val="clear" w:color="auto" w:fill="F3F3F3"/>
          </w:tcPr>
          <w:p>
            <w:r>
              <w:rPr>
                <w:rFonts w:ascii="Arial" w:hAnsi="Arial"/>
                <w:b/>
                <w:i w:val="0"/>
                <w:color w:val="000000"/>
                <w:sz w:val="20"/>
              </w:rPr>
              <w:t>2.2</w:t>
            </w:r>
          </w:p>
        </w:tc>
        <w:tc>
          <w:tcPr>
            <w:tcW w:type="dxa" w:w="756"/>
            <w:shd w:val="clear" w:color="auto" w:fill="F3F3F3"/>
          </w:tcPr>
          <w:p>
            <w:r>
              <w:rPr>
                <w:rFonts w:ascii="Arial" w:hAnsi="Arial"/>
                <w:b/>
                <w:i w:val="0"/>
                <w:color w:val="000000"/>
                <w:sz w:val="20"/>
              </w:rPr>
              <w:t>3.2</w:t>
            </w:r>
          </w:p>
        </w:tc>
        <w:tc>
          <w:tcPr>
            <w:tcW w:type="dxa" w:w="756"/>
            <w:shd w:val="clear" w:color="auto" w:fill="F3F3F3"/>
          </w:tcPr>
          <w:p>
            <w:r>
              <w:rPr>
                <w:rFonts w:ascii="Arial" w:hAnsi="Arial"/>
                <w:b/>
                <w:i w:val="0"/>
                <w:color w:val="000000"/>
                <w:sz w:val="20"/>
              </w:rPr>
              <w:t>3.2</w:t>
            </w:r>
          </w:p>
        </w:tc>
        <w:tc>
          <w:tcPr>
            <w:tcW w:type="dxa" w:w="756"/>
            <w:shd w:val="clear" w:color="auto" w:fill="F3F3F3"/>
          </w:tcPr>
          <w:p>
            <w:r>
              <w:rPr>
                <w:rFonts w:ascii="Arial" w:hAnsi="Arial"/>
                <w:b/>
                <w:i w:val="0"/>
                <w:color w:val="000000"/>
                <w:sz w:val="20"/>
              </w:rPr>
              <w:t>2.7</w:t>
            </w:r>
          </w:p>
        </w:tc>
        <w:tc>
          <w:tcPr>
            <w:tcW w:type="dxa" w:w="756"/>
            <w:shd w:val="clear" w:color="auto" w:fill="F3F3F3"/>
          </w:tcPr>
          <w:p>
            <w:r>
              <w:rPr>
                <w:rFonts w:ascii="Arial" w:hAnsi="Arial"/>
                <w:b/>
                <w:i w:val="0"/>
                <w:color w:val="000000"/>
                <w:sz w:val="20"/>
              </w:rPr>
              <w:t>37.5</w:t>
            </w:r>
          </w:p>
        </w:tc>
      </w:tr>
    </w:tbl>
    <w:p>
      <w:r>
        <w:rPr>
          <w:rFonts w:ascii="Arial" w:hAnsi="Arial"/>
          <w:b w:val="0"/>
          <w:i w:val="0"/>
          <w:color w:val="000000"/>
          <w:sz w:val="22"/>
        </w:rPr>
        <w:t>No other site locations outside those listed generated material soil emissions during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r>
        <w:rPr>
          <w:rFonts w:ascii="Arial" w:hAnsi="Arial"/>
          <w:b w:val="0"/>
          <w:i w:val="0"/>
          <w:color w:val="000000"/>
          <w:sz w:val="18"/>
        </w:rPr>
        <w:t>]</w:t>
      </w:r>
    </w:p>
    <w:p>
      <w:pPr>
        <w:pStyle w:val="Heading3"/>
      </w:pPr>
      <w:r>
        <w:rPr>
          <w:rFonts w:ascii="Arial" w:hAnsi="Arial"/>
          <w:b/>
          <w:i w:val="0"/>
          <w:color w:val="000000"/>
          <w:sz w:val="22"/>
        </w:rPr>
        <w:t>5.3.7.6  Quantify Microplastics Generated and Used — Soil Context</w:t>
      </w:r>
    </w:p>
    <w:p>
      <w:r>
        <w:rPr>
          <w:rFonts w:ascii="Arial" w:hAnsi="Arial"/>
          <w:b/>
          <w:i w:val="0"/>
          <w:color w:val="000000"/>
          <w:sz w:val="20"/>
        </w:rPr>
        <w:t>Table 5.3.7.6 — Microplastics Generated and Used (Soil-Related Operations) — FY 2025</w:t>
      </w:r>
      <w:r>
        <w:rPr>
          <w:rFonts w:ascii="Arial" w:hAnsi="Arial"/>
          <w:b w:val="0"/>
          <w:i w:val="0"/>
          <w:color w:val="000000"/>
          <w:sz w:val="18"/>
        </w:rPr>
        <w:t xml:space="preserve"> [</w:t>
      </w:r>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E2-4-AR-20-(b)</w:t>
      </w:r>
      <w:r>
        <w:rPr>
          <w:rFonts w:ascii="Arial" w:hAnsi="Arial"/>
          <w:b w:val="0"/>
          <w:i w:val="0"/>
          <w:color w:val="000000"/>
          <w:sz w:val="18"/>
        </w:rPr>
        <w:t>]</w:t>
      </w:r>
    </w:p>
    <w:tbl>
      <w:tblPr>
        <w:tblStyle w:val="TableGrid"/>
        <w:tblW w:type="auto" w:w="0"/>
        <w:tblLook w:firstColumn="1" w:firstRow="1" w:lastColumn="0" w:lastRow="0" w:noHBand="0" w:noVBand="1" w:val="04A0"/>
      </w:tblPr>
      <w:tblGrid>
        <w:gridCol w:w="4536"/>
        <w:gridCol w:w="4536"/>
      </w:tblGrid>
      <w:tr>
        <w:tc>
          <w:tcPr>
            <w:tcW w:type="dxa" w:w="4536"/>
            <w:shd w:val="clear" w:color="auto" w:fill="D9D9D9"/>
          </w:tcPr>
          <w:p>
            <w:r>
              <w:rPr>
                <w:rFonts w:ascii="Arial" w:hAnsi="Arial"/>
                <w:b/>
                <w:i w:val="0"/>
                <w:color w:val="000000"/>
                <w:sz w:val="20"/>
              </w:rPr>
              <w:t>Microplastics KPI</w:t>
            </w:r>
          </w:p>
        </w:tc>
        <w:tc>
          <w:tcPr>
            <w:tcW w:type="dxa" w:w="4536"/>
            <w:shd w:val="clear" w:color="auto" w:fill="D9D9D9"/>
          </w:tcPr>
          <w:p>
            <w:r>
              <w:rPr>
                <w:rFonts w:ascii="Arial" w:hAnsi="Arial"/>
                <w:b/>
                <w:i w:val="0"/>
                <w:color w:val="000000"/>
                <w:sz w:val="20"/>
              </w:rPr>
              <w:t>FY 2025 Data</w:t>
            </w:r>
          </w:p>
        </w:tc>
      </w:tr>
      <w:tr>
        <w:tc>
          <w:tcPr>
            <w:tcW w:type="dxa" w:w="4536"/>
          </w:tcPr>
          <w:p>
            <w:r>
              <w:rPr>
                <w:rFonts w:ascii="Arial" w:hAnsi="Arial"/>
                <w:b w:val="0"/>
                <w:i w:val="0"/>
                <w:color w:val="000000"/>
                <w:sz w:val="20"/>
              </w:rPr>
              <w:t>Microplastics Generated</w:t>
            </w:r>
          </w:p>
        </w:tc>
        <w:tc>
          <w:tcPr>
            <w:tcW w:type="dxa" w:w="4536"/>
          </w:tcPr>
          <w:p>
            <w:r>
              <w:rPr>
                <w:rFonts w:ascii="Arial" w:hAnsi="Arial"/>
                <w:b w:val="0"/>
                <w:i w:val="0"/>
                <w:color w:val="000000"/>
                <w:sz w:val="20"/>
              </w:rPr>
              <w:t>12,840 kg</w:t>
            </w:r>
          </w:p>
        </w:tc>
      </w:tr>
      <w:tr>
        <w:tc>
          <w:tcPr>
            <w:tcW w:type="dxa" w:w="4536"/>
          </w:tcPr>
          <w:p>
            <w:r>
              <w:rPr>
                <w:rFonts w:ascii="Arial" w:hAnsi="Arial"/>
                <w:b w:val="0"/>
                <w:i w:val="0"/>
                <w:color w:val="000000"/>
                <w:sz w:val="20"/>
              </w:rPr>
              <w:t>Microplastics Used</w:t>
            </w:r>
          </w:p>
        </w:tc>
        <w:tc>
          <w:tcPr>
            <w:tcW w:type="dxa" w:w="4536"/>
          </w:tcPr>
          <w:p>
            <w:r>
              <w:rPr>
                <w:rFonts w:ascii="Arial" w:hAnsi="Arial"/>
                <w:b w:val="0"/>
                <w:i w:val="0"/>
                <w:color w:val="000000"/>
                <w:sz w:val="20"/>
              </w:rPr>
              <w:t>4.7 metric tonnes</w:t>
            </w:r>
          </w:p>
        </w:tc>
      </w:tr>
    </w:tbl>
    <w:p>
      <w:pPr>
        <w:pStyle w:val="Heading3"/>
      </w:pPr>
      <w:r>
        <w:rPr>
          <w:rFonts w:ascii="Arial" w:hAnsi="Arial"/>
          <w:b/>
          <w:i w:val="0"/>
          <w:color w:val="000000"/>
          <w:sz w:val="22"/>
        </w:rPr>
        <w:t>5.3.7.7  Quantify Emissions of Pollutants to Soil in Areas with Water Stress — FY 2025</w:t>
      </w:r>
    </w:p>
    <w:p>
      <w:r>
        <w:rPr>
          <w:rFonts w:ascii="Arial" w:hAnsi="Arial"/>
          <w:b/>
          <w:i w:val="0"/>
          <w:color w:val="000000"/>
          <w:sz w:val="20"/>
        </w:rPr>
        <w:t>Table 5.3.7.7 — Emissions of Pollutants to Soil by Area with Water Stress — FY 2025</w:t>
      </w:r>
      <w:r>
        <w:rPr>
          <w:rFonts w:ascii="Arial" w:hAnsi="Arial"/>
          <w:b w:val="0"/>
          <w:i w:val="0"/>
          <w:color w:val="000000"/>
          <w:sz w:val="18"/>
        </w:rPr>
        <w:t xml:space="preserve"> [</w:t>
      </w:r>
      <w:r>
        <w:rPr>
          <w:rFonts w:ascii="Arial" w:hAnsi="Arial"/>
          <w:b w:val="0"/>
          <w:i w:val="0"/>
          <w:color w:val="00B050"/>
          <w:sz w:val="18"/>
        </w:rPr>
        <w:t>ESRS E2-4-AR-23-(c)</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Area Classification</w:t>
            </w:r>
          </w:p>
        </w:tc>
        <w:tc>
          <w:tcPr>
            <w:tcW w:type="dxa" w:w="3024"/>
            <w:shd w:val="clear" w:color="auto" w:fill="D9D9D9"/>
          </w:tcPr>
          <w:p>
            <w:r>
              <w:rPr>
                <w:rFonts w:ascii="Arial" w:hAnsi="Arial"/>
                <w:b/>
                <w:i w:val="0"/>
                <w:color w:val="000000"/>
                <w:sz w:val="20"/>
              </w:rPr>
              <w:t>Emissions to Soil — Absolute (metric tonnes)</w:t>
            </w:r>
          </w:p>
        </w:tc>
        <w:tc>
          <w:tcPr>
            <w:tcW w:type="dxa" w:w="3024"/>
            <w:shd w:val="clear" w:color="auto" w:fill="D9D9D9"/>
          </w:tcPr>
          <w:p>
            <w:r>
              <w:rPr>
                <w:rFonts w:ascii="Arial" w:hAnsi="Arial"/>
                <w:b/>
                <w:i w:val="0"/>
                <w:color w:val="000000"/>
                <w:sz w:val="20"/>
              </w:rPr>
              <w:t>% of Total Emissions</w:t>
            </w:r>
          </w:p>
        </w:tc>
      </w:tr>
      <w:tr>
        <w:tc>
          <w:tcPr>
            <w:tcW w:type="dxa" w:w="3024"/>
          </w:tcPr>
          <w:p>
            <w:r>
              <w:rPr>
                <w:rFonts w:ascii="Arial" w:hAnsi="Arial"/>
                <w:b w:val="0"/>
                <w:i w:val="0"/>
                <w:color w:val="000000"/>
                <w:sz w:val="20"/>
              </w:rPr>
              <w:t>Areas at Water Risk</w:t>
            </w:r>
          </w:p>
        </w:tc>
        <w:tc>
          <w:tcPr>
            <w:tcW w:type="dxa" w:w="3024"/>
          </w:tcPr>
          <w:p>
            <w:r>
              <w:rPr>
                <w:rFonts w:ascii="Arial" w:hAnsi="Arial"/>
                <w:b w:val="0"/>
                <w:i w:val="0"/>
                <w:color w:val="000000"/>
                <w:sz w:val="20"/>
              </w:rPr>
              <w:t>4.2</w:t>
            </w:r>
          </w:p>
        </w:tc>
        <w:tc>
          <w:tcPr>
            <w:tcW w:type="dxa" w:w="3024"/>
          </w:tcPr>
          <w:p>
            <w:r>
              <w:rPr>
                <w:rFonts w:ascii="Arial" w:hAnsi="Arial"/>
                <w:b w:val="0"/>
                <w:i w:val="0"/>
                <w:color w:val="000000"/>
                <w:sz w:val="20"/>
              </w:rPr>
              <w:t>9.5%</w:t>
            </w:r>
          </w:p>
        </w:tc>
      </w:tr>
      <w:tr>
        <w:tc>
          <w:tcPr>
            <w:tcW w:type="dxa" w:w="3024"/>
          </w:tcPr>
          <w:p>
            <w:r>
              <w:rPr>
                <w:rFonts w:ascii="Arial" w:hAnsi="Arial"/>
                <w:b w:val="0"/>
                <w:i w:val="0"/>
                <w:color w:val="000000"/>
                <w:sz w:val="20"/>
              </w:rPr>
              <w:t>Areas of High Water Stress</w:t>
            </w:r>
          </w:p>
        </w:tc>
        <w:tc>
          <w:tcPr>
            <w:tcW w:type="dxa" w:w="3024"/>
          </w:tcPr>
          <w:p>
            <w:r>
              <w:rPr>
                <w:rFonts w:ascii="Arial" w:hAnsi="Arial"/>
                <w:b w:val="0"/>
                <w:i w:val="0"/>
                <w:color w:val="000000"/>
                <w:sz w:val="20"/>
              </w:rPr>
              <w:t>9.7</w:t>
            </w:r>
          </w:p>
        </w:tc>
        <w:tc>
          <w:tcPr>
            <w:tcW w:type="dxa" w:w="3024"/>
          </w:tcPr>
          <w:p>
            <w:r>
              <w:rPr>
                <w:rFonts w:ascii="Arial" w:hAnsi="Arial"/>
                <w:b w:val="0"/>
                <w:i w:val="0"/>
                <w:color w:val="000000"/>
                <w:sz w:val="20"/>
              </w:rPr>
              <w:t>21.9%</w:t>
            </w:r>
          </w:p>
        </w:tc>
      </w:tr>
      <w:tr>
        <w:tc>
          <w:tcPr>
            <w:tcW w:type="dxa" w:w="3024"/>
            <w:shd w:val="clear" w:color="auto" w:fill="F3F3F3"/>
          </w:tcPr>
          <w:p>
            <w:r>
              <w:rPr>
                <w:rFonts w:ascii="Arial" w:hAnsi="Arial"/>
                <w:b/>
                <w:i w:val="0"/>
                <w:color w:val="000000"/>
                <w:sz w:val="20"/>
              </w:rPr>
              <w:t>Total Emissions to Soil</w:t>
            </w:r>
          </w:p>
        </w:tc>
        <w:tc>
          <w:tcPr>
            <w:tcW w:type="dxa" w:w="3024"/>
            <w:shd w:val="clear" w:color="auto" w:fill="F3F3F3"/>
          </w:tcPr>
          <w:p>
            <w:r>
              <w:rPr>
                <w:rFonts w:ascii="Arial" w:hAnsi="Arial"/>
                <w:b/>
                <w:i w:val="0"/>
                <w:color w:val="000000"/>
                <w:sz w:val="20"/>
              </w:rPr>
              <w:t>42.2</w:t>
            </w:r>
          </w:p>
        </w:tc>
        <w:tc>
          <w:tcPr>
            <w:tcW w:type="dxa" w:w="3024"/>
            <w:shd w:val="clear" w:color="auto" w:fill="F3F3F3"/>
          </w:tcPr>
          <w:p>
            <w:r>
              <w:rPr>
                <w:rFonts w:ascii="Arial" w:hAnsi="Arial"/>
                <w:b/>
                <w:i w:val="0"/>
                <w:color w:val="000000"/>
                <w:sz w:val="20"/>
              </w:rPr>
              <w:t>100.0%</w:t>
            </w:r>
          </w:p>
        </w:tc>
      </w:tr>
    </w:tbl>
    <w:p>
      <w:pPr>
        <w:pStyle w:val="Heading3"/>
      </w:pPr>
      <w:r>
        <w:rPr>
          <w:rFonts w:ascii="Arial" w:hAnsi="Arial"/>
          <w:b/>
          <w:i w:val="0"/>
          <w:color w:val="000000"/>
          <w:sz w:val="22"/>
        </w:rPr>
        <w:t>5.3.7.8  Explain Description of Changes Over Time — Pollution of Soil</w:t>
      </w:r>
    </w:p>
    <w:p>
      <w:r>
        <w:rPr>
          <w:rFonts w:ascii="Arial" w:hAnsi="Arial"/>
          <w:b w:val="0"/>
          <w:i w:val="0"/>
          <w:color w:val="000000"/>
          <w:sz w:val="22"/>
        </w:rPr>
        <w:t>Total soil emissions declined by 5.4% year-on-year to 42.2 metric tonnes in FY 2025. Heavy metal loadings to soil declined by 5.8% and hydrocarbon (TPH) loadings declined by 4.8%, reflecting improved secondary containment measures and spill prevention controls implemented across Sites 2 and 8. Nitrate diffuse loadings remained broadly stable. No new uncontrolled releases to soil were recorded during FY 2025. Ongoing remediation at three legacy contaminated sites progressed in line with approved site remediation plans.</w:t>
      </w:r>
      <w:r>
        <w:rPr>
          <w:rFonts w:ascii="Arial" w:hAnsi="Arial"/>
          <w:b w:val="0"/>
          <w:i w:val="0"/>
          <w:color w:val="000000"/>
          <w:sz w:val="18"/>
        </w:rPr>
        <w:t xml:space="preserve"> [</w:t>
      </w:r>
      <w:r>
        <w:rPr>
          <w:rFonts w:ascii="Arial" w:hAnsi="Arial"/>
          <w:b w:val="0"/>
          <w:i w:val="0"/>
          <w:color w:val="00B050"/>
          <w:sz w:val="18"/>
        </w:rPr>
        <w:t>ESRS E2-4-30-(a)</w:t>
      </w:r>
      <w:r>
        <w:rPr>
          <w:rFonts w:ascii="Arial" w:hAnsi="Arial"/>
          <w:b w:val="0"/>
          <w:i w:val="0"/>
          <w:color w:val="000000"/>
          <w:sz w:val="18"/>
        </w:rPr>
        <w:t>]</w:t>
      </w:r>
    </w:p>
    <w:p>
      <w:pPr>
        <w:pStyle w:val="Heading3"/>
      </w:pPr>
      <w:r>
        <w:rPr>
          <w:rFonts w:ascii="Arial" w:hAnsi="Arial"/>
          <w:b/>
          <w:i w:val="0"/>
          <w:color w:val="000000"/>
          <w:sz w:val="22"/>
        </w:rPr>
        <w:t>5.3.7.9  Explain Description of Measurement Methodologies — Pollution of Soil</w:t>
      </w:r>
    </w:p>
    <w:p>
      <w:r>
        <w:rPr>
          <w:rFonts w:ascii="Arial" w:hAnsi="Arial"/>
          <w:b w:val="0"/>
          <w:i w:val="0"/>
          <w:color w:val="000000"/>
          <w:sz w:val="22"/>
        </w:rPr>
        <w:t>Soil pollution quantification applies a combination of direct measurement (site investigation sampling and analysis for legacy contamination assessment), emission factor calculations (for diffuse agricultural nitrate loading estimates), mass balance methodologies (for secondary containment and spill quantification), and incident-based quantification where applicable. Site investigation sampling follows accredited protocols aligned with ISO 18400 series standards. Measurement approaches are reviewed annually in conjunction with site environmental management plan updates.</w:t>
      </w:r>
      <w:r>
        <w:rPr>
          <w:rFonts w:ascii="Arial" w:hAnsi="Arial"/>
          <w:b w:val="0"/>
          <w:i w:val="0"/>
          <w:color w:val="000000"/>
          <w:sz w:val="18"/>
        </w:rPr>
        <w:t xml:space="preserve"> [</w:t>
      </w:r>
      <w:r>
        <w:rPr>
          <w:rFonts w:ascii="Arial" w:hAnsi="Arial"/>
          <w:b w:val="0"/>
          <w:i w:val="0"/>
          <w:color w:val="00B050"/>
          <w:sz w:val="18"/>
        </w:rPr>
        <w:t>ESRS E2-4-30-(b)</w:t>
      </w:r>
      <w:r>
        <w:rPr>
          <w:rFonts w:ascii="Arial" w:hAnsi="Arial"/>
          <w:b w:val="0"/>
          <w:i w:val="0"/>
          <w:color w:val="000000"/>
          <w:sz w:val="18"/>
        </w:rPr>
        <w:t>]</w:t>
      </w:r>
    </w:p>
    <w:p>
      <w:pPr>
        <w:pStyle w:val="Heading3"/>
      </w:pPr>
      <w:r>
        <w:rPr>
          <w:rFonts w:ascii="Arial" w:hAnsi="Arial"/>
          <w:b/>
          <w:i w:val="0"/>
          <w:color w:val="000000"/>
          <w:sz w:val="22"/>
        </w:rPr>
        <w:t>5.3.7.10  Explain Description of Data Collection Processes for Soil Pollution Accounting and Reporting</w:t>
      </w:r>
    </w:p>
    <w:p>
      <w:r>
        <w:rPr>
          <w:rFonts w:ascii="Arial" w:hAnsi="Arial"/>
          <w:b w:val="0"/>
          <w:i w:val="0"/>
          <w:color w:val="000000"/>
          <w:sz w:val="22"/>
        </w:rPr>
        <w:t>Soil pollution data is collected via the Company's EMIS, integrating site investigation reports, incident records, process data inputs, and regulatory submission data. Data quality controls include peer review of site investigation data by Senior Environmental Managers, cross-validation against regulatory permit data, and annual third-party data assurance. Where data gaps arise, conservative estimation is applied in accordance with documented protocols, and such estimates are clearly flagged in the EMIS audit trail.</w:t>
      </w:r>
      <w:r>
        <w:rPr>
          <w:rFonts w:ascii="Arial" w:hAnsi="Arial"/>
          <w:b w:val="0"/>
          <w:i w:val="0"/>
          <w:color w:val="000000"/>
          <w:sz w:val="18"/>
        </w:rPr>
        <w:t xml:space="preserve"> [</w:t>
      </w:r>
      <w:r>
        <w:rPr>
          <w:rFonts w:ascii="Arial" w:hAnsi="Arial"/>
          <w:b w:val="0"/>
          <w:i w:val="0"/>
          <w:color w:val="00B050"/>
          <w:sz w:val="18"/>
        </w:rPr>
        <w:t>ESRS E2-4-30-(c)</w:t>
      </w:r>
      <w:r>
        <w:rPr>
          <w:rFonts w:ascii="Arial" w:hAnsi="Arial"/>
          <w:b w:val="0"/>
          <w:i w:val="0"/>
          <w:color w:val="000000"/>
          <w:sz w:val="18"/>
        </w:rPr>
        <w:t>]</w:t>
      </w:r>
    </w:p>
    <w:p>
      <w:pPr>
        <w:pStyle w:val="Heading3"/>
      </w:pPr>
      <w:r>
        <w:rPr>
          <w:rFonts w:ascii="Arial" w:hAnsi="Arial"/>
          <w:b/>
          <w:i w:val="0"/>
          <w:color w:val="000000"/>
          <w:sz w:val="22"/>
        </w:rPr>
        <w:t>5.3.7.11  Disclose Inferior Methodology for Quantifying Soil Emissions — Applicability and Disclosure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Inferior methodology compared to direct measurement chosen to quantify soil emissions</w:t>
            </w:r>
          </w:p>
        </w:tc>
        <w:tc>
          <w:tcPr>
            <w:tcW w:type="dxa" w:w="3024"/>
          </w:tcPr>
          <w:p>
            <w:r>
              <w:rPr>
                <w:rFonts w:ascii="Arial" w:hAnsi="Arial"/>
                <w:b w:val="0"/>
                <w:i w:val="0"/>
                <w:color w:val="00B050"/>
                <w:sz w:val="18"/>
              </w:rPr>
              <w:t>ESRS E2-4-31-(c)</w:t>
            </w:r>
          </w:p>
        </w:tc>
        <w:tc>
          <w:tcPr>
            <w:tcW w:type="dxa" w:w="3024"/>
          </w:tcPr>
          <w:p>
            <w:r>
              <w:rPr>
                <w:rFonts w:ascii="Arial" w:hAnsi="Arial"/>
                <w:b w:val="0"/>
                <w:i w:val="0"/>
                <w:color w:val="000000"/>
                <w:sz w:val="20"/>
              </w:rPr>
              <w:t>Partial. Emission factor calculations are applied for diffuse nitrate loading estimates only; all other soil emission categories are measured directly.</w:t>
            </w:r>
          </w:p>
        </w:tc>
      </w:tr>
    </w:tbl>
    <w:p>
      <w:r>
        <w:rPr>
          <w:rFonts w:ascii="Arial" w:hAnsi="Arial"/>
          <w:b w:val="0"/>
          <w:i w:val="0"/>
          <w:color w:val="000000"/>
          <w:sz w:val="22"/>
        </w:rPr>
        <w:t>No inferior methodology compared to direct measurement was chosen to quantify soil emissions during FY 2025, with the exception of diffuse nitrate loading estimates where emission factor calculations are applied in the absence of direct measurement feasibility for diffuse agricultural sources. This approach is consistent with accepted scientific and regulatory practice for diffuse pollution quantification.</w:t>
      </w:r>
      <w:r>
        <w:rPr>
          <w:rFonts w:ascii="Arial" w:hAnsi="Arial"/>
          <w:b w:val="0"/>
          <w:i w:val="0"/>
          <w:color w:val="000000"/>
          <w:sz w:val="18"/>
        </w:rPr>
        <w:t xml:space="preserve"> [</w:t>
      </w:r>
      <w:r>
        <w:rPr>
          <w:rFonts w:ascii="Arial" w:hAnsi="Arial"/>
          <w:b w:val="0"/>
          <w:i w:val="0"/>
          <w:color w:val="00B050"/>
          <w:sz w:val="18"/>
        </w:rPr>
        <w:t>ESRS E2-4-31-(c)</w:t>
      </w:r>
      <w:r>
        <w:rPr>
          <w:rFonts w:ascii="Arial" w:hAnsi="Arial"/>
          <w:b w:val="0"/>
          <w:i w:val="0"/>
          <w:color w:val="000000"/>
          <w:sz w:val="18"/>
        </w:rPr>
        <w:t>]</w:t>
      </w:r>
    </w:p>
    <w:p>
      <w:pPr>
        <w:pStyle w:val="Heading2"/>
      </w:pPr>
      <w:r>
        <w:rPr>
          <w:rFonts w:ascii="Arial" w:hAnsi="Arial"/>
          <w:b/>
          <w:i w:val="0"/>
          <w:color w:val="000000"/>
          <w:sz w:val="26"/>
        </w:rPr>
        <w:t>5.3.8  Integrated Pollution Control &amp; BAT Performance Tracking</w:t>
      </w:r>
    </w:p>
    <w:p>
      <w:r>
        <w:rPr>
          <w:rFonts w:ascii="Arial" w:hAnsi="Arial"/>
          <w:b w:val="0"/>
          <w:i w:val="0"/>
          <w:color w:val="00B050"/>
          <w:sz w:val="18"/>
        </w:rPr>
        <w:t>ESRS E2-4</w:t>
      </w:r>
      <w:r>
        <w:rPr>
          <w:rFonts w:ascii="Arial" w:hAnsi="Arial"/>
          <w:b w:val="0"/>
          <w:i w:val="0"/>
          <w:color w:val="000000"/>
          <w:sz w:val="18"/>
        </w:rPr>
        <w:t xml:space="preserve"> | </w:t>
      </w:r>
      <w:r>
        <w:rPr>
          <w:rFonts w:ascii="Arial" w:hAnsi="Arial"/>
          <w:b w:val="0"/>
          <w:i w:val="0"/>
          <w:color w:val="00B050"/>
          <w:sz w:val="18"/>
        </w:rPr>
        <w:t>ESRS E2-4-AR-25</w:t>
      </w:r>
      <w:r>
        <w:rPr>
          <w:rFonts w:ascii="Arial" w:hAnsi="Arial"/>
          <w:b w:val="0"/>
          <w:i w:val="0"/>
          <w:color w:val="000000"/>
          <w:sz w:val="18"/>
        </w:rPr>
        <w:t xml:space="preserve"> | </w:t>
      </w:r>
      <w:r>
        <w:rPr>
          <w:rFonts w:ascii="Arial" w:hAnsi="Arial"/>
          <w:b w:val="0"/>
          <w:i w:val="0"/>
          <w:color w:val="00B050"/>
          <w:sz w:val="18"/>
        </w:rPr>
        <w:t>ESRS E2-4-AR-25-(a)</w:t>
      </w:r>
      <w:r>
        <w:rPr>
          <w:rFonts w:ascii="Arial" w:hAnsi="Arial"/>
          <w:b w:val="0"/>
          <w:i w:val="0"/>
          <w:color w:val="000000"/>
          <w:sz w:val="18"/>
        </w:rPr>
        <w:t xml:space="preserve"> | </w:t>
      </w:r>
      <w:r>
        <w:rPr>
          <w:rFonts w:ascii="Arial" w:hAnsi="Arial"/>
          <w:b w:val="0"/>
          <w:i w:val="0"/>
          <w:color w:val="00B050"/>
          <w:sz w:val="18"/>
        </w:rPr>
        <w:t>ESRS E2-4-AR-25-(b)</w:t>
      </w:r>
      <w:r>
        <w:rPr>
          <w:rFonts w:ascii="Arial" w:hAnsi="Arial"/>
          <w:b w:val="0"/>
          <w:i w:val="0"/>
          <w:color w:val="000000"/>
          <w:sz w:val="18"/>
        </w:rPr>
        <w:t xml:space="preserve"> | </w:t>
      </w:r>
      <w:r>
        <w:rPr>
          <w:rFonts w:ascii="Arial" w:hAnsi="Arial"/>
          <w:b w:val="0"/>
          <w:i w:val="0"/>
          <w:color w:val="00B050"/>
          <w:sz w:val="18"/>
        </w:rPr>
        <w:t>ESRS E2-4-AR-25-(c)</w:t>
      </w:r>
      <w:r>
        <w:rPr>
          <w:rFonts w:ascii="Arial" w:hAnsi="Arial"/>
          <w:b w:val="0"/>
          <w:i w:val="0"/>
          <w:color w:val="000000"/>
          <w:sz w:val="18"/>
        </w:rPr>
        <w:t xml:space="preserve"> | </w:t>
      </w:r>
      <w:r>
        <w:rPr>
          <w:rFonts w:ascii="Arial" w:hAnsi="Arial"/>
          <w:b w:val="0"/>
          <w:i w:val="0"/>
          <w:color w:val="00B050"/>
          <w:sz w:val="18"/>
        </w:rPr>
        <w:t>ESRS E2-4-AR-25-(d)</w:t>
      </w:r>
      <w:r>
        <w:rPr>
          <w:rFonts w:ascii="Arial" w:hAnsi="Arial"/>
          <w:b w:val="0"/>
          <w:i w:val="0"/>
          <w:color w:val="000000"/>
          <w:sz w:val="18"/>
        </w:rPr>
        <w:t xml:space="preserve"> | </w:t>
      </w:r>
      <w:r>
        <w:rPr>
          <w:rFonts w:ascii="Arial" w:hAnsi="Arial"/>
          <w:b w:val="0"/>
          <w:i w:val="0"/>
          <w:color w:val="00B050"/>
          <w:sz w:val="18"/>
        </w:rPr>
        <w:t>ESRS E2-4-AR-25-(e)</w:t>
      </w:r>
    </w:p>
    <w:p>
      <w:pPr>
        <w:pStyle w:val="Heading3"/>
      </w:pPr>
      <w:r>
        <w:rPr>
          <w:rFonts w:ascii="Arial" w:hAnsi="Arial"/>
          <w:b/>
          <w:i w:val="0"/>
          <w:color w:val="000000"/>
          <w:sz w:val="22"/>
        </w:rPr>
        <w:t>5.3.8.1  Disclose Applicability of Directive 2010/75/EU (IED) and Relevant BREFs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Indicator</w:t>
            </w:r>
          </w:p>
        </w:tc>
        <w:tc>
          <w:tcPr>
            <w:tcW w:type="dxa" w:w="3024"/>
            <w:shd w:val="clear" w:color="auto" w:fill="D9D9D9"/>
          </w:tcPr>
          <w:p>
            <w:r>
              <w:rPr>
                <w:rFonts w:ascii="Arial" w:hAnsi="Arial"/>
                <w:b/>
                <w:i w:val="0"/>
                <w:color w:val="000000"/>
                <w:sz w:val="20"/>
              </w:rPr>
              <w:t>Framework Reference</w:t>
            </w:r>
          </w:p>
        </w:tc>
        <w:tc>
          <w:tcPr>
            <w:tcW w:type="dxa" w:w="3024"/>
            <w:shd w:val="clear" w:color="auto" w:fill="D9D9D9"/>
          </w:tcPr>
          <w:p>
            <w:r>
              <w:rPr>
                <w:rFonts w:ascii="Arial" w:hAnsi="Arial"/>
                <w:b/>
                <w:i w:val="0"/>
                <w:color w:val="000000"/>
                <w:sz w:val="20"/>
              </w:rPr>
              <w:t>Status (FY 2025)</w:t>
            </w:r>
          </w:p>
        </w:tc>
      </w:tr>
      <w:tr>
        <w:tc>
          <w:tcPr>
            <w:tcW w:type="dxa" w:w="3024"/>
          </w:tcPr>
          <w:p>
            <w:r>
              <w:rPr>
                <w:rFonts w:ascii="Arial" w:hAnsi="Arial"/>
                <w:b w:val="0"/>
                <w:i w:val="0"/>
                <w:color w:val="000000"/>
                <w:sz w:val="20"/>
              </w:rPr>
              <w:t>Activities subject to Directive 2010/75/EU (IED) and relevant Best Available Techniques Reference Documents (BREFs)</w:t>
            </w:r>
          </w:p>
        </w:tc>
        <w:tc>
          <w:tcPr>
            <w:tcW w:type="dxa" w:w="3024"/>
          </w:tcPr>
          <w:p>
            <w:r>
              <w:rPr>
                <w:rFonts w:ascii="Arial" w:hAnsi="Arial"/>
                <w:b w:val="0"/>
                <w:i w:val="0"/>
                <w:color w:val="00B050"/>
                <w:sz w:val="18"/>
              </w:rPr>
              <w:t>ESRS E2-4-AR-25</w:t>
            </w:r>
          </w:p>
        </w:tc>
        <w:tc>
          <w:tcPr>
            <w:tcW w:type="dxa" w:w="3024"/>
          </w:tcPr>
          <w:p>
            <w:r>
              <w:rPr>
                <w:rFonts w:ascii="Arial" w:hAnsi="Arial"/>
                <w:b w:val="0"/>
                <w:i w:val="0"/>
                <w:color w:val="000000"/>
                <w:sz w:val="20"/>
              </w:rPr>
              <w:t>Yes. Four installations fall within the scope of the IED and are subject to site-specific IED permits.</w:t>
            </w:r>
          </w:p>
        </w:tc>
      </w:tr>
    </w:tbl>
    <w:p>
      <w:r>
        <w:rPr>
          <w:rFonts w:ascii="Arial" w:hAnsi="Arial"/>
          <w:b w:val="0"/>
          <w:i w:val="0"/>
          <w:color w:val="000000"/>
          <w:sz w:val="22"/>
        </w:rPr>
        <w:t>Four installations within the Company's operating estate fall within the scope of the IED and are subject to site-specific IED permits granted by competent authorities in the respective jurisdictions. Applicable BAT Conclusions are referenced in each installation's IED permit and form the basis for emission limit values and environmental performance standards applicable to those installations.</w:t>
      </w:r>
      <w:r>
        <w:rPr>
          <w:rFonts w:ascii="Arial" w:hAnsi="Arial"/>
          <w:b w:val="0"/>
          <w:i w:val="0"/>
          <w:color w:val="000000"/>
          <w:sz w:val="18"/>
        </w:rPr>
        <w:t xml:space="preserve"> [</w:t>
      </w:r>
      <w:r>
        <w:rPr>
          <w:rFonts w:ascii="Arial" w:hAnsi="Arial"/>
          <w:b w:val="0"/>
          <w:i w:val="0"/>
          <w:color w:val="00B050"/>
          <w:sz w:val="18"/>
        </w:rPr>
        <w:t>ESRS E2-4-AR-25</w:t>
      </w:r>
      <w:r>
        <w:rPr>
          <w:rFonts w:ascii="Arial" w:hAnsi="Arial"/>
          <w:b w:val="0"/>
          <w:i w:val="0"/>
          <w:color w:val="000000"/>
          <w:sz w:val="18"/>
        </w:rPr>
        <w:t>]</w:t>
      </w:r>
    </w:p>
    <w:p>
      <w:pPr>
        <w:pStyle w:val="Heading3"/>
      </w:pPr>
      <w:r>
        <w:rPr>
          <w:rFonts w:ascii="Arial" w:hAnsi="Arial"/>
          <w:b/>
          <w:i w:val="0"/>
          <w:color w:val="000000"/>
          <w:sz w:val="22"/>
        </w:rPr>
        <w:t>5.3.8.2  Disclose List of Installations Falling Under IED and EU BAT Conclusions — FY 2025</w:t>
      </w:r>
    </w:p>
    <w:p>
      <w:r>
        <w:rPr>
          <w:rFonts w:ascii="Arial" w:hAnsi="Arial"/>
          <w:b/>
          <w:i w:val="0"/>
          <w:color w:val="000000"/>
          <w:sz w:val="20"/>
        </w:rPr>
        <w:t>Table 5.3.8.2 — IED-Regulated Installations and Applicable BAT Conclusions — FY 2025</w:t>
      </w:r>
      <w:r>
        <w:rPr>
          <w:rFonts w:ascii="Arial" w:hAnsi="Arial"/>
          <w:b w:val="0"/>
          <w:i w:val="0"/>
          <w:color w:val="000000"/>
          <w:sz w:val="18"/>
        </w:rPr>
        <w:t xml:space="preserve"> [</w:t>
      </w:r>
      <w:r>
        <w:rPr>
          <w:rFonts w:ascii="Arial" w:hAnsi="Arial"/>
          <w:b w:val="0"/>
          <w:i w:val="0"/>
          <w:color w:val="00B050"/>
          <w:sz w:val="18"/>
        </w:rPr>
        <w:t>ESRS E2-4-AR-25-(a)</w:t>
      </w:r>
      <w:r>
        <w:rPr>
          <w:rFonts w:ascii="Arial" w:hAnsi="Arial"/>
          <w:b w:val="0"/>
          <w:i w:val="0"/>
          <w:color w:val="000000"/>
          <w:sz w:val="18"/>
        </w:rPr>
        <w: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D9D9"/>
          </w:tcPr>
          <w:p>
            <w:r>
              <w:rPr>
                <w:rFonts w:ascii="Arial" w:hAnsi="Arial"/>
                <w:b/>
                <w:i w:val="0"/>
                <w:color w:val="000000"/>
                <w:sz w:val="20"/>
              </w:rPr>
              <w:t>Site / Installation</w:t>
            </w:r>
          </w:p>
        </w:tc>
        <w:tc>
          <w:tcPr>
            <w:tcW w:type="dxa" w:w="2268"/>
            <w:shd w:val="clear" w:color="auto" w:fill="D9D9D9"/>
          </w:tcPr>
          <w:p>
            <w:r>
              <w:rPr>
                <w:rFonts w:ascii="Arial" w:hAnsi="Arial"/>
                <w:b/>
                <w:i w:val="0"/>
                <w:color w:val="000000"/>
                <w:sz w:val="20"/>
              </w:rPr>
              <w:t>IED Permit Reference</w:t>
            </w:r>
          </w:p>
        </w:tc>
        <w:tc>
          <w:tcPr>
            <w:tcW w:type="dxa" w:w="2268"/>
            <w:shd w:val="clear" w:color="auto" w:fill="D9D9D9"/>
          </w:tcPr>
          <w:p>
            <w:r>
              <w:rPr>
                <w:rFonts w:ascii="Arial" w:hAnsi="Arial"/>
                <w:b/>
                <w:i w:val="0"/>
                <w:color w:val="000000"/>
                <w:sz w:val="20"/>
              </w:rPr>
              <w:t>Applicable BAT Conclusion</w:t>
            </w:r>
          </w:p>
        </w:tc>
        <w:tc>
          <w:tcPr>
            <w:tcW w:type="dxa" w:w="2268"/>
            <w:shd w:val="clear" w:color="auto" w:fill="D9D9D9"/>
          </w:tcPr>
          <w:p>
            <w:r>
              <w:rPr>
                <w:rFonts w:ascii="Arial" w:hAnsi="Arial"/>
                <w:b/>
                <w:i w:val="0"/>
                <w:color w:val="000000"/>
                <w:sz w:val="20"/>
              </w:rPr>
              <w:t>BAT Review Status</w:t>
            </w:r>
          </w:p>
        </w:tc>
      </w:tr>
      <w:tr>
        <w:tc>
          <w:tcPr>
            <w:tcW w:type="dxa" w:w="2268"/>
          </w:tcPr>
          <w:p>
            <w:r>
              <w:rPr>
                <w:rFonts w:ascii="Arial" w:hAnsi="Arial"/>
                <w:b w:val="0"/>
                <w:i w:val="0"/>
                <w:color w:val="000000"/>
                <w:sz w:val="20"/>
              </w:rPr>
              <w:t>Dubai (Site 1) — Process Facility</w:t>
            </w:r>
          </w:p>
        </w:tc>
        <w:tc>
          <w:tcPr>
            <w:tcW w:type="dxa" w:w="2268"/>
          </w:tcPr>
          <w:p>
            <w:r>
              <w:rPr>
                <w:rFonts w:ascii="Arial" w:hAnsi="Arial"/>
                <w:b w:val="0"/>
                <w:i w:val="0"/>
                <w:color w:val="000000"/>
                <w:sz w:val="20"/>
              </w:rPr>
              <w:t>UAE-IED-2019-0041</w:t>
            </w:r>
          </w:p>
        </w:tc>
        <w:tc>
          <w:tcPr>
            <w:tcW w:type="dxa" w:w="2268"/>
          </w:tcPr>
          <w:p>
            <w:r>
              <w:rPr>
                <w:rFonts w:ascii="Arial" w:hAnsi="Arial"/>
                <w:b w:val="0"/>
                <w:i w:val="0"/>
                <w:color w:val="000000"/>
                <w:sz w:val="20"/>
              </w:rPr>
              <w:t>Large Combustion Plants (2021)</w:t>
            </w:r>
          </w:p>
        </w:tc>
        <w:tc>
          <w:tcPr>
            <w:tcW w:type="dxa" w:w="2268"/>
          </w:tcPr>
          <w:p>
            <w:r>
              <w:rPr>
                <w:rFonts w:ascii="Arial" w:hAnsi="Arial"/>
                <w:b w:val="0"/>
                <w:i w:val="0"/>
                <w:color w:val="000000"/>
                <w:sz w:val="20"/>
              </w:rPr>
              <w:t>Current — Next Review FY 2027</w:t>
            </w:r>
          </w:p>
        </w:tc>
      </w:tr>
      <w:tr>
        <w:tc>
          <w:tcPr>
            <w:tcW w:type="dxa" w:w="2268"/>
          </w:tcPr>
          <w:p>
            <w:r>
              <w:rPr>
                <w:rFonts w:ascii="Arial" w:hAnsi="Arial"/>
                <w:b w:val="0"/>
                <w:i w:val="0"/>
                <w:color w:val="000000"/>
                <w:sz w:val="20"/>
              </w:rPr>
              <w:t>Mumbai (Site 2) — Chemical Handling</w:t>
            </w:r>
          </w:p>
        </w:tc>
        <w:tc>
          <w:tcPr>
            <w:tcW w:type="dxa" w:w="2268"/>
          </w:tcPr>
          <w:p>
            <w:r>
              <w:rPr>
                <w:rFonts w:ascii="Arial" w:hAnsi="Arial"/>
                <w:b w:val="0"/>
                <w:i w:val="0"/>
                <w:color w:val="000000"/>
                <w:sz w:val="20"/>
              </w:rPr>
              <w:t>IN-ENV-PERMIT-2020-112</w:t>
            </w:r>
          </w:p>
        </w:tc>
        <w:tc>
          <w:tcPr>
            <w:tcW w:type="dxa" w:w="2268"/>
          </w:tcPr>
          <w:p>
            <w:r>
              <w:rPr>
                <w:rFonts w:ascii="Arial" w:hAnsi="Arial"/>
                <w:b w:val="0"/>
                <w:i w:val="0"/>
                <w:color w:val="000000"/>
                <w:sz w:val="20"/>
              </w:rPr>
              <w:t>Industrial Cooling Systems (2022)</w:t>
            </w:r>
          </w:p>
        </w:tc>
        <w:tc>
          <w:tcPr>
            <w:tcW w:type="dxa" w:w="2268"/>
          </w:tcPr>
          <w:p>
            <w:r>
              <w:rPr>
                <w:rFonts w:ascii="Arial" w:hAnsi="Arial"/>
                <w:b w:val="0"/>
                <w:i w:val="0"/>
                <w:color w:val="000000"/>
                <w:sz w:val="20"/>
              </w:rPr>
              <w:t>Current — Next Review FY 2028</w:t>
            </w:r>
          </w:p>
        </w:tc>
      </w:tr>
      <w:tr>
        <w:tc>
          <w:tcPr>
            <w:tcW w:type="dxa" w:w="2268"/>
          </w:tcPr>
          <w:p>
            <w:r>
              <w:rPr>
                <w:rFonts w:ascii="Arial" w:hAnsi="Arial"/>
                <w:b w:val="0"/>
                <w:i w:val="0"/>
                <w:color w:val="000000"/>
                <w:sz w:val="20"/>
              </w:rPr>
              <w:t>Frankfurt (Site 3) — Logistics Hub</w:t>
            </w:r>
          </w:p>
        </w:tc>
        <w:tc>
          <w:tcPr>
            <w:tcW w:type="dxa" w:w="2268"/>
          </w:tcPr>
          <w:p>
            <w:r>
              <w:rPr>
                <w:rFonts w:ascii="Arial" w:hAnsi="Arial"/>
                <w:b w:val="0"/>
                <w:i w:val="0"/>
                <w:color w:val="000000"/>
                <w:sz w:val="20"/>
              </w:rPr>
              <w:t>DE-IED-2018-FRA-083</w:t>
            </w:r>
          </w:p>
        </w:tc>
        <w:tc>
          <w:tcPr>
            <w:tcW w:type="dxa" w:w="2268"/>
          </w:tcPr>
          <w:p>
            <w:r>
              <w:rPr>
                <w:rFonts w:ascii="Arial" w:hAnsi="Arial"/>
                <w:b w:val="0"/>
                <w:i w:val="0"/>
                <w:color w:val="000000"/>
                <w:sz w:val="20"/>
              </w:rPr>
              <w:t>Surface Treatment using Solvents (2020)</w:t>
            </w:r>
          </w:p>
        </w:tc>
        <w:tc>
          <w:tcPr>
            <w:tcW w:type="dxa" w:w="2268"/>
          </w:tcPr>
          <w:p>
            <w:r>
              <w:rPr>
                <w:rFonts w:ascii="Arial" w:hAnsi="Arial"/>
                <w:b w:val="0"/>
                <w:i w:val="0"/>
                <w:color w:val="000000"/>
                <w:sz w:val="20"/>
              </w:rPr>
              <w:t>Current — Next Review FY 2026</w:t>
            </w:r>
          </w:p>
        </w:tc>
      </w:tr>
      <w:tr>
        <w:tc>
          <w:tcPr>
            <w:tcW w:type="dxa" w:w="2268"/>
          </w:tcPr>
          <w:p>
            <w:r>
              <w:rPr>
                <w:rFonts w:ascii="Arial" w:hAnsi="Arial"/>
                <w:b w:val="0"/>
                <w:i w:val="0"/>
                <w:color w:val="000000"/>
                <w:sz w:val="20"/>
              </w:rPr>
              <w:t>Singapore (Site 4) — Refinery Support</w:t>
            </w:r>
          </w:p>
        </w:tc>
        <w:tc>
          <w:tcPr>
            <w:tcW w:type="dxa" w:w="2268"/>
          </w:tcPr>
          <w:p>
            <w:r>
              <w:rPr>
                <w:rFonts w:ascii="Arial" w:hAnsi="Arial"/>
                <w:b w:val="0"/>
                <w:i w:val="0"/>
                <w:color w:val="000000"/>
                <w:sz w:val="20"/>
              </w:rPr>
              <w:t>SG-EP-2021-047</w:t>
            </w:r>
          </w:p>
        </w:tc>
        <w:tc>
          <w:tcPr>
            <w:tcW w:type="dxa" w:w="2268"/>
          </w:tcPr>
          <w:p>
            <w:r>
              <w:rPr>
                <w:rFonts w:ascii="Arial" w:hAnsi="Arial"/>
                <w:b w:val="0"/>
                <w:i w:val="0"/>
                <w:color w:val="000000"/>
                <w:sz w:val="20"/>
              </w:rPr>
              <w:t>Waste Treatment (2018)</w:t>
            </w:r>
          </w:p>
        </w:tc>
        <w:tc>
          <w:tcPr>
            <w:tcW w:type="dxa" w:w="2268"/>
          </w:tcPr>
          <w:p>
            <w:r>
              <w:rPr>
                <w:rFonts w:ascii="Arial" w:hAnsi="Arial"/>
                <w:b w:val="0"/>
                <w:i w:val="0"/>
                <w:color w:val="000000"/>
                <w:sz w:val="20"/>
              </w:rPr>
              <w:t>Under Review — Target Completion Q3 FY 2025</w:t>
            </w:r>
          </w:p>
        </w:tc>
      </w:tr>
    </w:tbl>
    <w:p>
      <w:pPr>
        <w:pStyle w:val="Heading3"/>
      </w:pPr>
      <w:r>
        <w:rPr>
          <w:rFonts w:ascii="Arial" w:hAnsi="Arial"/>
          <w:b/>
          <w:i w:val="0"/>
          <w:color w:val="000000"/>
          <w:sz w:val="22"/>
        </w:rPr>
        <w:t>5.3.8.3  Disclose Non-Compliance Incidents and Enforcement Actions for IED Permit Breaches — FY 2025</w:t>
      </w:r>
    </w:p>
    <w:p>
      <w:r>
        <w:rPr>
          <w:rFonts w:ascii="Arial" w:hAnsi="Arial"/>
          <w:b w:val="0"/>
          <w:i w:val="0"/>
          <w:color w:val="000000"/>
          <w:sz w:val="22"/>
        </w:rPr>
        <w:t>No non-compliance incidents or enforcement actions were recorded during FY 2025 in relation to permit condition breaches across IED-regulated installations. One minor permit deviation was self-reported at Site 4 (Singapore) relating to a temporary exceedance of a COD emission limit during unplanned equipment maintenance. This was rectified within 72 hours, reported to the competent authority in accordance with regulatory requirements, and subject to a full root cause analysis. No formal enforcement action was initiated by any competent authority during the reporting period. A corrective action plan has been implemented at Site 4 to prevent recurrence.</w:t>
      </w:r>
      <w:r>
        <w:rPr>
          <w:rFonts w:ascii="Arial" w:hAnsi="Arial"/>
          <w:b w:val="0"/>
          <w:i w:val="0"/>
          <w:color w:val="000000"/>
          <w:sz w:val="18"/>
        </w:rPr>
        <w:t xml:space="preserve"> [</w:t>
      </w:r>
      <w:r>
        <w:rPr>
          <w:rFonts w:ascii="Arial" w:hAnsi="Arial"/>
          <w:b w:val="0"/>
          <w:i w:val="0"/>
          <w:color w:val="00B050"/>
          <w:sz w:val="18"/>
        </w:rPr>
        <w:t>ESRS E2-4-AR-25-(b)</w:t>
      </w:r>
      <w:r>
        <w:rPr>
          <w:rFonts w:ascii="Arial" w:hAnsi="Arial"/>
          <w:b w:val="0"/>
          <w:i w:val="0"/>
          <w:color w:val="000000"/>
          <w:sz w:val="18"/>
        </w:rPr>
        <w:t>]</w:t>
      </w:r>
    </w:p>
    <w:p>
      <w:pPr>
        <w:pStyle w:val="Heading3"/>
      </w:pPr>
      <w:r>
        <w:rPr>
          <w:rFonts w:ascii="Arial" w:hAnsi="Arial"/>
          <w:b/>
          <w:i w:val="0"/>
          <w:color w:val="000000"/>
          <w:sz w:val="22"/>
        </w:rPr>
        <w:t>5.3.8.4  Disclose Actual Emission Performance vs BAT-AEL Levels (EU BAT Conclusions) — FY 2025</w:t>
      </w:r>
    </w:p>
    <w:p>
      <w:r>
        <w:rPr>
          <w:rFonts w:ascii="Arial" w:hAnsi="Arial"/>
          <w:b w:val="0"/>
          <w:i w:val="0"/>
          <w:color w:val="000000"/>
          <w:sz w:val="22"/>
        </w:rPr>
        <w:t>Actual emission performance at all IED-regulated installations has been assessed against emission levels associated with best available techniques (BAT-AEL) as described in applicable EU BAT Conclusions. All four IED installations report emissions within or below the applicable BAT-AEL ranges for the relevant pollutant categories. Site 3 (Frankfurt) achieved performance approximately 18% below the lower end of the applicable BAT-AEL range for SOx emissions. Site 4 (Singapore) returned to full BAT-AEL compliance following rectification of the minor permit deviation.</w:t>
      </w:r>
      <w:r>
        <w:rPr>
          <w:rFonts w:ascii="Arial" w:hAnsi="Arial"/>
          <w:b w:val="0"/>
          <w:i w:val="0"/>
          <w:color w:val="000000"/>
          <w:sz w:val="18"/>
        </w:rPr>
        <w:t xml:space="preserve"> [</w:t>
      </w:r>
      <w:r>
        <w:rPr>
          <w:rFonts w:ascii="Arial" w:hAnsi="Arial"/>
          <w:b w:val="0"/>
          <w:i w:val="0"/>
          <w:color w:val="00B050"/>
          <w:sz w:val="18"/>
        </w:rPr>
        <w:t>ESRS E2-4-AR-25-(c)</w:t>
      </w:r>
      <w:r>
        <w:rPr>
          <w:rFonts w:ascii="Arial" w:hAnsi="Arial"/>
          <w:b w:val="0"/>
          <w:i w:val="0"/>
          <w:color w:val="000000"/>
          <w:sz w:val="18"/>
        </w:rPr>
        <w:t>]</w:t>
      </w:r>
    </w:p>
    <w:p>
      <w:pPr>
        <w:pStyle w:val="Heading3"/>
      </w:pPr>
      <w:r>
        <w:rPr>
          <w:rFonts w:ascii="Arial" w:hAnsi="Arial"/>
          <w:b/>
          <w:i w:val="0"/>
          <w:color w:val="000000"/>
          <w:sz w:val="22"/>
        </w:rPr>
        <w:t>5.3.8.5  Disclose Actual Environmental Performance vs BAT-AEPL Benchmarks (Sector and Installation) — FY 2025</w:t>
      </w:r>
    </w:p>
    <w:p>
      <w:r>
        <w:rPr>
          <w:rFonts w:ascii="Arial" w:hAnsi="Arial"/>
          <w:b w:val="0"/>
          <w:i w:val="0"/>
          <w:color w:val="000000"/>
          <w:sz w:val="22"/>
        </w:rPr>
        <w:t>Actual environmental performance has been assessed against environmental performance levels associated with best available techniques (BAT-AEPLs) applicable to the sector and installation. All installations demonstrate alignment with or outperformance of the relevant BAT-AEPL benchmarks. The most significant outperformance is observed at Site 1 (Dubai) for energy-related air emission intensity, where process efficiency improvements implemented in FY 2024 have reduced specific emission intensity to approximately 22% below the sector BAT-AEPL benchmark. Site 2 (Mumbai) meets the BAT-AEPL benchmark for cooling water thermal discharge intensity.</w:t>
      </w:r>
      <w:r>
        <w:rPr>
          <w:rFonts w:ascii="Arial" w:hAnsi="Arial"/>
          <w:b w:val="0"/>
          <w:i w:val="0"/>
          <w:color w:val="000000"/>
          <w:sz w:val="18"/>
        </w:rPr>
        <w:t xml:space="preserve"> [</w:t>
      </w:r>
      <w:r>
        <w:rPr>
          <w:rFonts w:ascii="Arial" w:hAnsi="Arial"/>
          <w:b w:val="0"/>
          <w:i w:val="0"/>
          <w:color w:val="00B050"/>
          <w:sz w:val="18"/>
        </w:rPr>
        <w:t>ESRS E2-4-AR-25-(d)</w:t>
      </w:r>
      <w:r>
        <w:rPr>
          <w:rFonts w:ascii="Arial" w:hAnsi="Arial"/>
          <w:b w:val="0"/>
          <w:i w:val="0"/>
          <w:color w:val="000000"/>
          <w:sz w:val="18"/>
        </w:rPr>
        <w:t>]</w:t>
      </w:r>
    </w:p>
    <w:p>
      <w:pPr>
        <w:pStyle w:val="Heading3"/>
      </w:pPr>
      <w:r>
        <w:rPr>
          <w:rFonts w:ascii="Arial" w:hAnsi="Arial"/>
          <w:b/>
          <w:i w:val="0"/>
          <w:color w:val="000000"/>
          <w:sz w:val="22"/>
        </w:rPr>
        <w:t>5.3.8.6  Disclose Compliance Schedules and Derogations Under Article 15(4) IED for BAT-AEL Implementation — FY 2025</w:t>
      </w:r>
    </w:p>
    <w:p>
      <w:r>
        <w:rPr>
          <w:rFonts w:ascii="Arial" w:hAnsi="Arial"/>
          <w:b w:val="0"/>
          <w:i w:val="0"/>
          <w:color w:val="000000"/>
          <w:sz w:val="22"/>
        </w:rPr>
        <w:t>No compliance schedules or derogations under Article 15(4) of the Industrial Emissions Directive (IED) associated with the implementation of BAT-AELs have been granted by competent authorities in respect of any XYZ Logistics LLC installation during FY 2025. The Company confirms that all installations subject to IED permitting are in compliance with applicable BAT-AEL requirements and no derogation applications are pending.</w:t>
      </w:r>
      <w:r>
        <w:rPr>
          <w:rFonts w:ascii="Arial" w:hAnsi="Arial"/>
          <w:b w:val="0"/>
          <w:i w:val="0"/>
          <w:color w:val="000000"/>
          <w:sz w:val="18"/>
        </w:rPr>
        <w:t xml:space="preserve"> [</w:t>
      </w:r>
      <w:r>
        <w:rPr>
          <w:rFonts w:ascii="Arial" w:hAnsi="Arial"/>
          <w:b w:val="0"/>
          <w:i w:val="0"/>
          <w:color w:val="00B050"/>
          <w:sz w:val="18"/>
        </w:rPr>
        <w:t>ESRS E2-4-AR-25-(e)</w:t>
      </w:r>
      <w:r>
        <w:rPr>
          <w:rFonts w:ascii="Arial" w:hAnsi="Arial"/>
          <w:b w:val="0"/>
          <w:i w:val="0"/>
          <w:color w:val="000000"/>
          <w:sz w:val="18"/>
        </w:rPr>
        <w:t>]</w:t>
      </w:r>
    </w:p>
    <w:p>
      <w:pPr>
        <w:pStyle w:val="Heading2"/>
      </w:pPr>
      <w:r>
        <w:rPr>
          <w:rFonts w:ascii="Arial" w:hAnsi="Arial"/>
          <w:b/>
          <w:i w:val="0"/>
          <w:color w:val="000000"/>
          <w:sz w:val="26"/>
        </w:rPr>
        <w:t>5.3.9  Substances of Concern</w:t>
      </w:r>
    </w:p>
    <w:p>
      <w:r>
        <w:rPr>
          <w:rFonts w:ascii="Arial" w:hAnsi="Arial"/>
          <w:b w:val="0"/>
          <w:i w:val="0"/>
          <w:color w:val="00B050"/>
          <w:sz w:val="18"/>
        </w:rPr>
        <w:t>ESRS E2-5</w:t>
      </w:r>
      <w:r>
        <w:rPr>
          <w:rFonts w:ascii="Arial" w:hAnsi="Arial"/>
          <w:b w:val="0"/>
          <w:i w:val="0"/>
          <w:color w:val="000000"/>
          <w:sz w:val="18"/>
        </w:rPr>
        <w:t xml:space="preserve"> | </w:t>
      </w:r>
      <w:r>
        <w:rPr>
          <w:rFonts w:ascii="Arial" w:hAnsi="Arial"/>
          <w:b w:val="0"/>
          <w:i w:val="0"/>
          <w:color w:val="00B050"/>
          <w:sz w:val="18"/>
        </w:rPr>
        <w:t>ESRS E2-5-34</w:t>
      </w:r>
    </w:p>
    <w:p>
      <w:r>
        <w:rPr>
          <w:rFonts w:ascii="Arial" w:hAnsi="Arial"/>
          <w:b w:val="0"/>
          <w:i w:val="0"/>
          <w:color w:val="000000"/>
          <w:sz w:val="22"/>
        </w:rPr>
        <w:t>XYZ Logistics LLC tracks and discloses the amounts of substances of concern (SoC) generated, procured, or used in production, and the amounts leaving its facilities as emissions, products, components of products, or services. All data in this section is reported in kilograms (kg) unless otherwise stated.</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p>
      <w:pPr>
        <w:pStyle w:val="Heading3"/>
      </w:pPr>
      <w:r>
        <w:rPr>
          <w:rFonts w:ascii="Arial" w:hAnsi="Arial"/>
          <w:b/>
          <w:i w:val="0"/>
          <w:color w:val="000000"/>
          <w:sz w:val="22"/>
        </w:rPr>
        <w:t>5.3.9.1  Quantify Amount of Substances of Concern Leaving Facilities Emissions — By Main Hazard Class</w:t>
      </w:r>
    </w:p>
    <w:p>
      <w:r>
        <w:rPr>
          <w:rFonts w:ascii="Arial" w:hAnsi="Arial"/>
          <w:b/>
          <w:i w:val="0"/>
          <w:color w:val="000000"/>
          <w:sz w:val="20"/>
        </w:rPr>
        <w:t>Table 5.3.9.1 — SoC: as Emissions (FY 2024 vs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Chlorinated Solvents</w:t>
            </w:r>
          </w:p>
        </w:tc>
        <w:tc>
          <w:tcPr>
            <w:tcW w:type="dxa" w:w="3024"/>
          </w:tcPr>
          <w:p>
            <w:r>
              <w:rPr>
                <w:rFonts w:ascii="Arial" w:hAnsi="Arial"/>
                <w:b w:val="0"/>
                <w:i w:val="0"/>
                <w:color w:val="000000"/>
                <w:sz w:val="20"/>
              </w:rPr>
              <w:t>1,240</w:t>
            </w:r>
          </w:p>
        </w:tc>
        <w:tc>
          <w:tcPr>
            <w:tcW w:type="dxa" w:w="3024"/>
          </w:tcPr>
          <w:p>
            <w:r>
              <w:rPr>
                <w:rFonts w:ascii="Arial" w:hAnsi="Arial"/>
                <w:b w:val="0"/>
                <w:i w:val="0"/>
                <w:color w:val="000000"/>
                <w:sz w:val="20"/>
              </w:rPr>
              <w:t>980</w:t>
            </w:r>
          </w:p>
        </w:tc>
      </w:tr>
      <w:tr>
        <w:tc>
          <w:tcPr>
            <w:tcW w:type="dxa" w:w="3024"/>
          </w:tcPr>
          <w:p>
            <w:r>
              <w:rPr>
                <w:rFonts w:ascii="Arial" w:hAnsi="Arial"/>
                <w:b w:val="0"/>
                <w:i w:val="0"/>
                <w:color w:val="000000"/>
                <w:sz w:val="20"/>
              </w:rPr>
              <w:t>Hazardous Heavy Metals (Pb, Cd, Hg, Cr VI)</w:t>
            </w:r>
          </w:p>
        </w:tc>
        <w:tc>
          <w:tcPr>
            <w:tcW w:type="dxa" w:w="3024"/>
          </w:tcPr>
          <w:p>
            <w:r>
              <w:rPr>
                <w:rFonts w:ascii="Arial" w:hAnsi="Arial"/>
                <w:b w:val="0"/>
                <w:i w:val="0"/>
                <w:color w:val="000000"/>
                <w:sz w:val="20"/>
              </w:rPr>
              <w:t>410</w:t>
            </w:r>
          </w:p>
        </w:tc>
        <w:tc>
          <w:tcPr>
            <w:tcW w:type="dxa" w:w="3024"/>
          </w:tcPr>
          <w:p>
            <w:r>
              <w:rPr>
                <w:rFonts w:ascii="Arial" w:hAnsi="Arial"/>
                <w:b w:val="0"/>
                <w:i w:val="0"/>
                <w:color w:val="000000"/>
                <w:sz w:val="20"/>
              </w:rPr>
              <w:t>340</w:t>
            </w:r>
          </w:p>
        </w:tc>
      </w:tr>
      <w:tr>
        <w:tc>
          <w:tcPr>
            <w:tcW w:type="dxa" w:w="3024"/>
          </w:tcPr>
          <w:p>
            <w:r>
              <w:rPr>
                <w:rFonts w:ascii="Arial" w:hAnsi="Arial"/>
                <w:b w:val="0"/>
                <w:i w:val="0"/>
                <w:color w:val="000000"/>
                <w:sz w:val="20"/>
              </w:rPr>
              <w:t>Aromatic Hydrocarbons (BTEX)</w:t>
            </w:r>
          </w:p>
        </w:tc>
        <w:tc>
          <w:tcPr>
            <w:tcW w:type="dxa" w:w="3024"/>
          </w:tcPr>
          <w:p>
            <w:r>
              <w:rPr>
                <w:rFonts w:ascii="Arial" w:hAnsi="Arial"/>
                <w:b w:val="0"/>
                <w:i w:val="0"/>
                <w:color w:val="000000"/>
                <w:sz w:val="20"/>
              </w:rPr>
              <w:t>2,180</w:t>
            </w:r>
          </w:p>
        </w:tc>
        <w:tc>
          <w:tcPr>
            <w:tcW w:type="dxa" w:w="3024"/>
          </w:tcPr>
          <w:p>
            <w:r>
              <w:rPr>
                <w:rFonts w:ascii="Arial" w:hAnsi="Arial"/>
                <w:b w:val="0"/>
                <w:i w:val="0"/>
                <w:color w:val="000000"/>
                <w:sz w:val="20"/>
              </w:rPr>
              <w:t>1,860</w:t>
            </w:r>
          </w:p>
        </w:tc>
      </w:tr>
      <w:tr>
        <w:tc>
          <w:tcPr>
            <w:tcW w:type="dxa" w:w="3024"/>
          </w:tcPr>
          <w:p>
            <w:r>
              <w:rPr>
                <w:rFonts w:ascii="Arial" w:hAnsi="Arial"/>
                <w:b w:val="0"/>
                <w:i w:val="0"/>
                <w:color w:val="000000"/>
                <w:sz w:val="20"/>
              </w:rPr>
              <w:t>Isocyanates</w:t>
            </w:r>
          </w:p>
        </w:tc>
        <w:tc>
          <w:tcPr>
            <w:tcW w:type="dxa" w:w="3024"/>
          </w:tcPr>
          <w:p>
            <w:r>
              <w:rPr>
                <w:rFonts w:ascii="Arial" w:hAnsi="Arial"/>
                <w:b w:val="0"/>
                <w:i w:val="0"/>
                <w:color w:val="000000"/>
                <w:sz w:val="20"/>
              </w:rPr>
              <w:t>120</w:t>
            </w:r>
          </w:p>
        </w:tc>
        <w:tc>
          <w:tcPr>
            <w:tcW w:type="dxa" w:w="3024"/>
          </w:tcPr>
          <w:p>
            <w:r>
              <w:rPr>
                <w:rFonts w:ascii="Arial" w:hAnsi="Arial"/>
                <w:b w:val="0"/>
                <w:i w:val="0"/>
                <w:color w:val="000000"/>
                <w:sz w:val="20"/>
              </w:rPr>
              <w:t>98</w:t>
            </w:r>
          </w:p>
        </w:tc>
      </w:tr>
      <w:tr>
        <w:tc>
          <w:tcPr>
            <w:tcW w:type="dxa" w:w="3024"/>
          </w:tcPr>
          <w:p>
            <w:r>
              <w:rPr>
                <w:rFonts w:ascii="Arial" w:hAnsi="Arial"/>
                <w:b w:val="0"/>
                <w:i w:val="0"/>
                <w:color w:val="000000"/>
                <w:sz w:val="20"/>
              </w:rPr>
              <w:t>Flame Retardants (Halogenated)</w:t>
            </w:r>
          </w:p>
        </w:tc>
        <w:tc>
          <w:tcPr>
            <w:tcW w:type="dxa" w:w="3024"/>
          </w:tcPr>
          <w:p>
            <w:r>
              <w:rPr>
                <w:rFonts w:ascii="Arial" w:hAnsi="Arial"/>
                <w:b w:val="0"/>
                <w:i w:val="0"/>
                <w:color w:val="000000"/>
                <w:sz w:val="20"/>
              </w:rPr>
              <w:t>84</w:t>
            </w:r>
          </w:p>
        </w:tc>
        <w:tc>
          <w:tcPr>
            <w:tcW w:type="dxa" w:w="3024"/>
          </w:tcPr>
          <w:p>
            <w:r>
              <w:rPr>
                <w:rFonts w:ascii="Arial" w:hAnsi="Arial"/>
                <w:b w:val="0"/>
                <w:i w:val="0"/>
                <w:color w:val="000000"/>
                <w:sz w:val="20"/>
              </w:rPr>
              <w:t>67</w:t>
            </w:r>
          </w:p>
        </w:tc>
      </w:tr>
      <w:tr>
        <w:tc>
          <w:tcPr>
            <w:tcW w:type="dxa" w:w="3024"/>
            <w:shd w:val="clear" w:color="auto" w:fill="F3F3F3"/>
          </w:tcPr>
          <w:p>
            <w:r>
              <w:rPr>
                <w:rFonts w:ascii="Arial" w:hAnsi="Arial"/>
                <w:b/>
                <w:i w:val="0"/>
                <w:color w:val="000000"/>
                <w:sz w:val="20"/>
              </w:rPr>
              <w:t>Total SoC Leaving as Emissions</w:t>
            </w:r>
          </w:p>
        </w:tc>
        <w:tc>
          <w:tcPr>
            <w:tcW w:type="dxa" w:w="3024"/>
            <w:shd w:val="clear" w:color="auto" w:fill="F3F3F3"/>
          </w:tcPr>
          <w:p>
            <w:r>
              <w:rPr>
                <w:rFonts w:ascii="Arial" w:hAnsi="Arial"/>
                <w:b/>
                <w:i w:val="0"/>
                <w:color w:val="000000"/>
                <w:sz w:val="20"/>
              </w:rPr>
              <w:t>4,034</w:t>
            </w:r>
          </w:p>
        </w:tc>
        <w:tc>
          <w:tcPr>
            <w:tcW w:type="dxa" w:w="3024"/>
            <w:shd w:val="clear" w:color="auto" w:fill="F3F3F3"/>
          </w:tcPr>
          <w:p>
            <w:r>
              <w:rPr>
                <w:rFonts w:ascii="Arial" w:hAnsi="Arial"/>
                <w:b/>
                <w:i w:val="0"/>
                <w:color w:val="000000"/>
                <w:sz w:val="20"/>
              </w:rPr>
              <w:t>3,345</w:t>
            </w:r>
          </w:p>
        </w:tc>
      </w:tr>
    </w:tbl>
    <w:p>
      <w:r>
        <w:rPr>
          <w:rFonts w:ascii="Arial" w:hAnsi="Arial"/>
          <w:b w:val="0"/>
          <w:i w:val="0"/>
          <w:color w:val="000000"/>
          <w:sz w:val="22"/>
        </w:rPr>
        <w:t>No other main hazard classes of SoC outside those listed generated material emissions from facilities during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p>
      <w:pPr>
        <w:pStyle w:val="Heading3"/>
      </w:pPr>
      <w:r>
        <w:rPr>
          <w:rFonts w:ascii="Arial" w:hAnsi="Arial"/>
          <w:b/>
          <w:i w:val="0"/>
          <w:color w:val="000000"/>
          <w:sz w:val="22"/>
        </w:rPr>
        <w:t>5.3.9.2  Quantify Amount of Substances of Concern Leaving Facilities Products — By Main Hazard Class</w:t>
      </w:r>
    </w:p>
    <w:p>
      <w:r>
        <w:rPr>
          <w:rFonts w:ascii="Arial" w:hAnsi="Arial"/>
          <w:b/>
          <w:i w:val="0"/>
          <w:color w:val="000000"/>
          <w:sz w:val="20"/>
        </w:rPr>
        <w:t>Table 5.3.9.2 — SoC: as Products (FY 2024 vs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Chlorinated Solvents</w:t>
            </w:r>
          </w:p>
        </w:tc>
        <w:tc>
          <w:tcPr>
            <w:tcW w:type="dxa" w:w="3024"/>
          </w:tcPr>
          <w:p>
            <w:r>
              <w:rPr>
                <w:rFonts w:ascii="Arial" w:hAnsi="Arial"/>
                <w:b w:val="0"/>
                <w:i w:val="0"/>
                <w:color w:val="000000"/>
                <w:sz w:val="20"/>
              </w:rPr>
              <w:t>14,200</w:t>
            </w:r>
          </w:p>
        </w:tc>
        <w:tc>
          <w:tcPr>
            <w:tcW w:type="dxa" w:w="3024"/>
          </w:tcPr>
          <w:p>
            <w:r>
              <w:rPr>
                <w:rFonts w:ascii="Arial" w:hAnsi="Arial"/>
                <w:b w:val="0"/>
                <w:i w:val="0"/>
                <w:color w:val="000000"/>
                <w:sz w:val="20"/>
              </w:rPr>
              <w:t>11,800</w:t>
            </w:r>
          </w:p>
        </w:tc>
      </w:tr>
      <w:tr>
        <w:tc>
          <w:tcPr>
            <w:tcW w:type="dxa" w:w="3024"/>
          </w:tcPr>
          <w:p>
            <w:r>
              <w:rPr>
                <w:rFonts w:ascii="Arial" w:hAnsi="Arial"/>
                <w:b w:val="0"/>
                <w:i w:val="0"/>
                <w:color w:val="000000"/>
                <w:sz w:val="20"/>
              </w:rPr>
              <w:t>Hazardous Heavy Metals (Pb, Cd, Hg, Cr VI)</w:t>
            </w:r>
          </w:p>
        </w:tc>
        <w:tc>
          <w:tcPr>
            <w:tcW w:type="dxa" w:w="3024"/>
          </w:tcPr>
          <w:p>
            <w:r>
              <w:rPr>
                <w:rFonts w:ascii="Arial" w:hAnsi="Arial"/>
                <w:b w:val="0"/>
                <w:i w:val="0"/>
                <w:color w:val="000000"/>
                <w:sz w:val="20"/>
              </w:rPr>
              <w:t>3,100</w:t>
            </w:r>
          </w:p>
        </w:tc>
        <w:tc>
          <w:tcPr>
            <w:tcW w:type="dxa" w:w="3024"/>
          </w:tcPr>
          <w:p>
            <w:r>
              <w:rPr>
                <w:rFonts w:ascii="Arial" w:hAnsi="Arial"/>
                <w:b w:val="0"/>
                <w:i w:val="0"/>
                <w:color w:val="000000"/>
                <w:sz w:val="20"/>
              </w:rPr>
              <w:t>2,640</w:t>
            </w:r>
          </w:p>
        </w:tc>
      </w:tr>
      <w:tr>
        <w:tc>
          <w:tcPr>
            <w:tcW w:type="dxa" w:w="3024"/>
          </w:tcPr>
          <w:p>
            <w:r>
              <w:rPr>
                <w:rFonts w:ascii="Arial" w:hAnsi="Arial"/>
                <w:b w:val="0"/>
                <w:i w:val="0"/>
                <w:color w:val="000000"/>
                <w:sz w:val="20"/>
              </w:rPr>
              <w:t>Aromatic Hydrocarbons (BTEX)</w:t>
            </w:r>
          </w:p>
        </w:tc>
        <w:tc>
          <w:tcPr>
            <w:tcW w:type="dxa" w:w="3024"/>
          </w:tcPr>
          <w:p>
            <w:r>
              <w:rPr>
                <w:rFonts w:ascii="Arial" w:hAnsi="Arial"/>
                <w:b w:val="0"/>
                <w:i w:val="0"/>
                <w:color w:val="000000"/>
                <w:sz w:val="20"/>
              </w:rPr>
              <w:t>8,400</w:t>
            </w:r>
          </w:p>
        </w:tc>
        <w:tc>
          <w:tcPr>
            <w:tcW w:type="dxa" w:w="3024"/>
          </w:tcPr>
          <w:p>
            <w:r>
              <w:rPr>
                <w:rFonts w:ascii="Arial" w:hAnsi="Arial"/>
                <w:b w:val="0"/>
                <w:i w:val="0"/>
                <w:color w:val="000000"/>
                <w:sz w:val="20"/>
              </w:rPr>
              <w:t>7,100</w:t>
            </w:r>
          </w:p>
        </w:tc>
      </w:tr>
      <w:tr>
        <w:tc>
          <w:tcPr>
            <w:tcW w:type="dxa" w:w="3024"/>
          </w:tcPr>
          <w:p>
            <w:r>
              <w:rPr>
                <w:rFonts w:ascii="Arial" w:hAnsi="Arial"/>
                <w:b w:val="0"/>
                <w:i w:val="0"/>
                <w:color w:val="000000"/>
                <w:sz w:val="20"/>
              </w:rPr>
              <w:t>Isocyanates</w:t>
            </w:r>
          </w:p>
        </w:tc>
        <w:tc>
          <w:tcPr>
            <w:tcW w:type="dxa" w:w="3024"/>
          </w:tcPr>
          <w:p>
            <w:r>
              <w:rPr>
                <w:rFonts w:ascii="Arial" w:hAnsi="Arial"/>
                <w:b w:val="0"/>
                <w:i w:val="0"/>
                <w:color w:val="000000"/>
                <w:sz w:val="20"/>
              </w:rPr>
              <w:t>2,900</w:t>
            </w:r>
          </w:p>
        </w:tc>
        <w:tc>
          <w:tcPr>
            <w:tcW w:type="dxa" w:w="3024"/>
          </w:tcPr>
          <w:p>
            <w:r>
              <w:rPr>
                <w:rFonts w:ascii="Arial" w:hAnsi="Arial"/>
                <w:b w:val="0"/>
                <w:i w:val="0"/>
                <w:color w:val="000000"/>
                <w:sz w:val="20"/>
              </w:rPr>
              <w:t>2,580</w:t>
            </w:r>
          </w:p>
        </w:tc>
      </w:tr>
      <w:tr>
        <w:tc>
          <w:tcPr>
            <w:tcW w:type="dxa" w:w="3024"/>
          </w:tcPr>
          <w:p>
            <w:r>
              <w:rPr>
                <w:rFonts w:ascii="Arial" w:hAnsi="Arial"/>
                <w:b w:val="0"/>
                <w:i w:val="0"/>
                <w:color w:val="000000"/>
                <w:sz w:val="20"/>
              </w:rPr>
              <w:t>Flame Retardants (Halogenated)</w:t>
            </w:r>
          </w:p>
        </w:tc>
        <w:tc>
          <w:tcPr>
            <w:tcW w:type="dxa" w:w="3024"/>
          </w:tcPr>
          <w:p>
            <w:r>
              <w:rPr>
                <w:rFonts w:ascii="Arial" w:hAnsi="Arial"/>
                <w:b w:val="0"/>
                <w:i w:val="0"/>
                <w:color w:val="000000"/>
                <w:sz w:val="20"/>
              </w:rPr>
              <w:t>1,200</w:t>
            </w:r>
          </w:p>
        </w:tc>
        <w:tc>
          <w:tcPr>
            <w:tcW w:type="dxa" w:w="3024"/>
          </w:tcPr>
          <w:p>
            <w:r>
              <w:rPr>
                <w:rFonts w:ascii="Arial" w:hAnsi="Arial"/>
                <w:b w:val="0"/>
                <w:i w:val="0"/>
                <w:color w:val="000000"/>
                <w:sz w:val="20"/>
              </w:rPr>
              <w:t>960</w:t>
            </w:r>
          </w:p>
        </w:tc>
      </w:tr>
      <w:tr>
        <w:tc>
          <w:tcPr>
            <w:tcW w:type="dxa" w:w="3024"/>
            <w:shd w:val="clear" w:color="auto" w:fill="F3F3F3"/>
          </w:tcPr>
          <w:p>
            <w:r>
              <w:rPr>
                <w:rFonts w:ascii="Arial" w:hAnsi="Arial"/>
                <w:b/>
                <w:i w:val="0"/>
                <w:color w:val="000000"/>
                <w:sz w:val="20"/>
              </w:rPr>
              <w:t>Total SoC Leaving as Products</w:t>
            </w:r>
          </w:p>
        </w:tc>
        <w:tc>
          <w:tcPr>
            <w:tcW w:type="dxa" w:w="3024"/>
            <w:shd w:val="clear" w:color="auto" w:fill="F3F3F3"/>
          </w:tcPr>
          <w:p>
            <w:r>
              <w:rPr>
                <w:rFonts w:ascii="Arial" w:hAnsi="Arial"/>
                <w:b/>
                <w:i w:val="0"/>
                <w:color w:val="000000"/>
                <w:sz w:val="20"/>
              </w:rPr>
              <w:t>29,800</w:t>
            </w:r>
          </w:p>
        </w:tc>
        <w:tc>
          <w:tcPr>
            <w:tcW w:type="dxa" w:w="3024"/>
            <w:shd w:val="clear" w:color="auto" w:fill="F3F3F3"/>
          </w:tcPr>
          <w:p>
            <w:r>
              <w:rPr>
                <w:rFonts w:ascii="Arial" w:hAnsi="Arial"/>
                <w:b/>
                <w:i w:val="0"/>
                <w:color w:val="000000"/>
                <w:sz w:val="20"/>
              </w:rPr>
              <w:t>25,080</w:t>
            </w:r>
          </w:p>
        </w:tc>
      </w:tr>
    </w:tbl>
    <w:p>
      <w:r>
        <w:rPr>
          <w:rFonts w:ascii="Arial" w:hAnsi="Arial"/>
          <w:b w:val="0"/>
          <w:i w:val="0"/>
          <w:color w:val="000000"/>
          <w:sz w:val="22"/>
        </w:rPr>
        <w:t>No other main hazard classes of SoC outside those listed left facilities as products during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p>
      <w:pPr>
        <w:pStyle w:val="Heading3"/>
      </w:pPr>
      <w:r>
        <w:rPr>
          <w:rFonts w:ascii="Arial" w:hAnsi="Arial"/>
          <w:b/>
          <w:i w:val="0"/>
          <w:color w:val="000000"/>
          <w:sz w:val="22"/>
        </w:rPr>
        <w:t>5.3.9.3  Quantify Amount of Substances of Concern Leaving Facilities Part of Products — By Main Hazard Class</w:t>
      </w:r>
    </w:p>
    <w:p>
      <w:r>
        <w:rPr>
          <w:rFonts w:ascii="Arial" w:hAnsi="Arial"/>
          <w:b/>
          <w:i w:val="0"/>
          <w:color w:val="000000"/>
          <w:sz w:val="20"/>
        </w:rPr>
        <w:t>Table 5.3.9.3 — SoC: as Part of Products (FY 2024 vs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Chlorinated Solvents</w:t>
            </w:r>
          </w:p>
        </w:tc>
        <w:tc>
          <w:tcPr>
            <w:tcW w:type="dxa" w:w="3024"/>
          </w:tcPr>
          <w:p>
            <w:r>
              <w:rPr>
                <w:rFonts w:ascii="Arial" w:hAnsi="Arial"/>
                <w:b w:val="0"/>
                <w:i w:val="0"/>
                <w:color w:val="000000"/>
                <w:sz w:val="20"/>
              </w:rPr>
              <w:t>12,800</w:t>
            </w:r>
          </w:p>
        </w:tc>
        <w:tc>
          <w:tcPr>
            <w:tcW w:type="dxa" w:w="3024"/>
          </w:tcPr>
          <w:p>
            <w:r>
              <w:rPr>
                <w:rFonts w:ascii="Arial" w:hAnsi="Arial"/>
                <w:b w:val="0"/>
                <w:i w:val="0"/>
                <w:color w:val="000000"/>
                <w:sz w:val="20"/>
              </w:rPr>
              <w:t>10,400</w:t>
            </w:r>
          </w:p>
        </w:tc>
      </w:tr>
      <w:tr>
        <w:tc>
          <w:tcPr>
            <w:tcW w:type="dxa" w:w="3024"/>
          </w:tcPr>
          <w:p>
            <w:r>
              <w:rPr>
                <w:rFonts w:ascii="Arial" w:hAnsi="Arial"/>
                <w:b w:val="0"/>
                <w:i w:val="0"/>
                <w:color w:val="000000"/>
                <w:sz w:val="20"/>
              </w:rPr>
              <w:t>Hazardous Heavy Metals (Pb, Cd, Hg, Cr VI)</w:t>
            </w:r>
          </w:p>
        </w:tc>
        <w:tc>
          <w:tcPr>
            <w:tcW w:type="dxa" w:w="3024"/>
          </w:tcPr>
          <w:p>
            <w:r>
              <w:rPr>
                <w:rFonts w:ascii="Arial" w:hAnsi="Arial"/>
                <w:b w:val="0"/>
                <w:i w:val="0"/>
                <w:color w:val="000000"/>
                <w:sz w:val="20"/>
              </w:rPr>
              <w:t>2,400</w:t>
            </w:r>
          </w:p>
        </w:tc>
        <w:tc>
          <w:tcPr>
            <w:tcW w:type="dxa" w:w="3024"/>
          </w:tcPr>
          <w:p>
            <w:r>
              <w:rPr>
                <w:rFonts w:ascii="Arial" w:hAnsi="Arial"/>
                <w:b w:val="0"/>
                <w:i w:val="0"/>
                <w:color w:val="000000"/>
                <w:sz w:val="20"/>
              </w:rPr>
              <w:t>2,060</w:t>
            </w:r>
          </w:p>
        </w:tc>
      </w:tr>
      <w:tr>
        <w:tc>
          <w:tcPr>
            <w:tcW w:type="dxa" w:w="3024"/>
          </w:tcPr>
          <w:p>
            <w:r>
              <w:rPr>
                <w:rFonts w:ascii="Arial" w:hAnsi="Arial"/>
                <w:b w:val="0"/>
                <w:i w:val="0"/>
                <w:color w:val="000000"/>
                <w:sz w:val="20"/>
              </w:rPr>
              <w:t>Aromatic Hydrocarbons (BTEX)</w:t>
            </w:r>
          </w:p>
        </w:tc>
        <w:tc>
          <w:tcPr>
            <w:tcW w:type="dxa" w:w="3024"/>
          </w:tcPr>
          <w:p>
            <w:r>
              <w:rPr>
                <w:rFonts w:ascii="Arial" w:hAnsi="Arial"/>
                <w:b w:val="0"/>
                <w:i w:val="0"/>
                <w:color w:val="000000"/>
                <w:sz w:val="20"/>
              </w:rPr>
              <w:t>7,200</w:t>
            </w:r>
          </w:p>
        </w:tc>
        <w:tc>
          <w:tcPr>
            <w:tcW w:type="dxa" w:w="3024"/>
          </w:tcPr>
          <w:p>
            <w:r>
              <w:rPr>
                <w:rFonts w:ascii="Arial" w:hAnsi="Arial"/>
                <w:b w:val="0"/>
                <w:i w:val="0"/>
                <w:color w:val="000000"/>
                <w:sz w:val="20"/>
              </w:rPr>
              <w:t>6,300</w:t>
            </w:r>
          </w:p>
        </w:tc>
      </w:tr>
      <w:tr>
        <w:tc>
          <w:tcPr>
            <w:tcW w:type="dxa" w:w="3024"/>
          </w:tcPr>
          <w:p>
            <w:r>
              <w:rPr>
                <w:rFonts w:ascii="Arial" w:hAnsi="Arial"/>
                <w:b w:val="0"/>
                <w:i w:val="0"/>
                <w:color w:val="000000"/>
                <w:sz w:val="20"/>
              </w:rPr>
              <w:t>Isocyanates</w:t>
            </w:r>
          </w:p>
        </w:tc>
        <w:tc>
          <w:tcPr>
            <w:tcW w:type="dxa" w:w="3024"/>
          </w:tcPr>
          <w:p>
            <w:r>
              <w:rPr>
                <w:rFonts w:ascii="Arial" w:hAnsi="Arial"/>
                <w:b w:val="0"/>
                <w:i w:val="0"/>
                <w:color w:val="000000"/>
                <w:sz w:val="20"/>
              </w:rPr>
              <w:t>2,200</w:t>
            </w:r>
          </w:p>
        </w:tc>
        <w:tc>
          <w:tcPr>
            <w:tcW w:type="dxa" w:w="3024"/>
          </w:tcPr>
          <w:p>
            <w:r>
              <w:rPr>
                <w:rFonts w:ascii="Arial" w:hAnsi="Arial"/>
                <w:b w:val="0"/>
                <w:i w:val="0"/>
                <w:color w:val="000000"/>
                <w:sz w:val="20"/>
              </w:rPr>
              <w:t>1,980</w:t>
            </w:r>
          </w:p>
        </w:tc>
      </w:tr>
      <w:tr>
        <w:tc>
          <w:tcPr>
            <w:tcW w:type="dxa" w:w="3024"/>
          </w:tcPr>
          <w:p>
            <w:r>
              <w:rPr>
                <w:rFonts w:ascii="Arial" w:hAnsi="Arial"/>
                <w:b w:val="0"/>
                <w:i w:val="0"/>
                <w:color w:val="000000"/>
                <w:sz w:val="20"/>
              </w:rPr>
              <w:t>Flame Retardants (Halogenated)</w:t>
            </w:r>
          </w:p>
        </w:tc>
        <w:tc>
          <w:tcPr>
            <w:tcW w:type="dxa" w:w="3024"/>
          </w:tcPr>
          <w:p>
            <w:r>
              <w:rPr>
                <w:rFonts w:ascii="Arial" w:hAnsi="Arial"/>
                <w:b w:val="0"/>
                <w:i w:val="0"/>
                <w:color w:val="000000"/>
                <w:sz w:val="20"/>
              </w:rPr>
              <w:t>980</w:t>
            </w:r>
          </w:p>
        </w:tc>
        <w:tc>
          <w:tcPr>
            <w:tcW w:type="dxa" w:w="3024"/>
          </w:tcPr>
          <w:p>
            <w:r>
              <w:rPr>
                <w:rFonts w:ascii="Arial" w:hAnsi="Arial"/>
                <w:b w:val="0"/>
                <w:i w:val="0"/>
                <w:color w:val="000000"/>
                <w:sz w:val="20"/>
              </w:rPr>
              <w:t>840</w:t>
            </w:r>
          </w:p>
        </w:tc>
      </w:tr>
      <w:tr>
        <w:tc>
          <w:tcPr>
            <w:tcW w:type="dxa" w:w="3024"/>
            <w:shd w:val="clear" w:color="auto" w:fill="F3F3F3"/>
          </w:tcPr>
          <w:p>
            <w:r>
              <w:rPr>
                <w:rFonts w:ascii="Arial" w:hAnsi="Arial"/>
                <w:b/>
                <w:i w:val="0"/>
                <w:color w:val="000000"/>
                <w:sz w:val="20"/>
              </w:rPr>
              <w:t>Total SoC Leaving as Part of Products</w:t>
            </w:r>
          </w:p>
        </w:tc>
        <w:tc>
          <w:tcPr>
            <w:tcW w:type="dxa" w:w="3024"/>
            <w:shd w:val="clear" w:color="auto" w:fill="F3F3F3"/>
          </w:tcPr>
          <w:p>
            <w:r>
              <w:rPr>
                <w:rFonts w:ascii="Arial" w:hAnsi="Arial"/>
                <w:b/>
                <w:i w:val="0"/>
                <w:color w:val="000000"/>
                <w:sz w:val="20"/>
              </w:rPr>
              <w:t>25,580</w:t>
            </w:r>
          </w:p>
        </w:tc>
        <w:tc>
          <w:tcPr>
            <w:tcW w:type="dxa" w:w="3024"/>
            <w:shd w:val="clear" w:color="auto" w:fill="F3F3F3"/>
          </w:tcPr>
          <w:p>
            <w:r>
              <w:rPr>
                <w:rFonts w:ascii="Arial" w:hAnsi="Arial"/>
                <w:b/>
                <w:i w:val="0"/>
                <w:color w:val="000000"/>
                <w:sz w:val="20"/>
              </w:rPr>
              <w:t>21,580</w:t>
            </w:r>
          </w:p>
        </w:tc>
      </w:tr>
    </w:tbl>
    <w:p>
      <w:r>
        <w:rPr>
          <w:rFonts w:ascii="Arial" w:hAnsi="Arial"/>
          <w:b w:val="0"/>
          <w:i w:val="0"/>
          <w:color w:val="000000"/>
          <w:sz w:val="22"/>
        </w:rPr>
        <w:t>No other main hazard classes of SoC outside those listed left facilities as part of products during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p>
      <w:pPr>
        <w:pStyle w:val="Heading3"/>
      </w:pPr>
      <w:r>
        <w:rPr>
          <w:rFonts w:ascii="Arial" w:hAnsi="Arial"/>
          <w:b/>
          <w:i w:val="0"/>
          <w:color w:val="000000"/>
          <w:sz w:val="22"/>
        </w:rPr>
        <w:t>5.3.9.4  Quantify Amount of Substances of Concern Leaving Facilities Services — By Main Hazard Class</w:t>
      </w:r>
    </w:p>
    <w:p>
      <w:r>
        <w:rPr>
          <w:rFonts w:ascii="Arial" w:hAnsi="Arial"/>
          <w:b/>
          <w:i w:val="0"/>
          <w:color w:val="000000"/>
          <w:sz w:val="20"/>
        </w:rPr>
        <w:t>Table 5.3.9.4 — SoC: as Services (FY 2024 vs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Chlorinated Solvents</w:t>
            </w:r>
          </w:p>
        </w:tc>
        <w:tc>
          <w:tcPr>
            <w:tcW w:type="dxa" w:w="3024"/>
          </w:tcPr>
          <w:p>
            <w:r>
              <w:rPr>
                <w:rFonts w:ascii="Arial" w:hAnsi="Arial"/>
                <w:b w:val="0"/>
                <w:i w:val="0"/>
                <w:color w:val="000000"/>
                <w:sz w:val="20"/>
              </w:rPr>
              <w:t>1,860</w:t>
            </w:r>
          </w:p>
        </w:tc>
        <w:tc>
          <w:tcPr>
            <w:tcW w:type="dxa" w:w="3024"/>
          </w:tcPr>
          <w:p>
            <w:r>
              <w:rPr>
                <w:rFonts w:ascii="Arial" w:hAnsi="Arial"/>
                <w:b w:val="0"/>
                <w:i w:val="0"/>
                <w:color w:val="000000"/>
                <w:sz w:val="20"/>
              </w:rPr>
              <w:t>1,540</w:t>
            </w:r>
          </w:p>
        </w:tc>
      </w:tr>
      <w:tr>
        <w:tc>
          <w:tcPr>
            <w:tcW w:type="dxa" w:w="3024"/>
          </w:tcPr>
          <w:p>
            <w:r>
              <w:rPr>
                <w:rFonts w:ascii="Arial" w:hAnsi="Arial"/>
                <w:b w:val="0"/>
                <w:i w:val="0"/>
                <w:color w:val="000000"/>
                <w:sz w:val="20"/>
              </w:rPr>
              <w:t>Hazardous Heavy Metals (Pb, Cd, Hg, Cr VI)</w:t>
            </w:r>
          </w:p>
        </w:tc>
        <w:tc>
          <w:tcPr>
            <w:tcW w:type="dxa" w:w="3024"/>
          </w:tcPr>
          <w:p>
            <w:r>
              <w:rPr>
                <w:rFonts w:ascii="Arial" w:hAnsi="Arial"/>
                <w:b w:val="0"/>
                <w:i w:val="0"/>
                <w:color w:val="000000"/>
                <w:sz w:val="20"/>
              </w:rPr>
              <w:t>330</w:t>
            </w:r>
          </w:p>
        </w:tc>
        <w:tc>
          <w:tcPr>
            <w:tcW w:type="dxa" w:w="3024"/>
          </w:tcPr>
          <w:p>
            <w:r>
              <w:rPr>
                <w:rFonts w:ascii="Arial" w:hAnsi="Arial"/>
                <w:b w:val="0"/>
                <w:i w:val="0"/>
                <w:color w:val="000000"/>
                <w:sz w:val="20"/>
              </w:rPr>
              <w:t>280</w:t>
            </w:r>
          </w:p>
        </w:tc>
      </w:tr>
      <w:tr>
        <w:tc>
          <w:tcPr>
            <w:tcW w:type="dxa" w:w="3024"/>
          </w:tcPr>
          <w:p>
            <w:r>
              <w:rPr>
                <w:rFonts w:ascii="Arial" w:hAnsi="Arial"/>
                <w:b w:val="0"/>
                <w:i w:val="0"/>
                <w:color w:val="000000"/>
                <w:sz w:val="20"/>
              </w:rPr>
              <w:t>Aromatic Hydrocarbons (BTEX)</w:t>
            </w:r>
          </w:p>
        </w:tc>
        <w:tc>
          <w:tcPr>
            <w:tcW w:type="dxa" w:w="3024"/>
          </w:tcPr>
          <w:p>
            <w:r>
              <w:rPr>
                <w:rFonts w:ascii="Arial" w:hAnsi="Arial"/>
                <w:b w:val="0"/>
                <w:i w:val="0"/>
                <w:color w:val="000000"/>
                <w:sz w:val="20"/>
              </w:rPr>
              <w:t>1,420</w:t>
            </w:r>
          </w:p>
        </w:tc>
        <w:tc>
          <w:tcPr>
            <w:tcW w:type="dxa" w:w="3024"/>
          </w:tcPr>
          <w:p>
            <w:r>
              <w:rPr>
                <w:rFonts w:ascii="Arial" w:hAnsi="Arial"/>
                <w:b w:val="0"/>
                <w:i w:val="0"/>
                <w:color w:val="000000"/>
                <w:sz w:val="20"/>
              </w:rPr>
              <w:t>1,180</w:t>
            </w:r>
          </w:p>
        </w:tc>
      </w:tr>
      <w:tr>
        <w:tc>
          <w:tcPr>
            <w:tcW w:type="dxa" w:w="3024"/>
          </w:tcPr>
          <w:p>
            <w:r>
              <w:rPr>
                <w:rFonts w:ascii="Arial" w:hAnsi="Arial"/>
                <w:b w:val="0"/>
                <w:i w:val="0"/>
                <w:color w:val="000000"/>
                <w:sz w:val="20"/>
              </w:rPr>
              <w:t>Isocyanates</w:t>
            </w:r>
          </w:p>
        </w:tc>
        <w:tc>
          <w:tcPr>
            <w:tcW w:type="dxa" w:w="3024"/>
          </w:tcPr>
          <w:p>
            <w:r>
              <w:rPr>
                <w:rFonts w:ascii="Arial" w:hAnsi="Arial"/>
                <w:b w:val="0"/>
                <w:i w:val="0"/>
                <w:color w:val="000000"/>
                <w:sz w:val="20"/>
              </w:rPr>
              <w:t>460</w:t>
            </w:r>
          </w:p>
        </w:tc>
        <w:tc>
          <w:tcPr>
            <w:tcW w:type="dxa" w:w="3024"/>
          </w:tcPr>
          <w:p>
            <w:r>
              <w:rPr>
                <w:rFonts w:ascii="Arial" w:hAnsi="Arial"/>
                <w:b w:val="0"/>
                <w:i w:val="0"/>
                <w:color w:val="000000"/>
                <w:sz w:val="20"/>
              </w:rPr>
              <w:t>390</w:t>
            </w:r>
          </w:p>
        </w:tc>
      </w:tr>
      <w:tr>
        <w:tc>
          <w:tcPr>
            <w:tcW w:type="dxa" w:w="3024"/>
          </w:tcPr>
          <w:p>
            <w:r>
              <w:rPr>
                <w:rFonts w:ascii="Arial" w:hAnsi="Arial"/>
                <w:b w:val="0"/>
                <w:i w:val="0"/>
                <w:color w:val="000000"/>
                <w:sz w:val="20"/>
              </w:rPr>
              <w:t>Flame Retardants (Halogenated)</w:t>
            </w:r>
          </w:p>
        </w:tc>
        <w:tc>
          <w:tcPr>
            <w:tcW w:type="dxa" w:w="3024"/>
          </w:tcPr>
          <w:p>
            <w:r>
              <w:rPr>
                <w:rFonts w:ascii="Arial" w:hAnsi="Arial"/>
                <w:b w:val="0"/>
                <w:i w:val="0"/>
                <w:color w:val="000000"/>
                <w:sz w:val="20"/>
              </w:rPr>
              <w:t>178</w:t>
            </w:r>
          </w:p>
        </w:tc>
        <w:tc>
          <w:tcPr>
            <w:tcW w:type="dxa" w:w="3024"/>
          </w:tcPr>
          <w:p>
            <w:r>
              <w:rPr>
                <w:rFonts w:ascii="Arial" w:hAnsi="Arial"/>
                <w:b w:val="0"/>
                <w:i w:val="0"/>
                <w:color w:val="000000"/>
                <w:sz w:val="20"/>
              </w:rPr>
              <w:t>143</w:t>
            </w:r>
          </w:p>
        </w:tc>
      </w:tr>
      <w:tr>
        <w:tc>
          <w:tcPr>
            <w:tcW w:type="dxa" w:w="3024"/>
            <w:shd w:val="clear" w:color="auto" w:fill="F3F3F3"/>
          </w:tcPr>
          <w:p>
            <w:r>
              <w:rPr>
                <w:rFonts w:ascii="Arial" w:hAnsi="Arial"/>
                <w:b/>
                <w:i w:val="0"/>
                <w:color w:val="000000"/>
                <w:sz w:val="20"/>
              </w:rPr>
              <w:t>Total SoC Leaving via Services</w:t>
            </w:r>
          </w:p>
        </w:tc>
        <w:tc>
          <w:tcPr>
            <w:tcW w:type="dxa" w:w="3024"/>
            <w:shd w:val="clear" w:color="auto" w:fill="F3F3F3"/>
          </w:tcPr>
          <w:p>
            <w:r>
              <w:rPr>
                <w:rFonts w:ascii="Arial" w:hAnsi="Arial"/>
                <w:b/>
                <w:i w:val="0"/>
                <w:color w:val="000000"/>
                <w:sz w:val="20"/>
              </w:rPr>
              <w:t>4,248</w:t>
            </w:r>
          </w:p>
        </w:tc>
        <w:tc>
          <w:tcPr>
            <w:tcW w:type="dxa" w:w="3024"/>
            <w:shd w:val="clear" w:color="auto" w:fill="F3F3F3"/>
          </w:tcPr>
          <w:p>
            <w:r>
              <w:rPr>
                <w:rFonts w:ascii="Arial" w:hAnsi="Arial"/>
                <w:b/>
                <w:i w:val="0"/>
                <w:color w:val="000000"/>
                <w:sz w:val="20"/>
              </w:rPr>
              <w:t>3,533</w:t>
            </w:r>
          </w:p>
        </w:tc>
      </w:tr>
    </w:tbl>
    <w:p>
      <w:r>
        <w:rPr>
          <w:rFonts w:ascii="Arial" w:hAnsi="Arial"/>
          <w:b w:val="0"/>
          <w:i w:val="0"/>
          <w:color w:val="000000"/>
          <w:sz w:val="22"/>
        </w:rPr>
        <w:t>No other main hazard classes of SoC outside those listed left facilities via services during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p>
      <w:pPr>
        <w:pStyle w:val="Heading3"/>
      </w:pPr>
      <w:r>
        <w:rPr>
          <w:rFonts w:ascii="Arial" w:hAnsi="Arial"/>
          <w:b/>
          <w:i w:val="0"/>
          <w:color w:val="000000"/>
          <w:sz w:val="22"/>
        </w:rPr>
        <w:t>5.3.9.5  Quantify Total Generated / Used / Procured of Substances of Concern — By Main Hazard Class</w:t>
      </w:r>
    </w:p>
    <w:p>
      <w:r>
        <w:rPr>
          <w:rFonts w:ascii="Arial" w:hAnsi="Arial"/>
          <w:b/>
          <w:i w:val="0"/>
          <w:color w:val="000000"/>
          <w:sz w:val="20"/>
        </w:rPr>
        <w:t>Table 5.3.9.5 — SoC: Total Generated / Used / Procured (FY 2024 vs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Chlorinated Solvents</w:t>
            </w:r>
          </w:p>
        </w:tc>
        <w:tc>
          <w:tcPr>
            <w:tcW w:type="dxa" w:w="3024"/>
          </w:tcPr>
          <w:p>
            <w:r>
              <w:rPr>
                <w:rFonts w:ascii="Arial" w:hAnsi="Arial"/>
                <w:b w:val="0"/>
                <w:i w:val="0"/>
                <w:color w:val="000000"/>
                <w:sz w:val="20"/>
              </w:rPr>
              <w:t>48,600</w:t>
            </w:r>
          </w:p>
        </w:tc>
        <w:tc>
          <w:tcPr>
            <w:tcW w:type="dxa" w:w="3024"/>
          </w:tcPr>
          <w:p>
            <w:r>
              <w:rPr>
                <w:rFonts w:ascii="Arial" w:hAnsi="Arial"/>
                <w:b w:val="0"/>
                <w:i w:val="0"/>
                <w:color w:val="000000"/>
                <w:sz w:val="20"/>
              </w:rPr>
              <w:t>42,300</w:t>
            </w:r>
          </w:p>
        </w:tc>
      </w:tr>
      <w:tr>
        <w:tc>
          <w:tcPr>
            <w:tcW w:type="dxa" w:w="3024"/>
          </w:tcPr>
          <w:p>
            <w:r>
              <w:rPr>
                <w:rFonts w:ascii="Arial" w:hAnsi="Arial"/>
                <w:b w:val="0"/>
                <w:i w:val="0"/>
                <w:color w:val="000000"/>
                <w:sz w:val="20"/>
              </w:rPr>
              <w:t>Hazardous Heavy Metals (Pb, Cd, Hg, Cr VI)</w:t>
            </w:r>
          </w:p>
        </w:tc>
        <w:tc>
          <w:tcPr>
            <w:tcW w:type="dxa" w:w="3024"/>
          </w:tcPr>
          <w:p>
            <w:r>
              <w:rPr>
                <w:rFonts w:ascii="Arial" w:hAnsi="Arial"/>
                <w:b w:val="0"/>
                <w:i w:val="0"/>
                <w:color w:val="000000"/>
                <w:sz w:val="20"/>
              </w:rPr>
              <w:t>8,240</w:t>
            </w:r>
          </w:p>
        </w:tc>
        <w:tc>
          <w:tcPr>
            <w:tcW w:type="dxa" w:w="3024"/>
          </w:tcPr>
          <w:p>
            <w:r>
              <w:rPr>
                <w:rFonts w:ascii="Arial" w:hAnsi="Arial"/>
                <w:b w:val="0"/>
                <w:i w:val="0"/>
                <w:color w:val="000000"/>
                <w:sz w:val="20"/>
              </w:rPr>
              <w:t>7,180</w:t>
            </w:r>
          </w:p>
        </w:tc>
      </w:tr>
      <w:tr>
        <w:tc>
          <w:tcPr>
            <w:tcW w:type="dxa" w:w="3024"/>
          </w:tcPr>
          <w:p>
            <w:r>
              <w:rPr>
                <w:rFonts w:ascii="Arial" w:hAnsi="Arial"/>
                <w:b w:val="0"/>
                <w:i w:val="0"/>
                <w:color w:val="000000"/>
                <w:sz w:val="20"/>
              </w:rPr>
              <w:t>Aromatic Hydrocarbons (BTEX)</w:t>
            </w:r>
          </w:p>
        </w:tc>
        <w:tc>
          <w:tcPr>
            <w:tcW w:type="dxa" w:w="3024"/>
          </w:tcPr>
          <w:p>
            <w:r>
              <w:rPr>
                <w:rFonts w:ascii="Arial" w:hAnsi="Arial"/>
                <w:b w:val="0"/>
                <w:i w:val="0"/>
                <w:color w:val="000000"/>
                <w:sz w:val="20"/>
              </w:rPr>
              <w:t>34,100</w:t>
            </w:r>
          </w:p>
        </w:tc>
        <w:tc>
          <w:tcPr>
            <w:tcW w:type="dxa" w:w="3024"/>
          </w:tcPr>
          <w:p>
            <w:r>
              <w:rPr>
                <w:rFonts w:ascii="Arial" w:hAnsi="Arial"/>
                <w:b w:val="0"/>
                <w:i w:val="0"/>
                <w:color w:val="000000"/>
                <w:sz w:val="20"/>
              </w:rPr>
              <w:t>29,700</w:t>
            </w:r>
          </w:p>
        </w:tc>
      </w:tr>
      <w:tr>
        <w:tc>
          <w:tcPr>
            <w:tcW w:type="dxa" w:w="3024"/>
          </w:tcPr>
          <w:p>
            <w:r>
              <w:rPr>
                <w:rFonts w:ascii="Arial" w:hAnsi="Arial"/>
                <w:b w:val="0"/>
                <w:i w:val="0"/>
                <w:color w:val="000000"/>
                <w:sz w:val="20"/>
              </w:rPr>
              <w:t>Isocyanates</w:t>
            </w:r>
          </w:p>
        </w:tc>
        <w:tc>
          <w:tcPr>
            <w:tcW w:type="dxa" w:w="3024"/>
          </w:tcPr>
          <w:p>
            <w:r>
              <w:rPr>
                <w:rFonts w:ascii="Arial" w:hAnsi="Arial"/>
                <w:b w:val="0"/>
                <w:i w:val="0"/>
                <w:color w:val="000000"/>
                <w:sz w:val="20"/>
              </w:rPr>
              <w:t>6,780</w:t>
            </w:r>
          </w:p>
        </w:tc>
        <w:tc>
          <w:tcPr>
            <w:tcW w:type="dxa" w:w="3024"/>
          </w:tcPr>
          <w:p>
            <w:r>
              <w:rPr>
                <w:rFonts w:ascii="Arial" w:hAnsi="Arial"/>
                <w:b w:val="0"/>
                <w:i w:val="0"/>
                <w:color w:val="000000"/>
                <w:sz w:val="20"/>
              </w:rPr>
              <w:t>6,120</w:t>
            </w:r>
          </w:p>
        </w:tc>
      </w:tr>
      <w:tr>
        <w:tc>
          <w:tcPr>
            <w:tcW w:type="dxa" w:w="3024"/>
          </w:tcPr>
          <w:p>
            <w:r>
              <w:rPr>
                <w:rFonts w:ascii="Arial" w:hAnsi="Arial"/>
                <w:b w:val="0"/>
                <w:i w:val="0"/>
                <w:color w:val="000000"/>
                <w:sz w:val="20"/>
              </w:rPr>
              <w:t>Flame Retardants (Halogenated)</w:t>
            </w:r>
          </w:p>
        </w:tc>
        <w:tc>
          <w:tcPr>
            <w:tcW w:type="dxa" w:w="3024"/>
          </w:tcPr>
          <w:p>
            <w:r>
              <w:rPr>
                <w:rFonts w:ascii="Arial" w:hAnsi="Arial"/>
                <w:b w:val="0"/>
                <w:i w:val="0"/>
                <w:color w:val="000000"/>
                <w:sz w:val="20"/>
              </w:rPr>
              <w:t>2,940</w:t>
            </w:r>
          </w:p>
        </w:tc>
        <w:tc>
          <w:tcPr>
            <w:tcW w:type="dxa" w:w="3024"/>
          </w:tcPr>
          <w:p>
            <w:r>
              <w:rPr>
                <w:rFonts w:ascii="Arial" w:hAnsi="Arial"/>
                <w:b w:val="0"/>
                <w:i w:val="0"/>
                <w:color w:val="000000"/>
                <w:sz w:val="20"/>
              </w:rPr>
              <w:t>2,410</w:t>
            </w:r>
          </w:p>
        </w:tc>
      </w:tr>
      <w:tr>
        <w:tc>
          <w:tcPr>
            <w:tcW w:type="dxa" w:w="3024"/>
            <w:shd w:val="clear" w:color="auto" w:fill="F3F3F3"/>
          </w:tcPr>
          <w:p>
            <w:r>
              <w:rPr>
                <w:rFonts w:ascii="Arial" w:hAnsi="Arial"/>
                <w:b/>
                <w:i w:val="0"/>
                <w:color w:val="000000"/>
                <w:sz w:val="20"/>
              </w:rPr>
              <w:t>Total SoC Generated / Used / Procured</w:t>
            </w:r>
          </w:p>
        </w:tc>
        <w:tc>
          <w:tcPr>
            <w:tcW w:type="dxa" w:w="3024"/>
            <w:shd w:val="clear" w:color="auto" w:fill="F3F3F3"/>
          </w:tcPr>
          <w:p>
            <w:r>
              <w:rPr>
                <w:rFonts w:ascii="Arial" w:hAnsi="Arial"/>
                <w:b/>
                <w:i w:val="0"/>
                <w:color w:val="000000"/>
                <w:sz w:val="20"/>
              </w:rPr>
              <w:t>100,660</w:t>
            </w:r>
          </w:p>
        </w:tc>
        <w:tc>
          <w:tcPr>
            <w:tcW w:type="dxa" w:w="3024"/>
            <w:shd w:val="clear" w:color="auto" w:fill="F3F3F3"/>
          </w:tcPr>
          <w:p>
            <w:r>
              <w:rPr>
                <w:rFonts w:ascii="Arial" w:hAnsi="Arial"/>
                <w:b/>
                <w:i w:val="0"/>
                <w:color w:val="000000"/>
                <w:sz w:val="20"/>
              </w:rPr>
              <w:t>87,710</w:t>
            </w:r>
          </w:p>
        </w:tc>
      </w:tr>
    </w:tbl>
    <w:p>
      <w:r>
        <w:rPr>
          <w:rFonts w:ascii="Arial" w:hAnsi="Arial"/>
          <w:b w:val="0"/>
          <w:i w:val="0"/>
          <w:color w:val="000000"/>
          <w:sz w:val="22"/>
        </w:rPr>
        <w:t>No other main hazard classes of SoC outside those listed were generated, used, or procured during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p>
      <w:pPr>
        <w:pStyle w:val="Heading3"/>
      </w:pPr>
      <w:r>
        <w:rPr>
          <w:rFonts w:ascii="Arial" w:hAnsi="Arial"/>
          <w:b/>
          <w:i w:val="0"/>
          <w:color w:val="000000"/>
          <w:sz w:val="22"/>
        </w:rPr>
        <w:t>5.3.9.6  Quantify Combined Total Leaving Facilities of Substances of Concern — By Main Hazard Class</w:t>
      </w:r>
    </w:p>
    <w:p>
      <w:r>
        <w:rPr>
          <w:rFonts w:ascii="Arial" w:hAnsi="Arial"/>
          <w:b/>
          <w:i w:val="0"/>
          <w:color w:val="000000"/>
          <w:sz w:val="20"/>
        </w:rPr>
        <w:t>Table 5.3.9.6 — SoC: Combined Total (Emissions + Products + Part of Products + Services) (FY 2024 vs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Chlorinated Solvents</w:t>
            </w:r>
          </w:p>
        </w:tc>
        <w:tc>
          <w:tcPr>
            <w:tcW w:type="dxa" w:w="3024"/>
          </w:tcPr>
          <w:p>
            <w:r>
              <w:rPr>
                <w:rFonts w:ascii="Arial" w:hAnsi="Arial"/>
                <w:b w:val="0"/>
                <w:i w:val="0"/>
                <w:color w:val="000000"/>
                <w:sz w:val="20"/>
              </w:rPr>
              <w:t>30,100</w:t>
            </w:r>
          </w:p>
        </w:tc>
        <w:tc>
          <w:tcPr>
            <w:tcW w:type="dxa" w:w="3024"/>
          </w:tcPr>
          <w:p>
            <w:r>
              <w:rPr>
                <w:rFonts w:ascii="Arial" w:hAnsi="Arial"/>
                <w:b w:val="0"/>
                <w:i w:val="0"/>
                <w:color w:val="000000"/>
                <w:sz w:val="20"/>
              </w:rPr>
              <w:t>24,720</w:t>
            </w:r>
          </w:p>
        </w:tc>
      </w:tr>
      <w:tr>
        <w:tc>
          <w:tcPr>
            <w:tcW w:type="dxa" w:w="3024"/>
          </w:tcPr>
          <w:p>
            <w:r>
              <w:rPr>
                <w:rFonts w:ascii="Arial" w:hAnsi="Arial"/>
                <w:b w:val="0"/>
                <w:i w:val="0"/>
                <w:color w:val="000000"/>
                <w:sz w:val="20"/>
              </w:rPr>
              <w:t>Hazardous Heavy Metals (Pb, Cd, Hg, Cr VI)</w:t>
            </w:r>
          </w:p>
        </w:tc>
        <w:tc>
          <w:tcPr>
            <w:tcW w:type="dxa" w:w="3024"/>
          </w:tcPr>
          <w:p>
            <w:r>
              <w:rPr>
                <w:rFonts w:ascii="Arial" w:hAnsi="Arial"/>
                <w:b w:val="0"/>
                <w:i w:val="0"/>
                <w:color w:val="000000"/>
                <w:sz w:val="20"/>
              </w:rPr>
              <w:t>6,240</w:t>
            </w:r>
          </w:p>
        </w:tc>
        <w:tc>
          <w:tcPr>
            <w:tcW w:type="dxa" w:w="3024"/>
          </w:tcPr>
          <w:p>
            <w:r>
              <w:rPr>
                <w:rFonts w:ascii="Arial" w:hAnsi="Arial"/>
                <w:b w:val="0"/>
                <w:i w:val="0"/>
                <w:color w:val="000000"/>
                <w:sz w:val="20"/>
              </w:rPr>
              <w:t>5,320</w:t>
            </w:r>
          </w:p>
        </w:tc>
      </w:tr>
      <w:tr>
        <w:tc>
          <w:tcPr>
            <w:tcW w:type="dxa" w:w="3024"/>
          </w:tcPr>
          <w:p>
            <w:r>
              <w:rPr>
                <w:rFonts w:ascii="Arial" w:hAnsi="Arial"/>
                <w:b w:val="0"/>
                <w:i w:val="0"/>
                <w:color w:val="000000"/>
                <w:sz w:val="20"/>
              </w:rPr>
              <w:t>Aromatic Hydrocarbons (BTEX)</w:t>
            </w:r>
          </w:p>
        </w:tc>
        <w:tc>
          <w:tcPr>
            <w:tcW w:type="dxa" w:w="3024"/>
          </w:tcPr>
          <w:p>
            <w:r>
              <w:rPr>
                <w:rFonts w:ascii="Arial" w:hAnsi="Arial"/>
                <w:b w:val="0"/>
                <w:i w:val="0"/>
                <w:color w:val="000000"/>
                <w:sz w:val="20"/>
              </w:rPr>
              <w:t>19,200</w:t>
            </w:r>
          </w:p>
        </w:tc>
        <w:tc>
          <w:tcPr>
            <w:tcW w:type="dxa" w:w="3024"/>
          </w:tcPr>
          <w:p>
            <w:r>
              <w:rPr>
                <w:rFonts w:ascii="Arial" w:hAnsi="Arial"/>
                <w:b w:val="0"/>
                <w:i w:val="0"/>
                <w:color w:val="000000"/>
                <w:sz w:val="20"/>
              </w:rPr>
              <w:t>16,440</w:t>
            </w:r>
          </w:p>
        </w:tc>
      </w:tr>
      <w:tr>
        <w:tc>
          <w:tcPr>
            <w:tcW w:type="dxa" w:w="3024"/>
          </w:tcPr>
          <w:p>
            <w:r>
              <w:rPr>
                <w:rFonts w:ascii="Arial" w:hAnsi="Arial"/>
                <w:b w:val="0"/>
                <w:i w:val="0"/>
                <w:color w:val="000000"/>
                <w:sz w:val="20"/>
              </w:rPr>
              <w:t>Isocyanates</w:t>
            </w:r>
          </w:p>
        </w:tc>
        <w:tc>
          <w:tcPr>
            <w:tcW w:type="dxa" w:w="3024"/>
          </w:tcPr>
          <w:p>
            <w:r>
              <w:rPr>
                <w:rFonts w:ascii="Arial" w:hAnsi="Arial"/>
                <w:b w:val="0"/>
                <w:i w:val="0"/>
                <w:color w:val="000000"/>
                <w:sz w:val="20"/>
              </w:rPr>
              <w:t>5,680</w:t>
            </w:r>
          </w:p>
        </w:tc>
        <w:tc>
          <w:tcPr>
            <w:tcW w:type="dxa" w:w="3024"/>
          </w:tcPr>
          <w:p>
            <w:r>
              <w:rPr>
                <w:rFonts w:ascii="Arial" w:hAnsi="Arial"/>
                <w:b w:val="0"/>
                <w:i w:val="0"/>
                <w:color w:val="000000"/>
                <w:sz w:val="20"/>
              </w:rPr>
              <w:t>5,048</w:t>
            </w:r>
          </w:p>
        </w:tc>
      </w:tr>
      <w:tr>
        <w:tc>
          <w:tcPr>
            <w:tcW w:type="dxa" w:w="3024"/>
          </w:tcPr>
          <w:p>
            <w:r>
              <w:rPr>
                <w:rFonts w:ascii="Arial" w:hAnsi="Arial"/>
                <w:b w:val="0"/>
                <w:i w:val="0"/>
                <w:color w:val="000000"/>
                <w:sz w:val="20"/>
              </w:rPr>
              <w:t>Flame Retardants (Halogenated)</w:t>
            </w:r>
          </w:p>
        </w:tc>
        <w:tc>
          <w:tcPr>
            <w:tcW w:type="dxa" w:w="3024"/>
          </w:tcPr>
          <w:p>
            <w:r>
              <w:rPr>
                <w:rFonts w:ascii="Arial" w:hAnsi="Arial"/>
                <w:b w:val="0"/>
                <w:i w:val="0"/>
                <w:color w:val="000000"/>
                <w:sz w:val="20"/>
              </w:rPr>
              <w:t>2,442</w:t>
            </w:r>
          </w:p>
        </w:tc>
        <w:tc>
          <w:tcPr>
            <w:tcW w:type="dxa" w:w="3024"/>
          </w:tcPr>
          <w:p>
            <w:r>
              <w:rPr>
                <w:rFonts w:ascii="Arial" w:hAnsi="Arial"/>
                <w:b w:val="0"/>
                <w:i w:val="0"/>
                <w:color w:val="000000"/>
                <w:sz w:val="20"/>
              </w:rPr>
              <w:t>2,010</w:t>
            </w:r>
          </w:p>
        </w:tc>
      </w:tr>
      <w:tr>
        <w:tc>
          <w:tcPr>
            <w:tcW w:type="dxa" w:w="3024"/>
            <w:shd w:val="clear" w:color="auto" w:fill="F3F3F3"/>
          </w:tcPr>
          <w:p>
            <w:r>
              <w:rPr>
                <w:rFonts w:ascii="Arial" w:hAnsi="Arial"/>
                <w:b/>
                <w:i w:val="0"/>
                <w:color w:val="000000"/>
                <w:sz w:val="20"/>
              </w:rPr>
              <w:t>Total SoC Leaving Facilities — Combined</w:t>
            </w:r>
          </w:p>
        </w:tc>
        <w:tc>
          <w:tcPr>
            <w:tcW w:type="dxa" w:w="3024"/>
            <w:shd w:val="clear" w:color="auto" w:fill="F3F3F3"/>
          </w:tcPr>
          <w:p>
            <w:r>
              <w:rPr>
                <w:rFonts w:ascii="Arial" w:hAnsi="Arial"/>
                <w:b/>
                <w:i w:val="0"/>
                <w:color w:val="000000"/>
                <w:sz w:val="20"/>
              </w:rPr>
              <w:t>63,662</w:t>
            </w:r>
          </w:p>
        </w:tc>
        <w:tc>
          <w:tcPr>
            <w:tcW w:type="dxa" w:w="3024"/>
            <w:shd w:val="clear" w:color="auto" w:fill="F3F3F3"/>
          </w:tcPr>
          <w:p>
            <w:r>
              <w:rPr>
                <w:rFonts w:ascii="Arial" w:hAnsi="Arial"/>
                <w:b/>
                <w:i w:val="0"/>
                <w:color w:val="000000"/>
                <w:sz w:val="20"/>
              </w:rPr>
              <w:t>53,538</w:t>
            </w:r>
          </w:p>
        </w:tc>
      </w:tr>
    </w:tbl>
    <w:p>
      <w:r>
        <w:rPr>
          <w:rFonts w:ascii="Arial" w:hAnsi="Arial"/>
          <w:b w:val="0"/>
          <w:i w:val="0"/>
          <w:color w:val="000000"/>
          <w:sz w:val="22"/>
        </w:rPr>
        <w:t>No other main hazard classes of SoC outside those listed have been identified during FY 2025.</w:t>
      </w:r>
      <w:r>
        <w:rPr>
          <w:rFonts w:ascii="Arial" w:hAnsi="Arial"/>
          <w:b w:val="0"/>
          <w:i w:val="0"/>
          <w:color w:val="000000"/>
          <w:sz w:val="18"/>
        </w:rPr>
        <w:t xml:space="preserve"> [</w:t>
      </w:r>
      <w:r>
        <w:rPr>
          <w:rFonts w:ascii="Arial" w:hAnsi="Arial"/>
          <w:b w:val="0"/>
          <w:i w:val="0"/>
          <w:color w:val="00B050"/>
          <w:sz w:val="18"/>
        </w:rPr>
        <w:t>ESRS E2-5-34</w:t>
      </w:r>
      <w:r>
        <w:rPr>
          <w:rFonts w:ascii="Arial" w:hAnsi="Arial"/>
          <w:b w:val="0"/>
          <w:i w:val="0"/>
          <w:color w:val="000000"/>
          <w:sz w:val="18"/>
        </w:rPr>
        <w:t>]</w:t>
      </w:r>
    </w:p>
    <w:p>
      <w:pPr>
        <w:pStyle w:val="Heading2"/>
      </w:pPr>
      <w:r>
        <w:rPr>
          <w:rFonts w:ascii="Arial" w:hAnsi="Arial"/>
          <w:b/>
          <w:i w:val="0"/>
          <w:color w:val="000000"/>
          <w:sz w:val="26"/>
        </w:rPr>
        <w:t>5.3.10  Substances of Very High Concern</w:t>
      </w:r>
    </w:p>
    <w:p>
      <w:r>
        <w:rPr>
          <w:rFonts w:ascii="Arial" w:hAnsi="Arial"/>
          <w:b w:val="0"/>
          <w:i w:val="0"/>
          <w:color w:val="00B050"/>
          <w:sz w:val="18"/>
        </w:rPr>
        <w:t>ESRS E2-5</w:t>
      </w:r>
      <w:r>
        <w:rPr>
          <w:rFonts w:ascii="Arial" w:hAnsi="Arial"/>
          <w:b w:val="0"/>
          <w:i w:val="0"/>
          <w:color w:val="000000"/>
          <w:sz w:val="18"/>
        </w:rPr>
        <w:t xml:space="preserve"> | </w:t>
      </w:r>
      <w:r>
        <w:rPr>
          <w:rFonts w:ascii="Arial" w:hAnsi="Arial"/>
          <w:b w:val="0"/>
          <w:i w:val="0"/>
          <w:color w:val="00B050"/>
          <w:sz w:val="18"/>
        </w:rPr>
        <w:t>ESRS E2-5-35</w:t>
      </w:r>
    </w:p>
    <w:p>
      <w:r>
        <w:rPr>
          <w:rFonts w:ascii="Arial" w:hAnsi="Arial"/>
          <w:b w:val="0"/>
          <w:i w:val="0"/>
          <w:color w:val="000000"/>
          <w:sz w:val="22"/>
        </w:rPr>
        <w:t>XYZ Logistics LLC separately tracks and discloses the amounts of substances of very high concern (SVHC) generated, procured, or used in production, and the amounts leaving its facilities as emissions, products, components of products, or services. All data in this section is reported in kilograms (kg) unless otherwise stated.</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p>
      <w:pPr>
        <w:pStyle w:val="Heading3"/>
      </w:pPr>
      <w:r>
        <w:rPr>
          <w:rFonts w:ascii="Arial" w:hAnsi="Arial"/>
          <w:b/>
          <w:i w:val="0"/>
          <w:color w:val="000000"/>
          <w:sz w:val="22"/>
        </w:rPr>
        <w:t>5.3.10.1  Quantify Amount of Substances of Very High Concern Leaving Facilities as Emissions — By Main Hazard Class</w:t>
      </w:r>
    </w:p>
    <w:p>
      <w:r>
        <w:rPr>
          <w:rFonts w:ascii="Arial" w:hAnsi="Arial"/>
          <w:b/>
          <w:i w:val="0"/>
          <w:color w:val="000000"/>
          <w:sz w:val="20"/>
        </w:rPr>
        <w:t>Table 5.3.10.1 — SVHC: as Emissions (FY 2024 vs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SVHC — Carcinogenic (Category 1A/1B)</w:t>
            </w:r>
          </w:p>
        </w:tc>
        <w:tc>
          <w:tcPr>
            <w:tcW w:type="dxa" w:w="3024"/>
          </w:tcPr>
          <w:p>
            <w:r>
              <w:rPr>
                <w:rFonts w:ascii="Arial" w:hAnsi="Arial"/>
                <w:b w:val="0"/>
                <w:i w:val="0"/>
                <w:color w:val="000000"/>
                <w:sz w:val="20"/>
              </w:rPr>
              <w:t>480</w:t>
            </w:r>
          </w:p>
        </w:tc>
        <w:tc>
          <w:tcPr>
            <w:tcW w:type="dxa" w:w="3024"/>
          </w:tcPr>
          <w:p>
            <w:r>
              <w:rPr>
                <w:rFonts w:ascii="Arial" w:hAnsi="Arial"/>
                <w:b w:val="0"/>
                <w:i w:val="0"/>
                <w:color w:val="000000"/>
                <w:sz w:val="20"/>
              </w:rPr>
              <w:t>362</w:t>
            </w:r>
          </w:p>
        </w:tc>
      </w:tr>
      <w:tr>
        <w:tc>
          <w:tcPr>
            <w:tcW w:type="dxa" w:w="3024"/>
          </w:tcPr>
          <w:p>
            <w:r>
              <w:rPr>
                <w:rFonts w:ascii="Arial" w:hAnsi="Arial"/>
                <w:b w:val="0"/>
                <w:i w:val="0"/>
                <w:color w:val="000000"/>
                <w:sz w:val="20"/>
              </w:rPr>
              <w:t>SVHC — PBT / vPvB Substances</w:t>
            </w:r>
          </w:p>
        </w:tc>
        <w:tc>
          <w:tcPr>
            <w:tcW w:type="dxa" w:w="3024"/>
          </w:tcPr>
          <w:p>
            <w:r>
              <w:rPr>
                <w:rFonts w:ascii="Arial" w:hAnsi="Arial"/>
                <w:b w:val="0"/>
                <w:i w:val="0"/>
                <w:color w:val="000000"/>
                <w:sz w:val="20"/>
              </w:rPr>
              <w:t>142</w:t>
            </w:r>
          </w:p>
        </w:tc>
        <w:tc>
          <w:tcPr>
            <w:tcW w:type="dxa" w:w="3024"/>
          </w:tcPr>
          <w:p>
            <w:r>
              <w:rPr>
                <w:rFonts w:ascii="Arial" w:hAnsi="Arial"/>
                <w:b w:val="0"/>
                <w:i w:val="0"/>
                <w:color w:val="000000"/>
                <w:sz w:val="20"/>
              </w:rPr>
              <w:t>106</w:t>
            </w:r>
          </w:p>
        </w:tc>
      </w:tr>
      <w:tr>
        <w:tc>
          <w:tcPr>
            <w:tcW w:type="dxa" w:w="3024"/>
          </w:tcPr>
          <w:p>
            <w:r>
              <w:rPr>
                <w:rFonts w:ascii="Arial" w:hAnsi="Arial"/>
                <w:b w:val="0"/>
                <w:i w:val="0"/>
                <w:color w:val="000000"/>
                <w:sz w:val="20"/>
              </w:rPr>
              <w:t>SVHC — Endocrine Disruptors</w:t>
            </w:r>
          </w:p>
        </w:tc>
        <w:tc>
          <w:tcPr>
            <w:tcW w:type="dxa" w:w="3024"/>
          </w:tcPr>
          <w:p>
            <w:r>
              <w:rPr>
                <w:rFonts w:ascii="Arial" w:hAnsi="Arial"/>
                <w:b w:val="0"/>
                <w:i w:val="0"/>
                <w:color w:val="000000"/>
                <w:sz w:val="20"/>
              </w:rPr>
              <w:t>68</w:t>
            </w:r>
          </w:p>
        </w:tc>
        <w:tc>
          <w:tcPr>
            <w:tcW w:type="dxa" w:w="3024"/>
          </w:tcPr>
          <w:p>
            <w:r>
              <w:rPr>
                <w:rFonts w:ascii="Arial" w:hAnsi="Arial"/>
                <w:b w:val="0"/>
                <w:i w:val="0"/>
                <w:color w:val="000000"/>
                <w:sz w:val="20"/>
              </w:rPr>
              <w:t>49</w:t>
            </w:r>
          </w:p>
        </w:tc>
      </w:tr>
      <w:tr>
        <w:tc>
          <w:tcPr>
            <w:tcW w:type="dxa" w:w="3024"/>
          </w:tcPr>
          <w:p>
            <w:r>
              <w:rPr>
                <w:rFonts w:ascii="Arial" w:hAnsi="Arial"/>
                <w:b w:val="0"/>
                <w:i w:val="0"/>
                <w:color w:val="000000"/>
                <w:sz w:val="20"/>
              </w:rPr>
              <w:t>SVHC — Respiratory Sensitisers</w:t>
            </w:r>
          </w:p>
        </w:tc>
        <w:tc>
          <w:tcPr>
            <w:tcW w:type="dxa" w:w="3024"/>
          </w:tcPr>
          <w:p>
            <w:r>
              <w:rPr>
                <w:rFonts w:ascii="Arial" w:hAnsi="Arial"/>
                <w:b w:val="0"/>
                <w:i w:val="0"/>
                <w:color w:val="000000"/>
                <w:sz w:val="20"/>
              </w:rPr>
              <w:t>31</w:t>
            </w:r>
          </w:p>
        </w:tc>
        <w:tc>
          <w:tcPr>
            <w:tcW w:type="dxa" w:w="3024"/>
          </w:tcPr>
          <w:p>
            <w:r>
              <w:rPr>
                <w:rFonts w:ascii="Arial" w:hAnsi="Arial"/>
                <w:b w:val="0"/>
                <w:i w:val="0"/>
                <w:color w:val="000000"/>
                <w:sz w:val="20"/>
              </w:rPr>
              <w:t>23</w:t>
            </w:r>
          </w:p>
        </w:tc>
      </w:tr>
      <w:tr>
        <w:tc>
          <w:tcPr>
            <w:tcW w:type="dxa" w:w="3024"/>
            <w:shd w:val="clear" w:color="auto" w:fill="F3F3F3"/>
          </w:tcPr>
          <w:p>
            <w:r>
              <w:rPr>
                <w:rFonts w:ascii="Arial" w:hAnsi="Arial"/>
                <w:b/>
                <w:i w:val="0"/>
                <w:color w:val="000000"/>
                <w:sz w:val="20"/>
              </w:rPr>
              <w:t>Total SVHC Leaving as Emissions</w:t>
            </w:r>
          </w:p>
        </w:tc>
        <w:tc>
          <w:tcPr>
            <w:tcW w:type="dxa" w:w="3024"/>
            <w:shd w:val="clear" w:color="auto" w:fill="F3F3F3"/>
          </w:tcPr>
          <w:p>
            <w:r>
              <w:rPr>
                <w:rFonts w:ascii="Arial" w:hAnsi="Arial"/>
                <w:b/>
                <w:i w:val="0"/>
                <w:color w:val="000000"/>
                <w:sz w:val="20"/>
              </w:rPr>
              <w:t>721</w:t>
            </w:r>
          </w:p>
        </w:tc>
        <w:tc>
          <w:tcPr>
            <w:tcW w:type="dxa" w:w="3024"/>
            <w:shd w:val="clear" w:color="auto" w:fill="F3F3F3"/>
          </w:tcPr>
          <w:p>
            <w:r>
              <w:rPr>
                <w:rFonts w:ascii="Arial" w:hAnsi="Arial"/>
                <w:b/>
                <w:i w:val="0"/>
                <w:color w:val="000000"/>
                <w:sz w:val="20"/>
              </w:rPr>
              <w:t>540</w:t>
            </w:r>
          </w:p>
        </w:tc>
      </w:tr>
    </w:tbl>
    <w:p>
      <w:r>
        <w:rPr>
          <w:rFonts w:ascii="Arial" w:hAnsi="Arial"/>
          <w:b w:val="0"/>
          <w:i w:val="0"/>
          <w:color w:val="000000"/>
          <w:sz w:val="22"/>
        </w:rPr>
        <w:t>No other main hazard classes of SVHC outside those listed generated material emissions from facilities during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p>
      <w:pPr>
        <w:pStyle w:val="Heading3"/>
      </w:pPr>
      <w:r>
        <w:rPr>
          <w:rFonts w:ascii="Arial" w:hAnsi="Arial"/>
          <w:b/>
          <w:i w:val="0"/>
          <w:color w:val="000000"/>
          <w:sz w:val="22"/>
        </w:rPr>
        <w:t>5.3.10.2  Quantify Amount of Substances of Very High Concern Leaving Facilities as Products — By Main Hazard Class</w:t>
      </w:r>
    </w:p>
    <w:p>
      <w:r>
        <w:rPr>
          <w:rFonts w:ascii="Arial" w:hAnsi="Arial"/>
          <w:b/>
          <w:i w:val="0"/>
          <w:color w:val="000000"/>
          <w:sz w:val="20"/>
        </w:rPr>
        <w:t>Table 5.3.10.2 — SVHC: as Products (FY 2024 vs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SVHC — Carcinogenic (Category 1A/1B)</w:t>
            </w:r>
          </w:p>
        </w:tc>
        <w:tc>
          <w:tcPr>
            <w:tcW w:type="dxa" w:w="3024"/>
          </w:tcPr>
          <w:p>
            <w:r>
              <w:rPr>
                <w:rFonts w:ascii="Arial" w:hAnsi="Arial"/>
                <w:b w:val="0"/>
                <w:i w:val="0"/>
                <w:color w:val="000000"/>
                <w:sz w:val="20"/>
              </w:rPr>
              <w:t>4,200</w:t>
            </w:r>
          </w:p>
        </w:tc>
        <w:tc>
          <w:tcPr>
            <w:tcW w:type="dxa" w:w="3024"/>
          </w:tcPr>
          <w:p>
            <w:r>
              <w:rPr>
                <w:rFonts w:ascii="Arial" w:hAnsi="Arial"/>
                <w:b w:val="0"/>
                <w:i w:val="0"/>
                <w:color w:val="000000"/>
                <w:sz w:val="20"/>
              </w:rPr>
              <w:t>3,480</w:t>
            </w:r>
          </w:p>
        </w:tc>
      </w:tr>
      <w:tr>
        <w:tc>
          <w:tcPr>
            <w:tcW w:type="dxa" w:w="3024"/>
          </w:tcPr>
          <w:p>
            <w:r>
              <w:rPr>
                <w:rFonts w:ascii="Arial" w:hAnsi="Arial"/>
                <w:b w:val="0"/>
                <w:i w:val="0"/>
                <w:color w:val="000000"/>
                <w:sz w:val="20"/>
              </w:rPr>
              <w:t>SVHC — PBT / vPvB Substances</w:t>
            </w:r>
          </w:p>
        </w:tc>
        <w:tc>
          <w:tcPr>
            <w:tcW w:type="dxa" w:w="3024"/>
          </w:tcPr>
          <w:p>
            <w:r>
              <w:rPr>
                <w:rFonts w:ascii="Arial" w:hAnsi="Arial"/>
                <w:b w:val="0"/>
                <w:i w:val="0"/>
                <w:color w:val="000000"/>
                <w:sz w:val="20"/>
              </w:rPr>
              <w:t>1,400</w:t>
            </w:r>
          </w:p>
        </w:tc>
        <w:tc>
          <w:tcPr>
            <w:tcW w:type="dxa" w:w="3024"/>
          </w:tcPr>
          <w:p>
            <w:r>
              <w:rPr>
                <w:rFonts w:ascii="Arial" w:hAnsi="Arial"/>
                <w:b w:val="0"/>
                <w:i w:val="0"/>
                <w:color w:val="000000"/>
                <w:sz w:val="20"/>
              </w:rPr>
              <w:t>1,140</w:t>
            </w:r>
          </w:p>
        </w:tc>
      </w:tr>
      <w:tr>
        <w:tc>
          <w:tcPr>
            <w:tcW w:type="dxa" w:w="3024"/>
          </w:tcPr>
          <w:p>
            <w:r>
              <w:rPr>
                <w:rFonts w:ascii="Arial" w:hAnsi="Arial"/>
                <w:b w:val="0"/>
                <w:i w:val="0"/>
                <w:color w:val="000000"/>
                <w:sz w:val="20"/>
              </w:rPr>
              <w:t>SVHC — Endocrine Disruptors</w:t>
            </w:r>
          </w:p>
        </w:tc>
        <w:tc>
          <w:tcPr>
            <w:tcW w:type="dxa" w:w="3024"/>
          </w:tcPr>
          <w:p>
            <w:r>
              <w:rPr>
                <w:rFonts w:ascii="Arial" w:hAnsi="Arial"/>
                <w:b w:val="0"/>
                <w:i w:val="0"/>
                <w:color w:val="000000"/>
                <w:sz w:val="20"/>
              </w:rPr>
              <w:t>680</w:t>
            </w:r>
          </w:p>
        </w:tc>
        <w:tc>
          <w:tcPr>
            <w:tcW w:type="dxa" w:w="3024"/>
          </w:tcPr>
          <w:p>
            <w:r>
              <w:rPr>
                <w:rFonts w:ascii="Arial" w:hAnsi="Arial"/>
                <w:b w:val="0"/>
                <w:i w:val="0"/>
                <w:color w:val="000000"/>
                <w:sz w:val="20"/>
              </w:rPr>
              <w:t>540</w:t>
            </w:r>
          </w:p>
        </w:tc>
      </w:tr>
      <w:tr>
        <w:tc>
          <w:tcPr>
            <w:tcW w:type="dxa" w:w="3024"/>
          </w:tcPr>
          <w:p>
            <w:r>
              <w:rPr>
                <w:rFonts w:ascii="Arial" w:hAnsi="Arial"/>
                <w:b w:val="0"/>
                <w:i w:val="0"/>
                <w:color w:val="000000"/>
                <w:sz w:val="20"/>
              </w:rPr>
              <w:t>SVHC — Respiratory Sensitisers</w:t>
            </w:r>
          </w:p>
        </w:tc>
        <w:tc>
          <w:tcPr>
            <w:tcW w:type="dxa" w:w="3024"/>
          </w:tcPr>
          <w:p>
            <w:r>
              <w:rPr>
                <w:rFonts w:ascii="Arial" w:hAnsi="Arial"/>
                <w:b w:val="0"/>
                <w:i w:val="0"/>
                <w:color w:val="000000"/>
                <w:sz w:val="20"/>
              </w:rPr>
              <w:t>290</w:t>
            </w:r>
          </w:p>
        </w:tc>
        <w:tc>
          <w:tcPr>
            <w:tcW w:type="dxa" w:w="3024"/>
          </w:tcPr>
          <w:p>
            <w:r>
              <w:rPr>
                <w:rFonts w:ascii="Arial" w:hAnsi="Arial"/>
                <w:b w:val="0"/>
                <w:i w:val="0"/>
                <w:color w:val="000000"/>
                <w:sz w:val="20"/>
              </w:rPr>
              <w:t>220</w:t>
            </w:r>
          </w:p>
        </w:tc>
      </w:tr>
      <w:tr>
        <w:tc>
          <w:tcPr>
            <w:tcW w:type="dxa" w:w="3024"/>
            <w:shd w:val="clear" w:color="auto" w:fill="F3F3F3"/>
          </w:tcPr>
          <w:p>
            <w:r>
              <w:rPr>
                <w:rFonts w:ascii="Arial" w:hAnsi="Arial"/>
                <w:b/>
                <w:i w:val="0"/>
                <w:color w:val="000000"/>
                <w:sz w:val="20"/>
              </w:rPr>
              <w:t>Total SVHC Leaving as Products</w:t>
            </w:r>
          </w:p>
        </w:tc>
        <w:tc>
          <w:tcPr>
            <w:tcW w:type="dxa" w:w="3024"/>
            <w:shd w:val="clear" w:color="auto" w:fill="F3F3F3"/>
          </w:tcPr>
          <w:p>
            <w:r>
              <w:rPr>
                <w:rFonts w:ascii="Arial" w:hAnsi="Arial"/>
                <w:b/>
                <w:i w:val="0"/>
                <w:color w:val="000000"/>
                <w:sz w:val="20"/>
              </w:rPr>
              <w:t>6,570</w:t>
            </w:r>
          </w:p>
        </w:tc>
        <w:tc>
          <w:tcPr>
            <w:tcW w:type="dxa" w:w="3024"/>
            <w:shd w:val="clear" w:color="auto" w:fill="F3F3F3"/>
          </w:tcPr>
          <w:p>
            <w:r>
              <w:rPr>
                <w:rFonts w:ascii="Arial" w:hAnsi="Arial"/>
                <w:b/>
                <w:i w:val="0"/>
                <w:color w:val="000000"/>
                <w:sz w:val="20"/>
              </w:rPr>
              <w:t>5,380</w:t>
            </w:r>
          </w:p>
        </w:tc>
      </w:tr>
    </w:tbl>
    <w:p>
      <w:r>
        <w:rPr>
          <w:rFonts w:ascii="Arial" w:hAnsi="Arial"/>
          <w:b w:val="0"/>
          <w:i w:val="0"/>
          <w:color w:val="000000"/>
          <w:sz w:val="22"/>
        </w:rPr>
        <w:t>No other main hazard classes of SVHC outside those listed left facilities as products during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p>
      <w:pPr>
        <w:pStyle w:val="Heading3"/>
      </w:pPr>
      <w:r>
        <w:rPr>
          <w:rFonts w:ascii="Arial" w:hAnsi="Arial"/>
          <w:b/>
          <w:i w:val="0"/>
          <w:color w:val="000000"/>
          <w:sz w:val="22"/>
        </w:rPr>
        <w:t>5.3.10.3  Quantify Amount of Substances of Very High Concern Leaving Facilities as Part of Products — By Main Hazard Class</w:t>
      </w:r>
    </w:p>
    <w:p>
      <w:r>
        <w:rPr>
          <w:rFonts w:ascii="Arial" w:hAnsi="Arial"/>
          <w:b/>
          <w:i w:val="0"/>
          <w:color w:val="000000"/>
          <w:sz w:val="20"/>
        </w:rPr>
        <w:t>Table 5.3.10.3 — SVHC: as Part of Products (FY 2024 vs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SVHC — Carcinogenic (Category 1A/1B)</w:t>
            </w:r>
          </w:p>
        </w:tc>
        <w:tc>
          <w:tcPr>
            <w:tcW w:type="dxa" w:w="3024"/>
          </w:tcPr>
          <w:p>
            <w:r>
              <w:rPr>
                <w:rFonts w:ascii="Arial" w:hAnsi="Arial"/>
                <w:b w:val="0"/>
                <w:i w:val="0"/>
                <w:color w:val="000000"/>
                <w:sz w:val="20"/>
              </w:rPr>
              <w:t>3,600</w:t>
            </w:r>
          </w:p>
        </w:tc>
        <w:tc>
          <w:tcPr>
            <w:tcW w:type="dxa" w:w="3024"/>
          </w:tcPr>
          <w:p>
            <w:r>
              <w:rPr>
                <w:rFonts w:ascii="Arial" w:hAnsi="Arial"/>
                <w:b w:val="0"/>
                <w:i w:val="0"/>
                <w:color w:val="000000"/>
                <w:sz w:val="20"/>
              </w:rPr>
              <w:t>2,980</w:t>
            </w:r>
          </w:p>
        </w:tc>
      </w:tr>
      <w:tr>
        <w:tc>
          <w:tcPr>
            <w:tcW w:type="dxa" w:w="3024"/>
          </w:tcPr>
          <w:p>
            <w:r>
              <w:rPr>
                <w:rFonts w:ascii="Arial" w:hAnsi="Arial"/>
                <w:b w:val="0"/>
                <w:i w:val="0"/>
                <w:color w:val="000000"/>
                <w:sz w:val="20"/>
              </w:rPr>
              <w:t>SVHC — PBT / vPvB Substances</w:t>
            </w:r>
          </w:p>
        </w:tc>
        <w:tc>
          <w:tcPr>
            <w:tcW w:type="dxa" w:w="3024"/>
          </w:tcPr>
          <w:p>
            <w:r>
              <w:rPr>
                <w:rFonts w:ascii="Arial" w:hAnsi="Arial"/>
                <w:b w:val="0"/>
                <w:i w:val="0"/>
                <w:color w:val="000000"/>
                <w:sz w:val="20"/>
              </w:rPr>
              <w:t>1,200</w:t>
            </w:r>
          </w:p>
        </w:tc>
        <w:tc>
          <w:tcPr>
            <w:tcW w:type="dxa" w:w="3024"/>
          </w:tcPr>
          <w:p>
            <w:r>
              <w:rPr>
                <w:rFonts w:ascii="Arial" w:hAnsi="Arial"/>
                <w:b w:val="0"/>
                <w:i w:val="0"/>
                <w:color w:val="000000"/>
                <w:sz w:val="20"/>
              </w:rPr>
              <w:t>960</w:t>
            </w:r>
          </w:p>
        </w:tc>
      </w:tr>
      <w:tr>
        <w:tc>
          <w:tcPr>
            <w:tcW w:type="dxa" w:w="3024"/>
          </w:tcPr>
          <w:p>
            <w:r>
              <w:rPr>
                <w:rFonts w:ascii="Arial" w:hAnsi="Arial"/>
                <w:b w:val="0"/>
                <w:i w:val="0"/>
                <w:color w:val="000000"/>
                <w:sz w:val="20"/>
              </w:rPr>
              <w:t>SVHC — Endocrine Disruptors</w:t>
            </w:r>
          </w:p>
        </w:tc>
        <w:tc>
          <w:tcPr>
            <w:tcW w:type="dxa" w:w="3024"/>
          </w:tcPr>
          <w:p>
            <w:r>
              <w:rPr>
                <w:rFonts w:ascii="Arial" w:hAnsi="Arial"/>
                <w:b w:val="0"/>
                <w:i w:val="0"/>
                <w:color w:val="000000"/>
                <w:sz w:val="20"/>
              </w:rPr>
              <w:t>540</w:t>
            </w:r>
          </w:p>
        </w:tc>
        <w:tc>
          <w:tcPr>
            <w:tcW w:type="dxa" w:w="3024"/>
          </w:tcPr>
          <w:p>
            <w:r>
              <w:rPr>
                <w:rFonts w:ascii="Arial" w:hAnsi="Arial"/>
                <w:b w:val="0"/>
                <w:i w:val="0"/>
                <w:color w:val="000000"/>
                <w:sz w:val="20"/>
              </w:rPr>
              <w:t>420</w:t>
            </w:r>
          </w:p>
        </w:tc>
      </w:tr>
      <w:tr>
        <w:tc>
          <w:tcPr>
            <w:tcW w:type="dxa" w:w="3024"/>
          </w:tcPr>
          <w:p>
            <w:r>
              <w:rPr>
                <w:rFonts w:ascii="Arial" w:hAnsi="Arial"/>
                <w:b w:val="0"/>
                <w:i w:val="0"/>
                <w:color w:val="000000"/>
                <w:sz w:val="20"/>
              </w:rPr>
              <w:t>SVHC — Respiratory Sensitisers</w:t>
            </w:r>
          </w:p>
        </w:tc>
        <w:tc>
          <w:tcPr>
            <w:tcW w:type="dxa" w:w="3024"/>
          </w:tcPr>
          <w:p>
            <w:r>
              <w:rPr>
                <w:rFonts w:ascii="Arial" w:hAnsi="Arial"/>
                <w:b w:val="0"/>
                <w:i w:val="0"/>
                <w:color w:val="000000"/>
                <w:sz w:val="20"/>
              </w:rPr>
              <w:t>240</w:t>
            </w:r>
          </w:p>
        </w:tc>
        <w:tc>
          <w:tcPr>
            <w:tcW w:type="dxa" w:w="3024"/>
          </w:tcPr>
          <w:p>
            <w:r>
              <w:rPr>
                <w:rFonts w:ascii="Arial" w:hAnsi="Arial"/>
                <w:b w:val="0"/>
                <w:i w:val="0"/>
                <w:color w:val="000000"/>
                <w:sz w:val="20"/>
              </w:rPr>
              <w:t>186</w:t>
            </w:r>
          </w:p>
        </w:tc>
      </w:tr>
      <w:tr>
        <w:tc>
          <w:tcPr>
            <w:tcW w:type="dxa" w:w="3024"/>
            <w:shd w:val="clear" w:color="auto" w:fill="F3F3F3"/>
          </w:tcPr>
          <w:p>
            <w:r>
              <w:rPr>
                <w:rFonts w:ascii="Arial" w:hAnsi="Arial"/>
                <w:b/>
                <w:i w:val="0"/>
                <w:color w:val="000000"/>
                <w:sz w:val="20"/>
              </w:rPr>
              <w:t>Total SVHC Leaving as Part of Products</w:t>
            </w:r>
          </w:p>
        </w:tc>
        <w:tc>
          <w:tcPr>
            <w:tcW w:type="dxa" w:w="3024"/>
            <w:shd w:val="clear" w:color="auto" w:fill="F3F3F3"/>
          </w:tcPr>
          <w:p>
            <w:r>
              <w:rPr>
                <w:rFonts w:ascii="Arial" w:hAnsi="Arial"/>
                <w:b/>
                <w:i w:val="0"/>
                <w:color w:val="000000"/>
                <w:sz w:val="20"/>
              </w:rPr>
              <w:t>5,580</w:t>
            </w:r>
          </w:p>
        </w:tc>
        <w:tc>
          <w:tcPr>
            <w:tcW w:type="dxa" w:w="3024"/>
            <w:shd w:val="clear" w:color="auto" w:fill="F3F3F3"/>
          </w:tcPr>
          <w:p>
            <w:r>
              <w:rPr>
                <w:rFonts w:ascii="Arial" w:hAnsi="Arial"/>
                <w:b/>
                <w:i w:val="0"/>
                <w:color w:val="000000"/>
                <w:sz w:val="20"/>
              </w:rPr>
              <w:t>4,546</w:t>
            </w:r>
          </w:p>
        </w:tc>
      </w:tr>
    </w:tbl>
    <w:p>
      <w:r>
        <w:rPr>
          <w:rFonts w:ascii="Arial" w:hAnsi="Arial"/>
          <w:b w:val="0"/>
          <w:i w:val="0"/>
          <w:color w:val="000000"/>
          <w:sz w:val="22"/>
        </w:rPr>
        <w:t>No other main hazard classes of SVHC outside those listed left facilities as part of products during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p>
      <w:pPr>
        <w:pStyle w:val="Heading3"/>
      </w:pPr>
      <w:r>
        <w:rPr>
          <w:rFonts w:ascii="Arial" w:hAnsi="Arial"/>
          <w:b/>
          <w:i w:val="0"/>
          <w:color w:val="000000"/>
          <w:sz w:val="22"/>
        </w:rPr>
        <w:t>5.3.10.4  Quantify Amount of Substances of Very High Concern Leaving Facilities as Services — By Main Hazard Class</w:t>
      </w:r>
    </w:p>
    <w:p>
      <w:r>
        <w:rPr>
          <w:rFonts w:ascii="Arial" w:hAnsi="Arial"/>
          <w:b/>
          <w:i w:val="0"/>
          <w:color w:val="000000"/>
          <w:sz w:val="20"/>
        </w:rPr>
        <w:t>Table 5.3.10.4 — SVHC: as Services (FY 2024 vs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SVHC — Carcinogenic (Category 1A/1B)</w:t>
            </w:r>
          </w:p>
        </w:tc>
        <w:tc>
          <w:tcPr>
            <w:tcW w:type="dxa" w:w="3024"/>
          </w:tcPr>
          <w:p>
            <w:r>
              <w:rPr>
                <w:rFonts w:ascii="Arial" w:hAnsi="Arial"/>
                <w:b w:val="0"/>
                <w:i w:val="0"/>
                <w:color w:val="000000"/>
                <w:sz w:val="20"/>
              </w:rPr>
              <w:t>480</w:t>
            </w:r>
          </w:p>
        </w:tc>
        <w:tc>
          <w:tcPr>
            <w:tcW w:type="dxa" w:w="3024"/>
          </w:tcPr>
          <w:p>
            <w:r>
              <w:rPr>
                <w:rFonts w:ascii="Arial" w:hAnsi="Arial"/>
                <w:b w:val="0"/>
                <w:i w:val="0"/>
                <w:color w:val="000000"/>
                <w:sz w:val="20"/>
              </w:rPr>
              <w:t>378</w:t>
            </w:r>
          </w:p>
        </w:tc>
      </w:tr>
      <w:tr>
        <w:tc>
          <w:tcPr>
            <w:tcW w:type="dxa" w:w="3024"/>
          </w:tcPr>
          <w:p>
            <w:r>
              <w:rPr>
                <w:rFonts w:ascii="Arial" w:hAnsi="Arial"/>
                <w:b w:val="0"/>
                <w:i w:val="0"/>
                <w:color w:val="000000"/>
                <w:sz w:val="20"/>
              </w:rPr>
              <w:t>SVHC — PBT / vPvB Substances</w:t>
            </w:r>
          </w:p>
        </w:tc>
        <w:tc>
          <w:tcPr>
            <w:tcW w:type="dxa" w:w="3024"/>
          </w:tcPr>
          <w:p>
            <w:r>
              <w:rPr>
                <w:rFonts w:ascii="Arial" w:hAnsi="Arial"/>
                <w:b w:val="0"/>
                <w:i w:val="0"/>
                <w:color w:val="000000"/>
                <w:sz w:val="20"/>
              </w:rPr>
              <w:t>168</w:t>
            </w:r>
          </w:p>
        </w:tc>
        <w:tc>
          <w:tcPr>
            <w:tcW w:type="dxa" w:w="3024"/>
          </w:tcPr>
          <w:p>
            <w:r>
              <w:rPr>
                <w:rFonts w:ascii="Arial" w:hAnsi="Arial"/>
                <w:b w:val="0"/>
                <w:i w:val="0"/>
                <w:color w:val="000000"/>
                <w:sz w:val="20"/>
              </w:rPr>
              <w:t>162</w:t>
            </w:r>
          </w:p>
        </w:tc>
      </w:tr>
      <w:tr>
        <w:tc>
          <w:tcPr>
            <w:tcW w:type="dxa" w:w="3024"/>
          </w:tcPr>
          <w:p>
            <w:r>
              <w:rPr>
                <w:rFonts w:ascii="Arial" w:hAnsi="Arial"/>
                <w:b w:val="0"/>
                <w:i w:val="0"/>
                <w:color w:val="000000"/>
                <w:sz w:val="20"/>
              </w:rPr>
              <w:t>SVHC — Endocrine Disruptors</w:t>
            </w:r>
          </w:p>
        </w:tc>
        <w:tc>
          <w:tcPr>
            <w:tcW w:type="dxa" w:w="3024"/>
          </w:tcPr>
          <w:p>
            <w:r>
              <w:rPr>
                <w:rFonts w:ascii="Arial" w:hAnsi="Arial"/>
                <w:b w:val="0"/>
                <w:i w:val="0"/>
                <w:color w:val="000000"/>
                <w:sz w:val="20"/>
              </w:rPr>
              <w:t>92</w:t>
            </w:r>
          </w:p>
        </w:tc>
        <w:tc>
          <w:tcPr>
            <w:tcW w:type="dxa" w:w="3024"/>
          </w:tcPr>
          <w:p>
            <w:r>
              <w:rPr>
                <w:rFonts w:ascii="Arial" w:hAnsi="Arial"/>
                <w:b w:val="0"/>
                <w:i w:val="0"/>
                <w:color w:val="000000"/>
                <w:sz w:val="20"/>
              </w:rPr>
              <w:t>73</w:t>
            </w:r>
          </w:p>
        </w:tc>
      </w:tr>
      <w:tr>
        <w:tc>
          <w:tcPr>
            <w:tcW w:type="dxa" w:w="3024"/>
          </w:tcPr>
          <w:p>
            <w:r>
              <w:rPr>
                <w:rFonts w:ascii="Arial" w:hAnsi="Arial"/>
                <w:b w:val="0"/>
                <w:i w:val="0"/>
                <w:color w:val="000000"/>
                <w:sz w:val="20"/>
              </w:rPr>
              <w:t>SVHC — Respiratory Sensitisers</w:t>
            </w:r>
          </w:p>
        </w:tc>
        <w:tc>
          <w:tcPr>
            <w:tcW w:type="dxa" w:w="3024"/>
          </w:tcPr>
          <w:p>
            <w:r>
              <w:rPr>
                <w:rFonts w:ascii="Arial" w:hAnsi="Arial"/>
                <w:b w:val="0"/>
                <w:i w:val="0"/>
                <w:color w:val="000000"/>
                <w:sz w:val="20"/>
              </w:rPr>
              <w:t>42</w:t>
            </w:r>
          </w:p>
        </w:tc>
        <w:tc>
          <w:tcPr>
            <w:tcW w:type="dxa" w:w="3024"/>
          </w:tcPr>
          <w:p>
            <w:r>
              <w:rPr>
                <w:rFonts w:ascii="Arial" w:hAnsi="Arial"/>
                <w:b w:val="0"/>
                <w:i w:val="0"/>
                <w:color w:val="000000"/>
                <w:sz w:val="20"/>
              </w:rPr>
              <w:t>12</w:t>
            </w:r>
          </w:p>
        </w:tc>
      </w:tr>
      <w:tr>
        <w:tc>
          <w:tcPr>
            <w:tcW w:type="dxa" w:w="3024"/>
            <w:shd w:val="clear" w:color="auto" w:fill="F3F3F3"/>
          </w:tcPr>
          <w:p>
            <w:r>
              <w:rPr>
                <w:rFonts w:ascii="Arial" w:hAnsi="Arial"/>
                <w:b/>
                <w:i w:val="0"/>
                <w:color w:val="000000"/>
                <w:sz w:val="20"/>
              </w:rPr>
              <w:t>Total SVHC Leaving via Services</w:t>
            </w:r>
          </w:p>
        </w:tc>
        <w:tc>
          <w:tcPr>
            <w:tcW w:type="dxa" w:w="3024"/>
            <w:shd w:val="clear" w:color="auto" w:fill="F3F3F3"/>
          </w:tcPr>
          <w:p>
            <w:r>
              <w:rPr>
                <w:rFonts w:ascii="Arial" w:hAnsi="Arial"/>
                <w:b/>
                <w:i w:val="0"/>
                <w:color w:val="000000"/>
                <w:sz w:val="20"/>
              </w:rPr>
              <w:t>782</w:t>
            </w:r>
          </w:p>
        </w:tc>
        <w:tc>
          <w:tcPr>
            <w:tcW w:type="dxa" w:w="3024"/>
            <w:shd w:val="clear" w:color="auto" w:fill="F3F3F3"/>
          </w:tcPr>
          <w:p>
            <w:r>
              <w:rPr>
                <w:rFonts w:ascii="Arial" w:hAnsi="Arial"/>
                <w:b/>
                <w:i w:val="0"/>
                <w:color w:val="000000"/>
                <w:sz w:val="20"/>
              </w:rPr>
              <w:t>625</w:t>
            </w:r>
          </w:p>
        </w:tc>
      </w:tr>
    </w:tbl>
    <w:p>
      <w:r>
        <w:rPr>
          <w:rFonts w:ascii="Arial" w:hAnsi="Arial"/>
          <w:b w:val="0"/>
          <w:i w:val="0"/>
          <w:color w:val="000000"/>
          <w:sz w:val="22"/>
        </w:rPr>
        <w:t>No other main hazard classes of SVHC outside those listed left facilities via services during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p>
      <w:pPr>
        <w:pStyle w:val="Heading3"/>
      </w:pPr>
      <w:r>
        <w:rPr>
          <w:rFonts w:ascii="Arial" w:hAnsi="Arial"/>
          <w:b/>
          <w:i w:val="0"/>
          <w:color w:val="000000"/>
          <w:sz w:val="22"/>
        </w:rPr>
        <w:t>5.3.10.5  Quantify Total Generated / Used / Procured of Substances of Very High Concern — By Main Hazard Class</w:t>
      </w:r>
    </w:p>
    <w:p>
      <w:r>
        <w:rPr>
          <w:rFonts w:ascii="Arial" w:hAnsi="Arial"/>
          <w:b/>
          <w:i w:val="0"/>
          <w:color w:val="000000"/>
          <w:sz w:val="20"/>
        </w:rPr>
        <w:t>Table 5.3.10.5 — SVHC: Total Generated / Used / Procured (FY 2024 vs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SVHC — Carcinogenic (Category 1A/1B)</w:t>
            </w:r>
          </w:p>
        </w:tc>
        <w:tc>
          <w:tcPr>
            <w:tcW w:type="dxa" w:w="3024"/>
          </w:tcPr>
          <w:p>
            <w:r>
              <w:rPr>
                <w:rFonts w:ascii="Arial" w:hAnsi="Arial"/>
                <w:b w:val="0"/>
                <w:i w:val="0"/>
                <w:color w:val="000000"/>
                <w:sz w:val="20"/>
              </w:rPr>
              <w:t>14,200</w:t>
            </w:r>
          </w:p>
        </w:tc>
        <w:tc>
          <w:tcPr>
            <w:tcW w:type="dxa" w:w="3024"/>
          </w:tcPr>
          <w:p>
            <w:r>
              <w:rPr>
                <w:rFonts w:ascii="Arial" w:hAnsi="Arial"/>
                <w:b w:val="0"/>
                <w:i w:val="0"/>
                <w:color w:val="000000"/>
                <w:sz w:val="20"/>
              </w:rPr>
              <w:t>11,600</w:t>
            </w:r>
          </w:p>
        </w:tc>
      </w:tr>
      <w:tr>
        <w:tc>
          <w:tcPr>
            <w:tcW w:type="dxa" w:w="3024"/>
          </w:tcPr>
          <w:p>
            <w:r>
              <w:rPr>
                <w:rFonts w:ascii="Arial" w:hAnsi="Arial"/>
                <w:b w:val="0"/>
                <w:i w:val="0"/>
                <w:color w:val="000000"/>
                <w:sz w:val="20"/>
              </w:rPr>
              <w:t>SVHC — PBT / vPvB Substances</w:t>
            </w:r>
          </w:p>
        </w:tc>
        <w:tc>
          <w:tcPr>
            <w:tcW w:type="dxa" w:w="3024"/>
          </w:tcPr>
          <w:p>
            <w:r>
              <w:rPr>
                <w:rFonts w:ascii="Arial" w:hAnsi="Arial"/>
                <w:b w:val="0"/>
                <w:i w:val="0"/>
                <w:color w:val="000000"/>
                <w:sz w:val="20"/>
              </w:rPr>
              <w:t>4,800</w:t>
            </w:r>
          </w:p>
        </w:tc>
        <w:tc>
          <w:tcPr>
            <w:tcW w:type="dxa" w:w="3024"/>
          </w:tcPr>
          <w:p>
            <w:r>
              <w:rPr>
                <w:rFonts w:ascii="Arial" w:hAnsi="Arial"/>
                <w:b w:val="0"/>
                <w:i w:val="0"/>
                <w:color w:val="000000"/>
                <w:sz w:val="20"/>
              </w:rPr>
              <w:t>3,900</w:t>
            </w:r>
          </w:p>
        </w:tc>
      </w:tr>
      <w:tr>
        <w:tc>
          <w:tcPr>
            <w:tcW w:type="dxa" w:w="3024"/>
          </w:tcPr>
          <w:p>
            <w:r>
              <w:rPr>
                <w:rFonts w:ascii="Arial" w:hAnsi="Arial"/>
                <w:b w:val="0"/>
                <w:i w:val="0"/>
                <w:color w:val="000000"/>
                <w:sz w:val="20"/>
              </w:rPr>
              <w:t>SVHC — Endocrine Disruptors</w:t>
            </w:r>
          </w:p>
        </w:tc>
        <w:tc>
          <w:tcPr>
            <w:tcW w:type="dxa" w:w="3024"/>
          </w:tcPr>
          <w:p>
            <w:r>
              <w:rPr>
                <w:rFonts w:ascii="Arial" w:hAnsi="Arial"/>
                <w:b w:val="0"/>
                <w:i w:val="0"/>
                <w:color w:val="000000"/>
                <w:sz w:val="20"/>
              </w:rPr>
              <w:t>2,400</w:t>
            </w:r>
          </w:p>
        </w:tc>
        <w:tc>
          <w:tcPr>
            <w:tcW w:type="dxa" w:w="3024"/>
          </w:tcPr>
          <w:p>
            <w:r>
              <w:rPr>
                <w:rFonts w:ascii="Arial" w:hAnsi="Arial"/>
                <w:b w:val="0"/>
                <w:i w:val="0"/>
                <w:color w:val="000000"/>
                <w:sz w:val="20"/>
              </w:rPr>
              <w:t>1,980</w:t>
            </w:r>
          </w:p>
        </w:tc>
      </w:tr>
      <w:tr>
        <w:tc>
          <w:tcPr>
            <w:tcW w:type="dxa" w:w="3024"/>
          </w:tcPr>
          <w:p>
            <w:r>
              <w:rPr>
                <w:rFonts w:ascii="Arial" w:hAnsi="Arial"/>
                <w:b w:val="0"/>
                <w:i w:val="0"/>
                <w:color w:val="000000"/>
                <w:sz w:val="20"/>
              </w:rPr>
              <w:t>SVHC — Respiratory Sensitisers</w:t>
            </w:r>
          </w:p>
        </w:tc>
        <w:tc>
          <w:tcPr>
            <w:tcW w:type="dxa" w:w="3024"/>
          </w:tcPr>
          <w:p>
            <w:r>
              <w:rPr>
                <w:rFonts w:ascii="Arial" w:hAnsi="Arial"/>
                <w:b w:val="0"/>
                <w:i w:val="0"/>
                <w:color w:val="000000"/>
                <w:sz w:val="20"/>
              </w:rPr>
              <w:t>1,100</w:t>
            </w:r>
          </w:p>
        </w:tc>
        <w:tc>
          <w:tcPr>
            <w:tcW w:type="dxa" w:w="3024"/>
          </w:tcPr>
          <w:p>
            <w:r>
              <w:rPr>
                <w:rFonts w:ascii="Arial" w:hAnsi="Arial"/>
                <w:b w:val="0"/>
                <w:i w:val="0"/>
                <w:color w:val="000000"/>
                <w:sz w:val="20"/>
              </w:rPr>
              <w:t>860</w:t>
            </w:r>
          </w:p>
        </w:tc>
      </w:tr>
      <w:tr>
        <w:tc>
          <w:tcPr>
            <w:tcW w:type="dxa" w:w="3024"/>
            <w:shd w:val="clear" w:color="auto" w:fill="F3F3F3"/>
          </w:tcPr>
          <w:p>
            <w:r>
              <w:rPr>
                <w:rFonts w:ascii="Arial" w:hAnsi="Arial"/>
                <w:b/>
                <w:i w:val="0"/>
                <w:color w:val="000000"/>
                <w:sz w:val="20"/>
              </w:rPr>
              <w:t>Total SVHC Generated / Used / Procured</w:t>
            </w:r>
          </w:p>
        </w:tc>
        <w:tc>
          <w:tcPr>
            <w:tcW w:type="dxa" w:w="3024"/>
            <w:shd w:val="clear" w:color="auto" w:fill="F3F3F3"/>
          </w:tcPr>
          <w:p>
            <w:r>
              <w:rPr>
                <w:rFonts w:ascii="Arial" w:hAnsi="Arial"/>
                <w:b/>
                <w:i w:val="0"/>
                <w:color w:val="000000"/>
                <w:sz w:val="20"/>
              </w:rPr>
              <w:t>22,500</w:t>
            </w:r>
          </w:p>
        </w:tc>
        <w:tc>
          <w:tcPr>
            <w:tcW w:type="dxa" w:w="3024"/>
            <w:shd w:val="clear" w:color="auto" w:fill="F3F3F3"/>
          </w:tcPr>
          <w:p>
            <w:r>
              <w:rPr>
                <w:rFonts w:ascii="Arial" w:hAnsi="Arial"/>
                <w:b/>
                <w:i w:val="0"/>
                <w:color w:val="000000"/>
                <w:sz w:val="20"/>
              </w:rPr>
              <w:t>18,340</w:t>
            </w:r>
          </w:p>
        </w:tc>
      </w:tr>
    </w:tbl>
    <w:p>
      <w:r>
        <w:rPr>
          <w:rFonts w:ascii="Arial" w:hAnsi="Arial"/>
          <w:b w:val="0"/>
          <w:i w:val="0"/>
          <w:color w:val="000000"/>
          <w:sz w:val="22"/>
        </w:rPr>
        <w:t>No other main hazard classes of SVHC outside those listed were generated, used, or procured during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p>
      <w:pPr>
        <w:pStyle w:val="Heading3"/>
      </w:pPr>
      <w:r>
        <w:rPr>
          <w:rFonts w:ascii="Arial" w:hAnsi="Arial"/>
          <w:b/>
          <w:i w:val="0"/>
          <w:color w:val="000000"/>
          <w:sz w:val="22"/>
        </w:rPr>
        <w:t>5.3.10.6  Quantify Combined Total Leaving Facilities of Substances of Very High Concern — By Main Hazard Class</w:t>
      </w:r>
    </w:p>
    <w:p>
      <w:r>
        <w:rPr>
          <w:rFonts w:ascii="Arial" w:hAnsi="Arial"/>
          <w:b/>
          <w:i w:val="0"/>
          <w:color w:val="000000"/>
          <w:sz w:val="20"/>
        </w:rPr>
        <w:t>Table 5.3.10.6 — SVHC: Combined Total (Emissions + Products + Part of Products + Services) (FY 2024 vs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Pollutant / Category</w:t>
            </w:r>
          </w:p>
        </w:tc>
        <w:tc>
          <w:tcPr>
            <w:tcW w:type="dxa" w:w="3024"/>
            <w:shd w:val="clear" w:color="auto" w:fill="D9D9D9"/>
          </w:tcPr>
          <w:p>
            <w:r>
              <w:rPr>
                <w:rFonts w:ascii="Arial" w:hAnsi="Arial"/>
                <w:b/>
                <w:i w:val="0"/>
                <w:color w:val="000000"/>
                <w:sz w:val="20"/>
              </w:rPr>
              <w:t>FY 2024 (kg)</w:t>
            </w:r>
          </w:p>
        </w:tc>
        <w:tc>
          <w:tcPr>
            <w:tcW w:type="dxa" w:w="3024"/>
            <w:shd w:val="clear" w:color="auto" w:fill="D9D9D9"/>
          </w:tcPr>
          <w:p>
            <w:r>
              <w:rPr>
                <w:rFonts w:ascii="Arial" w:hAnsi="Arial"/>
                <w:b/>
                <w:i w:val="0"/>
                <w:color w:val="000000"/>
                <w:sz w:val="20"/>
              </w:rPr>
              <w:t>FY 2025 (kg)</w:t>
            </w:r>
          </w:p>
        </w:tc>
      </w:tr>
      <w:tr>
        <w:tc>
          <w:tcPr>
            <w:tcW w:type="dxa" w:w="3024"/>
          </w:tcPr>
          <w:p>
            <w:r>
              <w:rPr>
                <w:rFonts w:ascii="Arial" w:hAnsi="Arial"/>
                <w:b w:val="0"/>
                <w:i w:val="0"/>
                <w:color w:val="000000"/>
                <w:sz w:val="20"/>
              </w:rPr>
              <w:t>SVHC — Carcinogenic (Category 1A/1B)</w:t>
            </w:r>
          </w:p>
        </w:tc>
        <w:tc>
          <w:tcPr>
            <w:tcW w:type="dxa" w:w="3024"/>
          </w:tcPr>
          <w:p>
            <w:r>
              <w:rPr>
                <w:rFonts w:ascii="Arial" w:hAnsi="Arial"/>
                <w:b w:val="0"/>
                <w:i w:val="0"/>
                <w:color w:val="000000"/>
                <w:sz w:val="20"/>
              </w:rPr>
              <w:t>8,760</w:t>
            </w:r>
          </w:p>
        </w:tc>
        <w:tc>
          <w:tcPr>
            <w:tcW w:type="dxa" w:w="3024"/>
          </w:tcPr>
          <w:p>
            <w:r>
              <w:rPr>
                <w:rFonts w:ascii="Arial" w:hAnsi="Arial"/>
                <w:b w:val="0"/>
                <w:i w:val="0"/>
                <w:color w:val="000000"/>
                <w:sz w:val="20"/>
              </w:rPr>
              <w:t>7,200</w:t>
            </w:r>
          </w:p>
        </w:tc>
      </w:tr>
      <w:tr>
        <w:tc>
          <w:tcPr>
            <w:tcW w:type="dxa" w:w="3024"/>
          </w:tcPr>
          <w:p>
            <w:r>
              <w:rPr>
                <w:rFonts w:ascii="Arial" w:hAnsi="Arial"/>
                <w:b w:val="0"/>
                <w:i w:val="0"/>
                <w:color w:val="000000"/>
                <w:sz w:val="20"/>
              </w:rPr>
              <w:t>SVHC — PBT / vPvB Substances</w:t>
            </w:r>
          </w:p>
        </w:tc>
        <w:tc>
          <w:tcPr>
            <w:tcW w:type="dxa" w:w="3024"/>
          </w:tcPr>
          <w:p>
            <w:r>
              <w:rPr>
                <w:rFonts w:ascii="Arial" w:hAnsi="Arial"/>
                <w:b w:val="0"/>
                <w:i w:val="0"/>
                <w:color w:val="000000"/>
                <w:sz w:val="20"/>
              </w:rPr>
              <w:t>2,910</w:t>
            </w:r>
          </w:p>
        </w:tc>
        <w:tc>
          <w:tcPr>
            <w:tcW w:type="dxa" w:w="3024"/>
          </w:tcPr>
          <w:p>
            <w:r>
              <w:rPr>
                <w:rFonts w:ascii="Arial" w:hAnsi="Arial"/>
                <w:b w:val="0"/>
                <w:i w:val="0"/>
                <w:color w:val="000000"/>
                <w:sz w:val="20"/>
              </w:rPr>
              <w:t>2,368</w:t>
            </w:r>
          </w:p>
        </w:tc>
      </w:tr>
      <w:tr>
        <w:tc>
          <w:tcPr>
            <w:tcW w:type="dxa" w:w="3024"/>
          </w:tcPr>
          <w:p>
            <w:r>
              <w:rPr>
                <w:rFonts w:ascii="Arial" w:hAnsi="Arial"/>
                <w:b w:val="0"/>
                <w:i w:val="0"/>
                <w:color w:val="000000"/>
                <w:sz w:val="20"/>
              </w:rPr>
              <w:t>SVHC — Endocrine Disruptors</w:t>
            </w:r>
          </w:p>
        </w:tc>
        <w:tc>
          <w:tcPr>
            <w:tcW w:type="dxa" w:w="3024"/>
          </w:tcPr>
          <w:p>
            <w:r>
              <w:rPr>
                <w:rFonts w:ascii="Arial" w:hAnsi="Arial"/>
                <w:b w:val="0"/>
                <w:i w:val="0"/>
                <w:color w:val="000000"/>
                <w:sz w:val="20"/>
              </w:rPr>
              <w:t>1,380</w:t>
            </w:r>
          </w:p>
        </w:tc>
        <w:tc>
          <w:tcPr>
            <w:tcW w:type="dxa" w:w="3024"/>
          </w:tcPr>
          <w:p>
            <w:r>
              <w:rPr>
                <w:rFonts w:ascii="Arial" w:hAnsi="Arial"/>
                <w:b w:val="0"/>
                <w:i w:val="0"/>
                <w:color w:val="000000"/>
                <w:sz w:val="20"/>
              </w:rPr>
              <w:t>1,082</w:t>
            </w:r>
          </w:p>
        </w:tc>
      </w:tr>
      <w:tr>
        <w:tc>
          <w:tcPr>
            <w:tcW w:type="dxa" w:w="3024"/>
          </w:tcPr>
          <w:p>
            <w:r>
              <w:rPr>
                <w:rFonts w:ascii="Arial" w:hAnsi="Arial"/>
                <w:b w:val="0"/>
                <w:i w:val="0"/>
                <w:color w:val="000000"/>
                <w:sz w:val="20"/>
              </w:rPr>
              <w:t>SVHC — Respiratory Sensitisers</w:t>
            </w:r>
          </w:p>
        </w:tc>
        <w:tc>
          <w:tcPr>
            <w:tcW w:type="dxa" w:w="3024"/>
          </w:tcPr>
          <w:p>
            <w:r>
              <w:rPr>
                <w:rFonts w:ascii="Arial" w:hAnsi="Arial"/>
                <w:b w:val="0"/>
                <w:i w:val="0"/>
                <w:color w:val="000000"/>
                <w:sz w:val="20"/>
              </w:rPr>
              <w:t>603</w:t>
            </w:r>
          </w:p>
        </w:tc>
        <w:tc>
          <w:tcPr>
            <w:tcW w:type="dxa" w:w="3024"/>
          </w:tcPr>
          <w:p>
            <w:r>
              <w:rPr>
                <w:rFonts w:ascii="Arial" w:hAnsi="Arial"/>
                <w:b w:val="0"/>
                <w:i w:val="0"/>
                <w:color w:val="000000"/>
                <w:sz w:val="20"/>
              </w:rPr>
              <w:t>441</w:t>
            </w:r>
          </w:p>
        </w:tc>
      </w:tr>
      <w:tr>
        <w:tc>
          <w:tcPr>
            <w:tcW w:type="dxa" w:w="3024"/>
            <w:shd w:val="clear" w:color="auto" w:fill="F3F3F3"/>
          </w:tcPr>
          <w:p>
            <w:r>
              <w:rPr>
                <w:rFonts w:ascii="Arial" w:hAnsi="Arial"/>
                <w:b/>
                <w:i w:val="0"/>
                <w:color w:val="000000"/>
                <w:sz w:val="20"/>
              </w:rPr>
              <w:t>Total SVHC Leaving Facilities — Combined</w:t>
            </w:r>
          </w:p>
        </w:tc>
        <w:tc>
          <w:tcPr>
            <w:tcW w:type="dxa" w:w="3024"/>
            <w:shd w:val="clear" w:color="auto" w:fill="F3F3F3"/>
          </w:tcPr>
          <w:p>
            <w:r>
              <w:rPr>
                <w:rFonts w:ascii="Arial" w:hAnsi="Arial"/>
                <w:b/>
                <w:i w:val="0"/>
                <w:color w:val="000000"/>
                <w:sz w:val="20"/>
              </w:rPr>
              <w:t>13,653</w:t>
            </w:r>
          </w:p>
        </w:tc>
        <w:tc>
          <w:tcPr>
            <w:tcW w:type="dxa" w:w="3024"/>
            <w:shd w:val="clear" w:color="auto" w:fill="F3F3F3"/>
          </w:tcPr>
          <w:p>
            <w:r>
              <w:rPr>
                <w:rFonts w:ascii="Arial" w:hAnsi="Arial"/>
                <w:b/>
                <w:i w:val="0"/>
                <w:color w:val="000000"/>
                <w:sz w:val="20"/>
              </w:rPr>
              <w:t>11,091</w:t>
            </w:r>
          </w:p>
        </w:tc>
      </w:tr>
    </w:tbl>
    <w:p>
      <w:r>
        <w:rPr>
          <w:rFonts w:ascii="Arial" w:hAnsi="Arial"/>
          <w:b w:val="0"/>
          <w:i w:val="0"/>
          <w:color w:val="000000"/>
          <w:sz w:val="22"/>
        </w:rPr>
        <w:t>No other main hazard classes of SVHC outside those listed have been identified during FY 2025.</w:t>
      </w:r>
      <w:r>
        <w:rPr>
          <w:rFonts w:ascii="Arial" w:hAnsi="Arial"/>
          <w:b w:val="0"/>
          <w:i w:val="0"/>
          <w:color w:val="000000"/>
          <w:sz w:val="18"/>
        </w:rPr>
        <w:t xml:space="preserve"> [</w:t>
      </w:r>
      <w:r>
        <w:rPr>
          <w:rFonts w:ascii="Arial" w:hAnsi="Arial"/>
          <w:b w:val="0"/>
          <w:i w:val="0"/>
          <w:color w:val="00B050"/>
          <w:sz w:val="18"/>
        </w:rPr>
        <w:t>ESRS E2-5-35</w:t>
      </w:r>
      <w:r>
        <w:rPr>
          <w:rFonts w:ascii="Arial" w:hAnsi="Arial"/>
          <w:b w:val="0"/>
          <w:i w:val="0"/>
          <w:color w:val="000000"/>
          <w:sz w:val="18"/>
        </w:rPr>
        <w:t>]</w:t>
      </w:r>
    </w:p>
    <w:p>
      <w:pPr>
        <w:pStyle w:val="Heading2"/>
      </w:pPr>
      <w:r>
        <w:rPr>
          <w:rFonts w:ascii="Arial" w:hAnsi="Arial"/>
          <w:b/>
          <w:i w:val="0"/>
          <w:color w:val="000000"/>
          <w:sz w:val="26"/>
        </w:rPr>
        <w:t>5.3.11  Anticipated Financial Effects from Material Pollution-Related Risks and Opportunities</w:t>
      </w:r>
    </w:p>
    <w:p>
      <w:r>
        <w:rPr>
          <w:rFonts w:ascii="Arial" w:hAnsi="Arial"/>
          <w:b w:val="0"/>
          <w:i w:val="0"/>
          <w:color w:val="00B050"/>
          <w:sz w:val="18"/>
        </w:rPr>
        <w:t>ESRS E2-6</w:t>
      </w:r>
      <w:r>
        <w:rPr>
          <w:rFonts w:ascii="Arial" w:hAnsi="Arial"/>
          <w:b w:val="0"/>
          <w:i w:val="0"/>
          <w:color w:val="000000"/>
          <w:sz w:val="18"/>
        </w:rPr>
        <w:t xml:space="preserve"> | </w:t>
      </w:r>
      <w:r>
        <w:rPr>
          <w:rFonts w:ascii="Arial" w:hAnsi="Arial"/>
          <w:b w:val="0"/>
          <w:i w:val="0"/>
          <w:color w:val="00B050"/>
          <w:sz w:val="18"/>
        </w:rPr>
        <w:t>ESRS E2-6-39</w:t>
      </w:r>
      <w:r>
        <w:rPr>
          <w:rFonts w:ascii="Arial" w:hAnsi="Arial"/>
          <w:b w:val="0"/>
          <w:i w:val="0"/>
          <w:color w:val="000000"/>
          <w:sz w:val="18"/>
        </w:rPr>
        <w:t xml:space="preserve"> | </w:t>
      </w:r>
      <w:r>
        <w:rPr>
          <w:rFonts w:ascii="Arial" w:hAnsi="Arial"/>
          <w:b w:val="0"/>
          <w:i w:val="0"/>
          <w:color w:val="00B050"/>
          <w:sz w:val="18"/>
        </w:rPr>
        <w:t>ESRS E2-6-40</w:t>
      </w:r>
      <w:r>
        <w:rPr>
          <w:rFonts w:ascii="Arial" w:hAnsi="Arial"/>
          <w:b w:val="0"/>
          <w:i w:val="0"/>
          <w:color w:val="000000"/>
          <w:sz w:val="18"/>
        </w:rPr>
        <w:t xml:space="preserve"> | </w:t>
      </w:r>
      <w:r>
        <w:rPr>
          <w:rFonts w:ascii="Arial" w:hAnsi="Arial"/>
          <w:b w:val="0"/>
          <w:i w:val="0"/>
          <w:color w:val="00B050"/>
          <w:sz w:val="18"/>
        </w:rPr>
        <w:t>ESRS E2-6-41</w:t>
      </w:r>
      <w:r>
        <w:rPr>
          <w:rFonts w:ascii="Arial" w:hAnsi="Arial"/>
          <w:b w:val="0"/>
          <w:i w:val="0"/>
          <w:color w:val="000000"/>
          <w:sz w:val="18"/>
        </w:rPr>
        <w:t xml:space="preserve"> | </w:t>
      </w:r>
      <w:r>
        <w:rPr>
          <w:rFonts w:ascii="Arial" w:hAnsi="Arial"/>
          <w:b w:val="0"/>
          <w:i w:val="0"/>
          <w:color w:val="00B050"/>
          <w:sz w:val="18"/>
        </w:rPr>
        <w:t>ESRS E2-6-AR-31</w:t>
      </w:r>
      <w:r>
        <w:rPr>
          <w:rFonts w:ascii="Arial" w:hAnsi="Arial"/>
          <w:b w:val="0"/>
          <w:i w:val="0"/>
          <w:color w:val="000000"/>
          <w:sz w:val="18"/>
        </w:rPr>
        <w:t xml:space="preserve"> | </w:t>
      </w:r>
      <w:r>
        <w:rPr>
          <w:rFonts w:ascii="Arial" w:hAnsi="Arial"/>
          <w:b w:val="0"/>
          <w:i w:val="0"/>
          <w:color w:val="00B050"/>
          <w:sz w:val="18"/>
        </w:rPr>
        <w:t>ESRS E2-6-AR-33</w:t>
      </w:r>
    </w:p>
    <w:p>
      <w:pPr>
        <w:pStyle w:val="Heading3"/>
      </w:pPr>
      <w:r>
        <w:rPr>
          <w:rFonts w:ascii="Arial" w:hAnsi="Arial"/>
          <w:b/>
          <w:i w:val="0"/>
          <w:color w:val="000000"/>
          <w:sz w:val="22"/>
        </w:rPr>
        <w:t>5.3.11.1  Quantify Anticipated Financial Effects — Material Pollution-Related Risks and Opportunities</w:t>
      </w:r>
    </w:p>
    <w:p>
      <w:r>
        <w:rPr>
          <w:rFonts w:ascii="Arial" w:hAnsi="Arial"/>
          <w:b/>
          <w:i w:val="0"/>
          <w:color w:val="000000"/>
          <w:sz w:val="20"/>
        </w:rPr>
        <w:t>Table 5.3.11.1 — Quantitative Anticipated Financial Effects: Pollution-Related Risks and Opportunities — FY 2025</w:t>
      </w:r>
      <w:r>
        <w:rPr>
          <w:rFonts w:ascii="Arial" w:hAnsi="Arial"/>
          <w:b w:val="0"/>
          <w:i w:val="0"/>
          <w:color w:val="000000"/>
          <w:sz w:val="18"/>
        </w:rPr>
        <w:t xml:space="preserve"> [</w:t>
      </w:r>
      <w:r>
        <w:rPr>
          <w:rFonts w:ascii="Arial" w:hAnsi="Arial"/>
          <w:b w:val="0"/>
          <w:i w:val="0"/>
          <w:color w:val="00B050"/>
          <w:sz w:val="18"/>
        </w:rPr>
        <w:t>ESRS E2-6-40-(a)</w:t>
      </w:r>
      <w:r>
        <w:rPr>
          <w:rFonts w:ascii="Arial" w:hAnsi="Arial"/>
          <w:b w:val="0"/>
          <w:i w:val="0"/>
          <w:color w:val="000000"/>
          <w:sz w:val="18"/>
        </w:rPr>
        <w:t>]</w:t>
      </w:r>
    </w:p>
    <w:tbl>
      <w:tblPr>
        <w:tblStyle w:val="TableGrid"/>
        <w:tblW w:type="auto" w:w="0"/>
        <w:tblLook w:firstColumn="1" w:firstRow="1" w:lastColumn="0" w:lastRow="0" w:noHBand="0" w:noVBand="1" w:val="04A0"/>
      </w:tblPr>
      <w:tblGrid>
        <w:gridCol w:w="4536"/>
        <w:gridCol w:w="4536"/>
      </w:tblGrid>
      <w:tr>
        <w:tc>
          <w:tcPr>
            <w:tcW w:type="dxa" w:w="4536"/>
            <w:shd w:val="clear" w:color="auto" w:fill="D9D9D9"/>
          </w:tcPr>
          <w:p>
            <w:r>
              <w:rPr>
                <w:rFonts w:ascii="Arial" w:hAnsi="Arial"/>
                <w:b/>
                <w:i w:val="0"/>
                <w:color w:val="000000"/>
                <w:sz w:val="20"/>
              </w:rPr>
              <w:t>Financial Effect Category</w:t>
            </w:r>
          </w:p>
        </w:tc>
        <w:tc>
          <w:tcPr>
            <w:tcW w:type="dxa" w:w="4536"/>
            <w:shd w:val="clear" w:color="auto" w:fill="D9D9D9"/>
          </w:tcPr>
          <w:p>
            <w:r>
              <w:rPr>
                <w:rFonts w:ascii="Arial" w:hAnsi="Arial"/>
                <w:b/>
                <w:i w:val="0"/>
                <w:color w:val="000000"/>
                <w:sz w:val="20"/>
              </w:rPr>
              <w:t>FY 2025 Data (USD '000)</w:t>
            </w:r>
          </w:p>
        </w:tc>
      </w:tr>
      <w:tr>
        <w:tc>
          <w:tcPr>
            <w:tcW w:type="dxa" w:w="4536"/>
          </w:tcPr>
          <w:p>
            <w:r>
              <w:rPr>
                <w:rFonts w:ascii="Arial" w:hAnsi="Arial"/>
                <w:b w:val="0"/>
                <w:i w:val="0"/>
                <w:color w:val="000000"/>
                <w:sz w:val="20"/>
              </w:rPr>
              <w:t>Regulatory Non-Compliance Risks (fines and penalties)</w:t>
            </w:r>
          </w:p>
        </w:tc>
        <w:tc>
          <w:tcPr>
            <w:tcW w:type="dxa" w:w="4536"/>
          </w:tcPr>
          <w:p>
            <w:r>
              <w:rPr>
                <w:rFonts w:ascii="Arial" w:hAnsi="Arial"/>
                <w:b w:val="0"/>
                <w:i w:val="0"/>
                <w:color w:val="000000"/>
                <w:sz w:val="20"/>
              </w:rPr>
              <w:t>2,840</w:t>
            </w:r>
          </w:p>
        </w:tc>
      </w:tr>
      <w:tr>
        <w:tc>
          <w:tcPr>
            <w:tcW w:type="dxa" w:w="4536"/>
          </w:tcPr>
          <w:p>
            <w:r>
              <w:rPr>
                <w:rFonts w:ascii="Arial" w:hAnsi="Arial"/>
                <w:b w:val="0"/>
                <w:i w:val="0"/>
                <w:color w:val="000000"/>
                <w:sz w:val="20"/>
              </w:rPr>
              <w:t>Environmental Remediation and Clean-Up Cost Risks</w:t>
            </w:r>
          </w:p>
        </w:tc>
        <w:tc>
          <w:tcPr>
            <w:tcW w:type="dxa" w:w="4536"/>
          </w:tcPr>
          <w:p>
            <w:r>
              <w:rPr>
                <w:rFonts w:ascii="Arial" w:hAnsi="Arial"/>
                <w:b w:val="0"/>
                <w:i w:val="0"/>
                <w:color w:val="000000"/>
                <w:sz w:val="20"/>
              </w:rPr>
              <w:t>14,200</w:t>
            </w:r>
          </w:p>
        </w:tc>
      </w:tr>
      <w:tr>
        <w:tc>
          <w:tcPr>
            <w:tcW w:type="dxa" w:w="4536"/>
          </w:tcPr>
          <w:p>
            <w:r>
              <w:rPr>
                <w:rFonts w:ascii="Arial" w:hAnsi="Arial"/>
                <w:b w:val="0"/>
                <w:i w:val="0"/>
                <w:color w:val="000000"/>
                <w:sz w:val="20"/>
              </w:rPr>
              <w:t>Stranded Asset Risks from Tightening Pollution Regulation</w:t>
            </w:r>
          </w:p>
        </w:tc>
        <w:tc>
          <w:tcPr>
            <w:tcW w:type="dxa" w:w="4536"/>
          </w:tcPr>
          <w:p>
            <w:r>
              <w:rPr>
                <w:rFonts w:ascii="Arial" w:hAnsi="Arial"/>
                <w:b w:val="0"/>
                <w:i w:val="0"/>
                <w:color w:val="000000"/>
                <w:sz w:val="20"/>
              </w:rPr>
              <w:t>8,600</w:t>
            </w:r>
          </w:p>
        </w:tc>
      </w:tr>
      <w:tr>
        <w:tc>
          <w:tcPr>
            <w:tcW w:type="dxa" w:w="4536"/>
          </w:tcPr>
          <w:p>
            <w:r>
              <w:rPr>
                <w:rFonts w:ascii="Arial" w:hAnsi="Arial"/>
                <w:b w:val="0"/>
                <w:i w:val="0"/>
                <w:color w:val="000000"/>
                <w:sz w:val="20"/>
              </w:rPr>
              <w:t>Opportunities: Pollution Abatement Product/Service Revenues</w:t>
            </w:r>
          </w:p>
        </w:tc>
        <w:tc>
          <w:tcPr>
            <w:tcW w:type="dxa" w:w="4536"/>
          </w:tcPr>
          <w:p>
            <w:r>
              <w:rPr>
                <w:rFonts w:ascii="Arial" w:hAnsi="Arial"/>
                <w:b w:val="0"/>
                <w:i w:val="0"/>
                <w:color w:val="000000"/>
                <w:sz w:val="20"/>
              </w:rPr>
              <w:t>(6,400)</w:t>
            </w:r>
          </w:p>
        </w:tc>
      </w:tr>
      <w:tr>
        <w:tc>
          <w:tcPr>
            <w:tcW w:type="dxa" w:w="4536"/>
          </w:tcPr>
          <w:p>
            <w:r>
              <w:rPr>
                <w:rFonts w:ascii="Arial" w:hAnsi="Arial"/>
                <w:b w:val="0"/>
                <w:i w:val="0"/>
                <w:color w:val="000000"/>
                <w:sz w:val="20"/>
              </w:rPr>
              <w:t>Opportunities: Emission Reduction Technology Licensing Revenue</w:t>
            </w:r>
          </w:p>
        </w:tc>
        <w:tc>
          <w:tcPr>
            <w:tcW w:type="dxa" w:w="4536"/>
          </w:tcPr>
          <w:p>
            <w:r>
              <w:rPr>
                <w:rFonts w:ascii="Arial" w:hAnsi="Arial"/>
                <w:b w:val="0"/>
                <w:i w:val="0"/>
                <w:color w:val="000000"/>
                <w:sz w:val="20"/>
              </w:rPr>
              <w:t>(1,800)</w:t>
            </w:r>
          </w:p>
        </w:tc>
      </w:tr>
      <w:tr>
        <w:tc>
          <w:tcPr>
            <w:tcW w:type="dxa" w:w="4536"/>
            <w:shd w:val="clear" w:color="auto" w:fill="F3F3F3"/>
          </w:tcPr>
          <w:p>
            <w:r>
              <w:rPr>
                <w:rFonts w:ascii="Arial" w:hAnsi="Arial"/>
                <w:b/>
                <w:i w:val="0"/>
                <w:color w:val="000000"/>
                <w:sz w:val="20"/>
              </w:rPr>
              <w:t>Net Anticipated Financial Effect (Risks less Opportunities)</w:t>
            </w:r>
          </w:p>
        </w:tc>
        <w:tc>
          <w:tcPr>
            <w:tcW w:type="dxa" w:w="4536"/>
            <w:shd w:val="clear" w:color="auto" w:fill="F3F3F3"/>
          </w:tcPr>
          <w:p>
            <w:r>
              <w:rPr>
                <w:rFonts w:ascii="Arial" w:hAnsi="Arial"/>
                <w:b/>
                <w:i w:val="0"/>
                <w:color w:val="000000"/>
                <w:sz w:val="20"/>
              </w:rPr>
              <w:t>17,440</w:t>
            </w:r>
          </w:p>
        </w:tc>
      </w:tr>
    </w:tbl>
    <w:p>
      <w:pPr>
        <w:pStyle w:val="Heading3"/>
      </w:pPr>
      <w:r>
        <w:rPr>
          <w:rFonts w:ascii="Arial" w:hAnsi="Arial"/>
          <w:b/>
          <w:i w:val="0"/>
          <w:color w:val="000000"/>
          <w:sz w:val="22"/>
        </w:rPr>
        <w:t>5.3.11.2  Quantify Net Revenue from Products and Services Containing Substances of Concern or Very High Concern — FY 2025</w:t>
      </w:r>
    </w:p>
    <w:p>
      <w:r>
        <w:rPr>
          <w:rFonts w:ascii="Arial" w:hAnsi="Arial"/>
          <w:b/>
          <w:i w:val="0"/>
          <w:color w:val="000000"/>
          <w:sz w:val="20"/>
        </w:rPr>
        <w:t>Table 5.3.11.2 — Net Revenue from Products/Services Containing SoC or SVHC — FY 2025</w:t>
      </w:r>
      <w:r>
        <w:rPr>
          <w:rFonts w:ascii="Arial" w:hAnsi="Arial"/>
          <w:b w:val="0"/>
          <w:i w:val="0"/>
          <w:color w:val="000000"/>
          <w:sz w:val="18"/>
        </w:rPr>
        <w:t xml:space="preserve"> [</w:t>
      </w:r>
      <w:r>
        <w:rPr>
          <w:rFonts w:ascii="Arial" w:hAnsi="Arial"/>
          <w:b w:val="0"/>
          <w:i w:val="0"/>
          <w:color w:val="00B050"/>
          <w:sz w:val="18"/>
        </w:rPr>
        <w:t>ESRS E2-6-40-(a)</w:t>
      </w:r>
      <w:r>
        <w:rPr>
          <w:rFonts w:ascii="Arial" w:hAnsi="Arial"/>
          <w:b w:val="0"/>
          <w:i w:val="0"/>
          <w:color w:val="000000"/>
          <w:sz w:val="18"/>
        </w:rPr>
        <w: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9D9D9"/>
          </w:tcPr>
          <w:p>
            <w:r>
              <w:rPr>
                <w:rFonts w:ascii="Arial" w:hAnsi="Arial"/>
                <w:b/>
                <w:i w:val="0"/>
                <w:color w:val="000000"/>
                <w:sz w:val="20"/>
              </w:rPr>
              <w:t>Revenue Category</w:t>
            </w:r>
          </w:p>
        </w:tc>
        <w:tc>
          <w:tcPr>
            <w:tcW w:type="dxa" w:w="3024"/>
            <w:shd w:val="clear" w:color="auto" w:fill="D9D9D9"/>
          </w:tcPr>
          <w:p>
            <w:r>
              <w:rPr>
                <w:rFonts w:ascii="Arial" w:hAnsi="Arial"/>
                <w:b/>
                <w:i w:val="0"/>
                <w:color w:val="000000"/>
                <w:sz w:val="20"/>
              </w:rPr>
              <w:t>Net Revenue (USD '000)</w:t>
            </w:r>
          </w:p>
        </w:tc>
        <w:tc>
          <w:tcPr>
            <w:tcW w:type="dxa" w:w="3024"/>
            <w:shd w:val="clear" w:color="auto" w:fill="D9D9D9"/>
          </w:tcPr>
          <w:p>
            <w:r>
              <w:rPr>
                <w:rFonts w:ascii="Arial" w:hAnsi="Arial"/>
                <w:b/>
                <w:i w:val="0"/>
                <w:color w:val="000000"/>
                <w:sz w:val="20"/>
              </w:rPr>
              <w:t>% of Total Net Revenue</w:t>
            </w:r>
          </w:p>
        </w:tc>
      </w:tr>
      <w:tr>
        <w:tc>
          <w:tcPr>
            <w:tcW w:type="dxa" w:w="3024"/>
          </w:tcPr>
          <w:p>
            <w:r>
              <w:rPr>
                <w:rFonts w:ascii="Arial" w:hAnsi="Arial"/>
                <w:b w:val="0"/>
                <w:i w:val="0"/>
                <w:color w:val="000000"/>
                <w:sz w:val="20"/>
              </w:rPr>
              <w:t>Products / Services Containing SoC</w:t>
            </w:r>
          </w:p>
        </w:tc>
        <w:tc>
          <w:tcPr>
            <w:tcW w:type="dxa" w:w="3024"/>
          </w:tcPr>
          <w:p>
            <w:r>
              <w:rPr>
                <w:rFonts w:ascii="Arial" w:hAnsi="Arial"/>
                <w:b w:val="0"/>
                <w:i w:val="0"/>
                <w:color w:val="000000"/>
                <w:sz w:val="20"/>
              </w:rPr>
              <w:t>184,600</w:t>
            </w:r>
          </w:p>
        </w:tc>
        <w:tc>
          <w:tcPr>
            <w:tcW w:type="dxa" w:w="3024"/>
          </w:tcPr>
          <w:p>
            <w:r>
              <w:rPr>
                <w:rFonts w:ascii="Arial" w:hAnsi="Arial"/>
                <w:b w:val="0"/>
                <w:i w:val="0"/>
                <w:color w:val="000000"/>
                <w:sz w:val="20"/>
              </w:rPr>
              <w:t>12.4%</w:t>
            </w:r>
          </w:p>
        </w:tc>
      </w:tr>
      <w:tr>
        <w:tc>
          <w:tcPr>
            <w:tcW w:type="dxa" w:w="3024"/>
          </w:tcPr>
          <w:p>
            <w:r>
              <w:rPr>
                <w:rFonts w:ascii="Arial" w:hAnsi="Arial"/>
                <w:b w:val="0"/>
                <w:i w:val="0"/>
                <w:color w:val="000000"/>
                <w:sz w:val="20"/>
              </w:rPr>
              <w:t>Products / Services Containing SVHC</w:t>
            </w:r>
          </w:p>
        </w:tc>
        <w:tc>
          <w:tcPr>
            <w:tcW w:type="dxa" w:w="3024"/>
          </w:tcPr>
          <w:p>
            <w:r>
              <w:rPr>
                <w:rFonts w:ascii="Arial" w:hAnsi="Arial"/>
                <w:b w:val="0"/>
                <w:i w:val="0"/>
                <w:color w:val="000000"/>
                <w:sz w:val="20"/>
              </w:rPr>
              <w:t>47,200</w:t>
            </w:r>
          </w:p>
        </w:tc>
        <w:tc>
          <w:tcPr>
            <w:tcW w:type="dxa" w:w="3024"/>
          </w:tcPr>
          <w:p>
            <w:r>
              <w:rPr>
                <w:rFonts w:ascii="Arial" w:hAnsi="Arial"/>
                <w:b w:val="0"/>
                <w:i w:val="0"/>
                <w:color w:val="000000"/>
                <w:sz w:val="20"/>
              </w:rPr>
              <w:t>3.2%</w:t>
            </w:r>
          </w:p>
        </w:tc>
      </w:tr>
      <w:tr>
        <w:tc>
          <w:tcPr>
            <w:tcW w:type="dxa" w:w="3024"/>
          </w:tcPr>
          <w:p>
            <w:r>
              <w:rPr>
                <w:rFonts w:ascii="Arial" w:hAnsi="Arial"/>
                <w:b w:val="0"/>
                <w:i w:val="0"/>
                <w:color w:val="000000"/>
                <w:sz w:val="20"/>
              </w:rPr>
              <w:t>Products / Services Containing Both SoC and SVHC</w:t>
            </w:r>
          </w:p>
        </w:tc>
        <w:tc>
          <w:tcPr>
            <w:tcW w:type="dxa" w:w="3024"/>
          </w:tcPr>
          <w:p>
            <w:r>
              <w:rPr>
                <w:rFonts w:ascii="Arial" w:hAnsi="Arial"/>
                <w:b w:val="0"/>
                <w:i w:val="0"/>
                <w:color w:val="000000"/>
                <w:sz w:val="20"/>
              </w:rPr>
              <w:t>22,400</w:t>
            </w:r>
          </w:p>
        </w:tc>
        <w:tc>
          <w:tcPr>
            <w:tcW w:type="dxa" w:w="3024"/>
          </w:tcPr>
          <w:p>
            <w:r>
              <w:rPr>
                <w:rFonts w:ascii="Arial" w:hAnsi="Arial"/>
                <w:b w:val="0"/>
                <w:i w:val="0"/>
                <w:color w:val="000000"/>
                <w:sz w:val="20"/>
              </w:rPr>
              <w:t>1.5%</w:t>
            </w:r>
          </w:p>
        </w:tc>
      </w:tr>
      <w:tr>
        <w:tc>
          <w:tcPr>
            <w:tcW w:type="dxa" w:w="3024"/>
            <w:shd w:val="clear" w:color="auto" w:fill="F3F3F3"/>
          </w:tcPr>
          <w:p>
            <w:r>
              <w:rPr>
                <w:rFonts w:ascii="Arial" w:hAnsi="Arial"/>
                <w:b/>
                <w:i w:val="0"/>
                <w:color w:val="000000"/>
                <w:sz w:val="20"/>
              </w:rPr>
              <w:t>Total Revenue from SoC / SVHC Products / Services</w:t>
            </w:r>
          </w:p>
        </w:tc>
        <w:tc>
          <w:tcPr>
            <w:tcW w:type="dxa" w:w="3024"/>
            <w:shd w:val="clear" w:color="auto" w:fill="F3F3F3"/>
          </w:tcPr>
          <w:p>
            <w:r>
              <w:rPr>
                <w:rFonts w:ascii="Arial" w:hAnsi="Arial"/>
                <w:b/>
                <w:i w:val="0"/>
                <w:color w:val="000000"/>
                <w:sz w:val="20"/>
              </w:rPr>
              <w:t>254,200</w:t>
            </w:r>
          </w:p>
        </w:tc>
        <w:tc>
          <w:tcPr>
            <w:tcW w:type="dxa" w:w="3024"/>
            <w:shd w:val="clear" w:color="auto" w:fill="F3F3F3"/>
          </w:tcPr>
          <w:p>
            <w:r>
              <w:rPr>
                <w:rFonts w:ascii="Arial" w:hAnsi="Arial"/>
                <w:b/>
                <w:i w:val="0"/>
                <w:color w:val="000000"/>
                <w:sz w:val="20"/>
              </w:rPr>
              <w:t>17.1%</w:t>
            </w:r>
          </w:p>
        </w:tc>
      </w:tr>
    </w:tbl>
    <w:p>
      <w:pPr>
        <w:pStyle w:val="Heading3"/>
      </w:pPr>
      <w:r>
        <w:rPr>
          <w:rFonts w:ascii="Arial" w:hAnsi="Arial"/>
          <w:b/>
          <w:i w:val="0"/>
          <w:color w:val="000000"/>
          <w:sz w:val="22"/>
        </w:rPr>
        <w:t>5.3.11.3  Quantify Operating and Capital Expenditure in Conjunction with Major Pollution Incidents and Deposits, and Provisions for Environmental Protection and Remediation Costs — FY 2025</w:t>
      </w:r>
    </w:p>
    <w:p>
      <w:r>
        <w:rPr>
          <w:rFonts w:ascii="Arial" w:hAnsi="Arial"/>
          <w:b/>
          <w:i w:val="0"/>
          <w:color w:val="000000"/>
          <w:sz w:val="20"/>
        </w:rPr>
        <w:t>Table 5.3.11.3 — OpEx, CapEx and Provisions: Major Incidents, Deposits and Remediation — FY 2025</w:t>
      </w:r>
      <w:r>
        <w:rPr>
          <w:rFonts w:ascii="Arial" w:hAnsi="Arial"/>
          <w:b w:val="0"/>
          <w:i w:val="0"/>
          <w:color w:val="000000"/>
          <w:sz w:val="18"/>
        </w:rPr>
        <w:t xml:space="preserve"> [</w:t>
      </w:r>
      <w:r>
        <w:rPr>
          <w:rFonts w:ascii="Arial" w:hAnsi="Arial"/>
          <w:b w:val="0"/>
          <w:i w:val="0"/>
          <w:color w:val="00B050"/>
          <w:sz w:val="18"/>
        </w:rPr>
        <w:t>ESRS E2-6-40</w:t>
      </w:r>
      <w:r>
        <w:rPr>
          <w:rFonts w:ascii="Arial" w:hAnsi="Arial"/>
          <w:b w:val="0"/>
          <w:i w:val="0"/>
          <w:color w:val="000000"/>
          <w:sz w:val="18"/>
        </w:rPr>
        <w:t xml:space="preserve"> | </w:t>
      </w:r>
      <w:r>
        <w:rPr>
          <w:rFonts w:ascii="Arial" w:hAnsi="Arial"/>
          <w:b w:val="0"/>
          <w:i w:val="0"/>
          <w:color w:val="00B050"/>
          <w:sz w:val="18"/>
        </w:rPr>
        <w:t>E2-6-AR-31-(b)-(c)</w:t>
      </w:r>
      <w:r>
        <w:rPr>
          <w:rFonts w:ascii="Arial" w:hAnsi="Arial"/>
          <w:b w:val="0"/>
          <w:i w:val="0"/>
          <w:color w:val="000000"/>
          <w:sz w:val="18"/>
        </w:rPr>
        <w:t>]</w:t>
      </w:r>
    </w:p>
    <w:tbl>
      <w:tblPr>
        <w:tblStyle w:val="TableGrid"/>
        <w:tblW w:type="auto" w:w="0"/>
        <w:tblLook w:firstColumn="1" w:firstRow="1" w:lastColumn="0" w:lastRow="0" w:noHBand="0" w:noVBand="1" w:val="04A0"/>
      </w:tblPr>
      <w:tblGrid>
        <w:gridCol w:w="4536"/>
        <w:gridCol w:w="4536"/>
      </w:tblGrid>
      <w:tr>
        <w:tc>
          <w:tcPr>
            <w:tcW w:type="dxa" w:w="4536"/>
            <w:shd w:val="clear" w:color="auto" w:fill="D9D9D9"/>
          </w:tcPr>
          <w:p>
            <w:r>
              <w:rPr>
                <w:rFonts w:ascii="Arial" w:hAnsi="Arial"/>
                <w:b/>
                <w:i w:val="0"/>
                <w:color w:val="000000"/>
                <w:sz w:val="20"/>
              </w:rPr>
              <w:t>Expenditure / Provision Category</w:t>
            </w:r>
          </w:p>
        </w:tc>
        <w:tc>
          <w:tcPr>
            <w:tcW w:type="dxa" w:w="4536"/>
            <w:shd w:val="clear" w:color="auto" w:fill="D9D9D9"/>
          </w:tcPr>
          <w:p>
            <w:r>
              <w:rPr>
                <w:rFonts w:ascii="Arial" w:hAnsi="Arial"/>
                <w:b/>
                <w:i w:val="0"/>
                <w:color w:val="000000"/>
                <w:sz w:val="20"/>
              </w:rPr>
              <w:t>FY 2025 Data (USD '000)</w:t>
            </w:r>
          </w:p>
        </w:tc>
      </w:tr>
      <w:tr>
        <w:tc>
          <w:tcPr>
            <w:tcW w:type="dxa" w:w="4536"/>
          </w:tcPr>
          <w:p>
            <w:r>
              <w:rPr>
                <w:rFonts w:ascii="Arial" w:hAnsi="Arial"/>
                <w:b w:val="0"/>
                <w:i w:val="0"/>
                <w:color w:val="000000"/>
                <w:sz w:val="20"/>
              </w:rPr>
              <w:t>Operating Expenditure (OpEx) — Major Incidents and Deposits</w:t>
            </w:r>
          </w:p>
        </w:tc>
        <w:tc>
          <w:tcPr>
            <w:tcW w:type="dxa" w:w="4536"/>
          </w:tcPr>
          <w:p>
            <w:r>
              <w:rPr>
                <w:rFonts w:ascii="Arial" w:hAnsi="Arial"/>
                <w:b w:val="0"/>
                <w:i w:val="0"/>
                <w:color w:val="000000"/>
                <w:sz w:val="20"/>
              </w:rPr>
              <w:t>3,840</w:t>
            </w:r>
          </w:p>
        </w:tc>
      </w:tr>
      <w:tr>
        <w:tc>
          <w:tcPr>
            <w:tcW w:type="dxa" w:w="4536"/>
          </w:tcPr>
          <w:p>
            <w:r>
              <w:rPr>
                <w:rFonts w:ascii="Arial" w:hAnsi="Arial"/>
                <w:b w:val="0"/>
                <w:i w:val="0"/>
                <w:color w:val="000000"/>
                <w:sz w:val="20"/>
              </w:rPr>
              <w:t>Capital Expenditure (CapEx) — Major Incidents and Deposits</w:t>
            </w:r>
          </w:p>
        </w:tc>
        <w:tc>
          <w:tcPr>
            <w:tcW w:type="dxa" w:w="4536"/>
          </w:tcPr>
          <w:p>
            <w:r>
              <w:rPr>
                <w:rFonts w:ascii="Arial" w:hAnsi="Arial"/>
                <w:b w:val="0"/>
                <w:i w:val="0"/>
                <w:color w:val="000000"/>
                <w:sz w:val="20"/>
              </w:rPr>
              <w:t>7,200</w:t>
            </w:r>
          </w:p>
        </w:tc>
      </w:tr>
      <w:tr>
        <w:tc>
          <w:tcPr>
            <w:tcW w:type="dxa" w:w="4536"/>
          </w:tcPr>
          <w:p>
            <w:r>
              <w:rPr>
                <w:rFonts w:ascii="Arial" w:hAnsi="Arial"/>
                <w:b w:val="0"/>
                <w:i w:val="0"/>
                <w:color w:val="000000"/>
                <w:sz w:val="20"/>
              </w:rPr>
              <w:t>Provisions for Environmental Protection and Remediation Costs</w:t>
            </w:r>
          </w:p>
        </w:tc>
        <w:tc>
          <w:tcPr>
            <w:tcW w:type="dxa" w:w="4536"/>
          </w:tcPr>
          <w:p>
            <w:r>
              <w:rPr>
                <w:rFonts w:ascii="Arial" w:hAnsi="Arial"/>
                <w:b w:val="0"/>
                <w:i w:val="0"/>
                <w:color w:val="000000"/>
                <w:sz w:val="20"/>
              </w:rPr>
              <w:t>14,200</w:t>
            </w:r>
          </w:p>
        </w:tc>
      </w:tr>
      <w:tr>
        <w:tc>
          <w:tcPr>
            <w:tcW w:type="dxa" w:w="4536"/>
            <w:shd w:val="clear" w:color="auto" w:fill="F3F3F3"/>
          </w:tcPr>
          <w:p>
            <w:r>
              <w:rPr>
                <w:rFonts w:ascii="Arial" w:hAnsi="Arial"/>
                <w:b/>
                <w:i w:val="0"/>
                <w:color w:val="000000"/>
                <w:sz w:val="20"/>
              </w:rPr>
              <w:t>Total Pollution-Related Expenditure and Provisions</w:t>
            </w:r>
          </w:p>
        </w:tc>
        <w:tc>
          <w:tcPr>
            <w:tcW w:type="dxa" w:w="4536"/>
            <w:shd w:val="clear" w:color="auto" w:fill="F3F3F3"/>
          </w:tcPr>
          <w:p>
            <w:r>
              <w:rPr>
                <w:rFonts w:ascii="Arial" w:hAnsi="Arial"/>
                <w:b/>
                <w:i w:val="0"/>
                <w:color w:val="000000"/>
                <w:sz w:val="20"/>
              </w:rPr>
              <w:t>25,240</w:t>
            </w:r>
          </w:p>
        </w:tc>
      </w:tr>
    </w:tbl>
    <w:p>
      <w:pPr>
        <w:pStyle w:val="Heading3"/>
      </w:pPr>
      <w:r>
        <w:rPr>
          <w:rFonts w:ascii="Arial" w:hAnsi="Arial"/>
          <w:b/>
          <w:i w:val="0"/>
          <w:color w:val="000000"/>
          <w:sz w:val="22"/>
        </w:rPr>
        <w:t>5.3.11.4  Explain Qualitative Anticipated Financial Effects — Material Pollution-Related Risks and Opportunities</w:t>
      </w:r>
    </w:p>
    <w:p>
      <w:r>
        <w:rPr>
          <w:rFonts w:ascii="Arial" w:hAnsi="Arial"/>
          <w:b w:val="0"/>
          <w:i w:val="0"/>
          <w:color w:val="000000"/>
          <w:sz w:val="22"/>
        </w:rPr>
        <w:t>The most significant near-term financial exposure relates to the costs of environmental remediation at legacy contaminated sites, compliance capital expenditure required to align IED-regulated installations with upcoming BAT-AEL revisions, and the potential for increased provisions associated with SoC-related product liability. Upside financial opportunities relate principally to the Company's growing environmental services business lines, which provide pollution abatement technologies and advisory services to third parties, and to revenue streams from the licensing of proprietary emission reduction technologies.</w:t>
      </w:r>
      <w:r>
        <w:rPr>
          <w:rFonts w:ascii="Arial" w:hAnsi="Arial"/>
          <w:b w:val="0"/>
          <w:i w:val="0"/>
          <w:color w:val="000000"/>
          <w:sz w:val="18"/>
        </w:rPr>
        <w:t xml:space="preserve"> [</w:t>
      </w:r>
      <w:r>
        <w:rPr>
          <w:rFonts w:ascii="Arial" w:hAnsi="Arial"/>
          <w:b w:val="0"/>
          <w:i w:val="0"/>
          <w:color w:val="00B050"/>
          <w:sz w:val="18"/>
        </w:rPr>
        <w:t>ESRS E2-6-39-(a)</w:t>
      </w:r>
      <w:r>
        <w:rPr>
          <w:rFonts w:ascii="Arial" w:hAnsi="Arial"/>
          <w:b w:val="0"/>
          <w:i w:val="0"/>
          <w:color w:val="000000"/>
          <w:sz w:val="18"/>
        </w:rPr>
        <w:t>]</w:t>
      </w:r>
    </w:p>
    <w:p>
      <w:pPr>
        <w:pStyle w:val="Heading3"/>
      </w:pPr>
      <w:r>
        <w:rPr>
          <w:rFonts w:ascii="Arial" w:hAnsi="Arial"/>
          <w:b/>
          <w:i w:val="0"/>
          <w:color w:val="000000"/>
          <w:sz w:val="22"/>
        </w:rPr>
        <w:t>5.3.11.5  Explain Effects Considered, Related Impacts and Time Horizons — Pollution-Related Financial Effects</w:t>
      </w:r>
    </w:p>
    <w:p>
      <w:r>
        <w:rPr>
          <w:rFonts w:ascii="Arial" w:hAnsi="Arial"/>
          <w:b w:val="0"/>
          <w:i w:val="0"/>
          <w:color w:val="000000"/>
          <w:sz w:val="22"/>
        </w:rPr>
        <w:t>The financial effects considered in the quantitative assessment relate primarily to: physical risks from pollution incidents (direct remediation costs and regulatory penalties); transition risks from tightening pollution regulation (compliance CapEx and stranded asset risk); and transition opportunities from environmental services revenue growth. Time horizons for materialisation are assessed as: near-term (1–3 years) for regulatory non-compliance risks given scheduled revision of BAT Conclusions applicable to two installations; medium-term (3–7 years) for remediation costs reflecting the staged nature of contaminated site programmes; and longer-term (7–15 years) for stranded asset risk contingent on the pace of regulatory tightening.</w:t>
      </w:r>
      <w:r>
        <w:rPr>
          <w:rFonts w:ascii="Arial" w:hAnsi="Arial"/>
          <w:b w:val="0"/>
          <w:i w:val="0"/>
          <w:color w:val="000000"/>
          <w:sz w:val="18"/>
        </w:rPr>
        <w:t xml:space="preserve"> [</w:t>
      </w:r>
      <w:r>
        <w:rPr>
          <w:rFonts w:ascii="Arial" w:hAnsi="Arial"/>
          <w:b w:val="0"/>
          <w:i w:val="0"/>
          <w:color w:val="00B050"/>
          <w:sz w:val="18"/>
        </w:rPr>
        <w:t>ESRS E2-6-39-(b)</w:t>
      </w:r>
      <w:r>
        <w:rPr>
          <w:rFonts w:ascii="Arial" w:hAnsi="Arial"/>
          <w:b w:val="0"/>
          <w:i w:val="0"/>
          <w:color w:val="000000"/>
          <w:sz w:val="18"/>
        </w:rPr>
        <w:t>]</w:t>
      </w:r>
    </w:p>
    <w:p>
      <w:pPr>
        <w:pStyle w:val="Heading3"/>
      </w:pPr>
      <w:r>
        <w:rPr>
          <w:rFonts w:ascii="Arial" w:hAnsi="Arial"/>
          <w:b/>
          <w:i w:val="0"/>
          <w:color w:val="000000"/>
          <w:sz w:val="22"/>
        </w:rPr>
        <w:t>5.3.11.6  Disclose Critical Assumptions, Sources and Level of Uncertainty in Quantifying Financial Effects — Pollution</w:t>
      </w:r>
    </w:p>
    <w:p>
      <w:r>
        <w:rPr>
          <w:rFonts w:ascii="Arial" w:hAnsi="Arial"/>
          <w:b w:val="0"/>
          <w:i w:val="0"/>
          <w:color w:val="000000"/>
          <w:sz w:val="22"/>
        </w:rPr>
        <w:t>Critical assumptions underpinning the quantitative financial effect estimates include: a conservative regulatory penalty rate based on historical sector enforcement data; remediation cost estimates derived from site investigation reports prepared by independent environmental consultants; discount rates and inflation assumptions in accordance with the Company's accounting policies; and a revenue growth assumption for environmental services based on contracted pipeline and market analysis. Principal sources of uncertainty include the pace and scope of regulatory revision, the extent of contamination at sites not yet subject to full investigation, and market adoption rates for the Company's environmental technology products.</w:t>
      </w:r>
      <w:r>
        <w:rPr>
          <w:rFonts w:ascii="Arial" w:hAnsi="Arial"/>
          <w:b w:val="0"/>
          <w:i w:val="0"/>
          <w:color w:val="000000"/>
          <w:sz w:val="18"/>
        </w:rPr>
        <w:t xml:space="preserve"> [</w:t>
      </w:r>
      <w:r>
        <w:rPr>
          <w:rFonts w:ascii="Arial" w:hAnsi="Arial"/>
          <w:b w:val="0"/>
          <w:i w:val="0"/>
          <w:color w:val="00B050"/>
          <w:sz w:val="18"/>
        </w:rPr>
        <w:t>ESRS E2-6-39-(c)</w:t>
      </w:r>
      <w:r>
        <w:rPr>
          <w:rFonts w:ascii="Arial" w:hAnsi="Arial"/>
          <w:b w:val="0"/>
          <w:i w:val="0"/>
          <w:color w:val="000000"/>
          <w:sz w:val="18"/>
        </w:rPr>
        <w:t>]</w:t>
      </w:r>
    </w:p>
    <w:p>
      <w:pPr>
        <w:pStyle w:val="Heading3"/>
      </w:pPr>
      <w:r>
        <w:rPr>
          <w:rFonts w:ascii="Arial" w:hAnsi="Arial"/>
          <w:b/>
          <w:i w:val="0"/>
          <w:color w:val="000000"/>
          <w:sz w:val="22"/>
        </w:rPr>
        <w:t>5.3.11.7  Disclose Material Incidents and Deposits with Negative Pollution Impacts on Financial Performance — FY 2025</w:t>
      </w:r>
    </w:p>
    <w:p>
      <w:r>
        <w:rPr>
          <w:rFonts w:ascii="Arial" w:hAnsi="Arial"/>
          <w:b w:val="0"/>
          <w:i w:val="0"/>
          <w:color w:val="000000"/>
          <w:sz w:val="22"/>
        </w:rPr>
        <w:t>During FY 2025, no material pollution incidents resulting in significant negative financial impacts on cash flows, financial position, or financial performance were recorded. The minor permit deviation at Site 4 (Singapore) was contained and remediated within the reporting period, with associated costs below the materiality threshold for separate disclosure. The Company's environmental provision balance at year-end FY 2025 of USD 14.2 million reflects the aggregate estimated cost of ongoing remediation programmes at all contaminated sites and is considered representative of the probable financial exposure from known legacy pollution matters.</w:t>
      </w:r>
      <w:r>
        <w:rPr>
          <w:rFonts w:ascii="Arial" w:hAnsi="Arial"/>
          <w:b w:val="0"/>
          <w:i w:val="0"/>
          <w:color w:val="000000"/>
          <w:sz w:val="18"/>
        </w:rPr>
        <w:t xml:space="preserve"> [</w:t>
      </w:r>
      <w:r>
        <w:rPr>
          <w:rFonts w:ascii="Arial" w:hAnsi="Arial"/>
          <w:b w:val="0"/>
          <w:i w:val="0"/>
          <w:color w:val="00B050"/>
          <w:sz w:val="18"/>
        </w:rPr>
        <w:t>ESRS E2-6-41</w:t>
      </w:r>
      <w:r>
        <w:rPr>
          <w:rFonts w:ascii="Arial" w:hAnsi="Arial"/>
          <w:b w:val="0"/>
          <w:i w:val="0"/>
          <w:color w:val="000000"/>
          <w:sz w:val="18"/>
        </w:rPr>
        <w:t>]</w:t>
      </w:r>
    </w:p>
    <w:p>
      <w:pPr>
        <w:pStyle w:val="Heading3"/>
      </w:pPr>
      <w:r>
        <w:rPr>
          <w:rFonts w:ascii="Arial" w:hAnsi="Arial"/>
          <w:b/>
          <w:i w:val="0"/>
          <w:color w:val="000000"/>
          <w:sz w:val="22"/>
        </w:rPr>
        <w:t>5.3.11.8  Disclose Assessment of Related Products and Services at Risk — Time Horizon, Financial Estimation and Critical Assumptions</w:t>
      </w:r>
    </w:p>
    <w:p>
      <w:r>
        <w:rPr>
          <w:rFonts w:ascii="Arial" w:hAnsi="Arial"/>
          <w:b w:val="0"/>
          <w:i w:val="0"/>
          <w:color w:val="000000"/>
          <w:sz w:val="22"/>
        </w:rPr>
        <w:t>Products and services assessed as being at risk from pollution-related transition factors include those incorporating SoC or SVHC subject to regulatory restriction timelines under REACH, and services involving the handling or transport of substances with evolving regulatory profiles. The time horizon for this assessment is five years (FY 2025 to FY 2030), consistent with the planning horizon applied across the Company's enterprise risk management framework. Financial amounts at risk are estimated using a product revenue exposure methodology, applying a phase-out probability weighting to the revenue attributable to individual at-risk product and service lines. Critical assumptions include current REACH regulatory timelines, prevailing substitution feasibility assessments, and contracted customer demand profiles.</w:t>
      </w:r>
      <w:r>
        <w:rPr>
          <w:rFonts w:ascii="Arial" w:hAnsi="Arial"/>
          <w:b w:val="0"/>
          <w:i w:val="0"/>
          <w:color w:val="000000"/>
          <w:sz w:val="18"/>
        </w:rPr>
        <w:t xml:space="preserve"> [</w:t>
      </w:r>
      <w:r>
        <w:rPr>
          <w:rFonts w:ascii="Arial" w:hAnsi="Arial"/>
          <w:b w:val="0"/>
          <w:i w:val="0"/>
          <w:color w:val="00B050"/>
          <w:sz w:val="18"/>
        </w:rPr>
        <w:t>ESRS E2-6-AR-33</w:t>
      </w:r>
      <w:r>
        <w:rPr>
          <w:rFonts w:ascii="Arial" w:hAnsi="Arial"/>
          <w:b w:val="0"/>
          <w:i w:val="0"/>
          <w:color w:val="000000"/>
          <w:sz w:val="18"/>
        </w:rPr>
        <w:t>]</w:t>
      </w:r>
    </w:p>
    <w:p>
      <w:pPr>
        <w:pStyle w:val="Heading2"/>
      </w:pPr>
      <w:r>
        <w:rPr>
          <w:rFonts w:ascii="Arial" w:hAnsi="Arial"/>
          <w:b/>
          <w:i w:val="0"/>
          <w:color w:val="000000"/>
          <w:sz w:val="26"/>
        </w:rPr>
        <w:t>KPI Dashboard — Key Pollution Performance Indicators</w:t>
      </w:r>
    </w:p>
    <w:p>
      <w:r>
        <w:rPr>
          <w:rFonts w:ascii="Arial" w:hAnsi="Arial"/>
          <w:b/>
          <w:i w:val="0"/>
          <w:color w:val="000000"/>
          <w:sz w:val="20"/>
        </w:rPr>
        <w:t>Table — Pollution KPI Dashboard: Summary of Key Performance Indicators (FY 2025)</w:t>
      </w:r>
      <w:r>
        <w:rPr>
          <w:rFonts w:ascii="Arial" w:hAnsi="Arial"/>
          <w:b w:val="0"/>
          <w:i w:val="0"/>
          <w:color w:val="000000"/>
          <w:sz w:val="18"/>
        </w:rPr>
        <w:t xml:space="preserve"> [</w:t>
      </w:r>
      <w:r>
        <w:rPr>
          <w:rFonts w:ascii="Arial" w:hAnsi="Arial"/>
          <w:b w:val="0"/>
          <w:i w:val="0"/>
          <w:color w:val="0070C0"/>
          <w:sz w:val="18"/>
        </w:rPr>
        <w:t>GRI 305-7</w:t>
      </w:r>
      <w:r>
        <w:rPr>
          <w:rFonts w:ascii="Arial" w:hAnsi="Arial"/>
          <w:b w:val="0"/>
          <w:i w:val="0"/>
          <w:color w:val="000000"/>
          <w:sz w:val="18"/>
        </w:rPr>
        <w:t xml:space="preserve"> | </w:t>
      </w:r>
      <w:r>
        <w:rPr>
          <w:rFonts w:ascii="Arial" w:hAnsi="Arial"/>
          <w:b w:val="0"/>
          <w:i w:val="0"/>
          <w:color w:val="00B050"/>
          <w:sz w:val="18"/>
        </w:rPr>
        <w:t>ESRS E2-4</w:t>
      </w:r>
      <w:r>
        <w:rPr>
          <w:rFonts w:ascii="Arial" w:hAnsi="Arial"/>
          <w:b w:val="0"/>
          <w:i w:val="0"/>
          <w:color w:val="000000"/>
          <w:sz w:val="18"/>
        </w:rPr>
        <w:t xml:space="preserve"> | </w:t>
      </w:r>
      <w:r>
        <w:rPr>
          <w:rFonts w:ascii="Arial" w:hAnsi="Arial"/>
          <w:b w:val="0"/>
          <w:i w:val="0"/>
          <w:color w:val="00B050"/>
          <w:sz w:val="18"/>
        </w:rPr>
        <w:t>ESRS E2-5</w:t>
      </w:r>
      <w:r>
        <w:rPr>
          <w:rFonts w:ascii="Arial" w:hAnsi="Arial"/>
          <w:b w:val="0"/>
          <w:i w:val="0"/>
          <w:color w:val="000000"/>
          <w:sz w:val="18"/>
        </w:rPr>
        <w:t xml:space="preserve"> | </w:t>
      </w:r>
      <w:r>
        <w:rPr>
          <w:rFonts w:ascii="Arial" w:hAnsi="Arial"/>
          <w:b w:val="0"/>
          <w:i w:val="0"/>
          <w:color w:val="00B050"/>
          <w:sz w:val="18"/>
        </w:rPr>
        <w:t>ESRS E2-6</w:t>
      </w:r>
      <w:r>
        <w:rPr>
          <w:rFonts w:ascii="Arial" w:hAnsi="Arial"/>
          <w:b w:val="0"/>
          <w:i w:val="0"/>
          <w:color w:val="000000"/>
          <w:sz w:val="18"/>
        </w:rPr>
        <w: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D9D9D9"/>
          </w:tcPr>
          <w:p>
            <w:r>
              <w:rPr>
                <w:rFonts w:ascii="Arial" w:hAnsi="Arial"/>
                <w:b/>
                <w:i w:val="0"/>
                <w:color w:val="000000"/>
                <w:sz w:val="20"/>
              </w:rPr>
              <w:t>KPI</w:t>
            </w:r>
          </w:p>
        </w:tc>
        <w:tc>
          <w:tcPr>
            <w:tcW w:type="dxa" w:w="2268"/>
            <w:shd w:val="clear" w:color="auto" w:fill="D9D9D9"/>
          </w:tcPr>
          <w:p>
            <w:r>
              <w:rPr>
                <w:rFonts w:ascii="Arial" w:hAnsi="Arial"/>
                <w:b/>
                <w:i w:val="0"/>
                <w:color w:val="000000"/>
                <w:sz w:val="20"/>
              </w:rPr>
              <w:t>GRI</w:t>
            </w:r>
          </w:p>
        </w:tc>
        <w:tc>
          <w:tcPr>
            <w:tcW w:type="dxa" w:w="2268"/>
            <w:shd w:val="clear" w:color="auto" w:fill="D9D9D9"/>
          </w:tcPr>
          <w:p>
            <w:r>
              <w:rPr>
                <w:rFonts w:ascii="Arial" w:hAnsi="Arial"/>
                <w:b/>
                <w:i w:val="0"/>
                <w:color w:val="000000"/>
                <w:sz w:val="20"/>
              </w:rPr>
              <w:t>ESRS</w:t>
            </w:r>
          </w:p>
        </w:tc>
        <w:tc>
          <w:tcPr>
            <w:tcW w:type="dxa" w:w="2268"/>
            <w:shd w:val="clear" w:color="auto" w:fill="D9D9D9"/>
          </w:tcPr>
          <w:p>
            <w:r>
              <w:rPr>
                <w:rFonts w:ascii="Arial" w:hAnsi="Arial"/>
                <w:b/>
                <w:i w:val="0"/>
                <w:color w:val="000000"/>
                <w:sz w:val="20"/>
              </w:rPr>
              <w:t>FY 2025 Data</w:t>
            </w:r>
          </w:p>
        </w:tc>
      </w:tr>
      <w:tr>
        <w:tc>
          <w:tcPr>
            <w:tcW w:type="dxa" w:w="2268"/>
          </w:tcPr>
          <w:p>
            <w:r>
              <w:rPr>
                <w:rFonts w:ascii="Arial" w:hAnsi="Arial"/>
                <w:b w:val="0"/>
                <w:i w:val="0"/>
                <w:color w:val="000000"/>
                <w:sz w:val="20"/>
              </w:rPr>
              <w:t>Total Emissions to Air (metric tonnes)</w:t>
            </w:r>
          </w:p>
        </w:tc>
        <w:tc>
          <w:tcPr>
            <w:tcW w:type="dxa" w:w="2268"/>
          </w:tcPr>
          <w:p>
            <w:r>
              <w:rPr>
                <w:rFonts w:ascii="Arial" w:hAnsi="Arial"/>
                <w:b w:val="0"/>
                <w:i w:val="0"/>
                <w:color w:val="0070C0"/>
                <w:sz w:val="18"/>
              </w:rPr>
              <w:t>GRI 305-7</w:t>
            </w:r>
          </w:p>
        </w:tc>
        <w:tc>
          <w:tcPr>
            <w:tcW w:type="dxa" w:w="2268"/>
          </w:tcPr>
          <w:p>
            <w:r>
              <w:rPr>
                <w:rFonts w:ascii="Arial" w:hAnsi="Arial"/>
                <w:b w:val="0"/>
                <w:i w:val="0"/>
                <w:color w:val="00B050"/>
                <w:sz w:val="18"/>
              </w:rPr>
              <w:t>ESRS E2-4</w:t>
            </w:r>
          </w:p>
        </w:tc>
        <w:tc>
          <w:tcPr>
            <w:tcW w:type="dxa" w:w="2268"/>
          </w:tcPr>
          <w:p>
            <w:r>
              <w:rPr>
                <w:rFonts w:ascii="Arial" w:hAnsi="Arial"/>
                <w:b w:val="0"/>
                <w:i w:val="0"/>
                <w:color w:val="000000"/>
                <w:sz w:val="20"/>
              </w:rPr>
              <w:t>2,023.0</w:t>
            </w:r>
          </w:p>
        </w:tc>
      </w:tr>
      <w:tr>
        <w:tc>
          <w:tcPr>
            <w:tcW w:type="dxa" w:w="2268"/>
          </w:tcPr>
          <w:p>
            <w:r>
              <w:rPr>
                <w:rFonts w:ascii="Arial" w:hAnsi="Arial"/>
                <w:b w:val="0"/>
                <w:i w:val="0"/>
                <w:color w:val="000000"/>
                <w:sz w:val="20"/>
              </w:rPr>
              <w:t>Total Emissions to Water (metric tonnes)</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E2-4</w:t>
            </w:r>
          </w:p>
        </w:tc>
        <w:tc>
          <w:tcPr>
            <w:tcW w:type="dxa" w:w="2268"/>
          </w:tcPr>
          <w:p>
            <w:r>
              <w:rPr>
                <w:rFonts w:ascii="Arial" w:hAnsi="Arial"/>
                <w:b w:val="0"/>
                <w:i w:val="0"/>
                <w:color w:val="000000"/>
                <w:sz w:val="20"/>
              </w:rPr>
              <w:t>372.2</w:t>
            </w:r>
          </w:p>
        </w:tc>
      </w:tr>
      <w:tr>
        <w:tc>
          <w:tcPr>
            <w:tcW w:type="dxa" w:w="2268"/>
          </w:tcPr>
          <w:p>
            <w:r>
              <w:rPr>
                <w:rFonts w:ascii="Arial" w:hAnsi="Arial"/>
                <w:b w:val="0"/>
                <w:i w:val="0"/>
                <w:color w:val="000000"/>
                <w:sz w:val="20"/>
              </w:rPr>
              <w:t>Total Emissions to Soil (metric tonnes)</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E2-4</w:t>
            </w:r>
          </w:p>
        </w:tc>
        <w:tc>
          <w:tcPr>
            <w:tcW w:type="dxa" w:w="2268"/>
          </w:tcPr>
          <w:p>
            <w:r>
              <w:rPr>
                <w:rFonts w:ascii="Arial" w:hAnsi="Arial"/>
                <w:b w:val="0"/>
                <w:i w:val="0"/>
                <w:color w:val="000000"/>
                <w:sz w:val="20"/>
              </w:rPr>
              <w:t>42.2</w:t>
            </w:r>
          </w:p>
        </w:tc>
      </w:tr>
      <w:tr>
        <w:tc>
          <w:tcPr>
            <w:tcW w:type="dxa" w:w="2268"/>
          </w:tcPr>
          <w:p>
            <w:r>
              <w:rPr>
                <w:rFonts w:ascii="Arial" w:hAnsi="Arial"/>
                <w:b w:val="0"/>
                <w:i w:val="0"/>
                <w:color w:val="000000"/>
                <w:sz w:val="20"/>
              </w:rPr>
              <w:t>Microplastics Generated (kg)</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E2-4</w:t>
            </w:r>
          </w:p>
        </w:tc>
        <w:tc>
          <w:tcPr>
            <w:tcW w:type="dxa" w:w="2268"/>
          </w:tcPr>
          <w:p>
            <w:r>
              <w:rPr>
                <w:rFonts w:ascii="Arial" w:hAnsi="Arial"/>
                <w:b w:val="0"/>
                <w:i w:val="0"/>
                <w:color w:val="000000"/>
                <w:sz w:val="20"/>
              </w:rPr>
              <w:t>12,840</w:t>
            </w:r>
          </w:p>
        </w:tc>
      </w:tr>
      <w:tr>
        <w:tc>
          <w:tcPr>
            <w:tcW w:type="dxa" w:w="2268"/>
          </w:tcPr>
          <w:p>
            <w:r>
              <w:rPr>
                <w:rFonts w:ascii="Arial" w:hAnsi="Arial"/>
                <w:b w:val="0"/>
                <w:i w:val="0"/>
                <w:color w:val="000000"/>
                <w:sz w:val="20"/>
              </w:rPr>
              <w:t>Total SoC Generated / Used / Procured (kg)</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E2-5</w:t>
            </w:r>
          </w:p>
        </w:tc>
        <w:tc>
          <w:tcPr>
            <w:tcW w:type="dxa" w:w="2268"/>
          </w:tcPr>
          <w:p>
            <w:r>
              <w:rPr>
                <w:rFonts w:ascii="Arial" w:hAnsi="Arial"/>
                <w:b w:val="0"/>
                <w:i w:val="0"/>
                <w:color w:val="000000"/>
                <w:sz w:val="20"/>
              </w:rPr>
              <w:t>87,710</w:t>
            </w:r>
          </w:p>
        </w:tc>
      </w:tr>
      <w:tr>
        <w:tc>
          <w:tcPr>
            <w:tcW w:type="dxa" w:w="2268"/>
          </w:tcPr>
          <w:p>
            <w:r>
              <w:rPr>
                <w:rFonts w:ascii="Arial" w:hAnsi="Arial"/>
                <w:b w:val="0"/>
                <w:i w:val="0"/>
                <w:color w:val="000000"/>
                <w:sz w:val="20"/>
              </w:rPr>
              <w:t>Total SoC Leaving Facilities — Combined (kg)</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E2-5</w:t>
            </w:r>
          </w:p>
        </w:tc>
        <w:tc>
          <w:tcPr>
            <w:tcW w:type="dxa" w:w="2268"/>
          </w:tcPr>
          <w:p>
            <w:r>
              <w:rPr>
                <w:rFonts w:ascii="Arial" w:hAnsi="Arial"/>
                <w:b w:val="0"/>
                <w:i w:val="0"/>
                <w:color w:val="000000"/>
                <w:sz w:val="20"/>
              </w:rPr>
              <w:t>53,538</w:t>
            </w:r>
          </w:p>
        </w:tc>
      </w:tr>
      <w:tr>
        <w:tc>
          <w:tcPr>
            <w:tcW w:type="dxa" w:w="2268"/>
          </w:tcPr>
          <w:p>
            <w:r>
              <w:rPr>
                <w:rFonts w:ascii="Arial" w:hAnsi="Arial"/>
                <w:b w:val="0"/>
                <w:i w:val="0"/>
                <w:color w:val="000000"/>
                <w:sz w:val="20"/>
              </w:rPr>
              <w:t>Total SVHC Generated / Used / Procured (kg)</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E2-5</w:t>
            </w:r>
          </w:p>
        </w:tc>
        <w:tc>
          <w:tcPr>
            <w:tcW w:type="dxa" w:w="2268"/>
          </w:tcPr>
          <w:p>
            <w:r>
              <w:rPr>
                <w:rFonts w:ascii="Arial" w:hAnsi="Arial"/>
                <w:b w:val="0"/>
                <w:i w:val="0"/>
                <w:color w:val="000000"/>
                <w:sz w:val="20"/>
              </w:rPr>
              <w:t>18,340</w:t>
            </w:r>
          </w:p>
        </w:tc>
      </w:tr>
      <w:tr>
        <w:tc>
          <w:tcPr>
            <w:tcW w:type="dxa" w:w="2268"/>
          </w:tcPr>
          <w:p>
            <w:r>
              <w:rPr>
                <w:rFonts w:ascii="Arial" w:hAnsi="Arial"/>
                <w:b w:val="0"/>
                <w:i w:val="0"/>
                <w:color w:val="000000"/>
                <w:sz w:val="20"/>
              </w:rPr>
              <w:t>Total SVHC Leaving Facilities — Combined (kg)</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E2-5</w:t>
            </w:r>
          </w:p>
        </w:tc>
        <w:tc>
          <w:tcPr>
            <w:tcW w:type="dxa" w:w="2268"/>
          </w:tcPr>
          <w:p>
            <w:r>
              <w:rPr>
                <w:rFonts w:ascii="Arial" w:hAnsi="Arial"/>
                <w:b w:val="0"/>
                <w:i w:val="0"/>
                <w:color w:val="000000"/>
                <w:sz w:val="20"/>
              </w:rPr>
              <w:t>11,091</w:t>
            </w:r>
          </w:p>
        </w:tc>
      </w:tr>
      <w:tr>
        <w:tc>
          <w:tcPr>
            <w:tcW w:type="dxa" w:w="2268"/>
          </w:tcPr>
          <w:p>
            <w:r>
              <w:rPr>
                <w:rFonts w:ascii="Arial" w:hAnsi="Arial"/>
                <w:b w:val="0"/>
                <w:i w:val="0"/>
                <w:color w:val="000000"/>
                <w:sz w:val="20"/>
              </w:rPr>
              <w:t>Net Anticipated Financial Effect (USD '000)</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E2-6</w:t>
            </w:r>
          </w:p>
        </w:tc>
        <w:tc>
          <w:tcPr>
            <w:tcW w:type="dxa" w:w="2268"/>
          </w:tcPr>
          <w:p>
            <w:r>
              <w:rPr>
                <w:rFonts w:ascii="Arial" w:hAnsi="Arial"/>
                <w:b w:val="0"/>
                <w:i w:val="0"/>
                <w:color w:val="000000"/>
                <w:sz w:val="20"/>
              </w:rPr>
              <w:t>17,440</w:t>
            </w:r>
          </w:p>
        </w:tc>
      </w:tr>
      <w:tr>
        <w:tc>
          <w:tcPr>
            <w:tcW w:type="dxa" w:w="2268"/>
          </w:tcPr>
          <w:p>
            <w:r>
              <w:rPr>
                <w:rFonts w:ascii="Arial" w:hAnsi="Arial"/>
                <w:b w:val="0"/>
                <w:i w:val="0"/>
                <w:color w:val="000000"/>
                <w:sz w:val="20"/>
              </w:rPr>
              <w:t>Total Pollution-Related Expenditure &amp; Provisions (USD '000)</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E2-6</w:t>
            </w:r>
          </w:p>
        </w:tc>
        <w:tc>
          <w:tcPr>
            <w:tcW w:type="dxa" w:w="2268"/>
          </w:tcPr>
          <w:p>
            <w:r>
              <w:rPr>
                <w:rFonts w:ascii="Arial" w:hAnsi="Arial"/>
                <w:b w:val="0"/>
                <w:i w:val="0"/>
                <w:color w:val="000000"/>
                <w:sz w:val="20"/>
              </w:rPr>
              <w:t>25,240</w:t>
            </w:r>
          </w:p>
        </w:tc>
      </w:tr>
      <w:tr>
        <w:tc>
          <w:tcPr>
            <w:tcW w:type="dxa" w:w="2268"/>
          </w:tcPr>
          <w:p>
            <w:r>
              <w:rPr>
                <w:rFonts w:ascii="Arial" w:hAnsi="Arial"/>
                <w:b w:val="0"/>
                <w:i w:val="0"/>
                <w:color w:val="000000"/>
                <w:sz w:val="20"/>
              </w:rPr>
              <w:t>IED-Regulated Installations within BAT-AEL Compliance</w:t>
            </w:r>
          </w:p>
        </w:tc>
        <w:tc>
          <w:tcPr>
            <w:tcW w:type="dxa" w:w="2268"/>
          </w:tcPr>
          <w:p>
            <w:r>
              <w:rPr>
                <w:rFonts w:ascii="Arial" w:hAnsi="Arial"/>
                <w:b w:val="0"/>
                <w:i w:val="0"/>
                <w:color w:val="000000"/>
                <w:sz w:val="18"/>
              </w:rPr>
              <w:t>—</w:t>
            </w:r>
          </w:p>
        </w:tc>
        <w:tc>
          <w:tcPr>
            <w:tcW w:type="dxa" w:w="2268"/>
          </w:tcPr>
          <w:p>
            <w:r>
              <w:rPr>
                <w:rFonts w:ascii="Arial" w:hAnsi="Arial"/>
                <w:b w:val="0"/>
                <w:i w:val="0"/>
                <w:color w:val="00B050"/>
                <w:sz w:val="18"/>
              </w:rPr>
              <w:t>ESRS E2-4</w:t>
            </w:r>
          </w:p>
        </w:tc>
        <w:tc>
          <w:tcPr>
            <w:tcW w:type="dxa" w:w="2268"/>
          </w:tcPr>
          <w:p>
            <w:r>
              <w:rPr>
                <w:rFonts w:ascii="Arial" w:hAnsi="Arial"/>
                <w:b w:val="0"/>
                <w:i w:val="0"/>
                <w:color w:val="000000"/>
                <w:sz w:val="20"/>
              </w:rPr>
              <w:t>4 of 4</w:t>
            </w:r>
          </w:p>
        </w:tc>
      </w:tr>
    </w:tbl>
    <w:p>
      <w:pPr>
        <w:pStyle w:val="Heading2"/>
      </w:pPr>
      <w:r>
        <w:rPr>
          <w:rFonts w:ascii="Arial" w:hAnsi="Arial"/>
          <w:b/>
          <w:i w:val="0"/>
          <w:color w:val="000000"/>
          <w:sz w:val="26"/>
        </w:rPr>
        <w:t>Content Index — ESRS E2 and GRI Framework Mapping</w:t>
      </w:r>
    </w:p>
    <w:p>
      <w:r>
        <w:rPr>
          <w:rFonts w:ascii="Arial" w:hAnsi="Arial"/>
          <w:b w:val="0"/>
          <w:i w:val="0"/>
          <w:color w:val="000000"/>
          <w:sz w:val="22"/>
        </w:rPr>
        <w:t>The table below cross-references the disclosure requirements of ESRS E2 (Pollution) and GRI 305 (Emissions) with the corresponding sections of this report.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D9D9D9"/>
          </w:tcPr>
          <w:p>
            <w:r>
              <w:rPr>
                <w:rFonts w:ascii="Arial" w:hAnsi="Arial"/>
                <w:b/>
                <w:i w:val="0"/>
                <w:color w:val="000000"/>
                <w:sz w:val="20"/>
              </w:rPr>
              <w:t>Disclosure / Data Point</w:t>
            </w:r>
          </w:p>
        </w:tc>
        <w:tc>
          <w:tcPr>
            <w:tcW w:type="dxa" w:w="1814"/>
            <w:shd w:val="clear" w:color="auto" w:fill="D9D9D9"/>
          </w:tcPr>
          <w:p>
            <w:r>
              <w:rPr>
                <w:rFonts w:ascii="Arial" w:hAnsi="Arial"/>
                <w:b/>
                <w:i w:val="0"/>
                <w:color w:val="000000"/>
                <w:sz w:val="20"/>
              </w:rPr>
              <w:t>GRI Standard</w:t>
            </w:r>
          </w:p>
        </w:tc>
        <w:tc>
          <w:tcPr>
            <w:tcW w:type="dxa" w:w="1814"/>
            <w:shd w:val="clear" w:color="auto" w:fill="D9D9D9"/>
          </w:tcPr>
          <w:p>
            <w:r>
              <w:rPr>
                <w:rFonts w:ascii="Arial" w:hAnsi="Arial"/>
                <w:b/>
                <w:i w:val="0"/>
                <w:color w:val="000000"/>
                <w:sz w:val="20"/>
              </w:rPr>
              <w:t>ESRS Reference</w:t>
            </w:r>
          </w:p>
        </w:tc>
        <w:tc>
          <w:tcPr>
            <w:tcW w:type="dxa" w:w="1814"/>
            <w:shd w:val="clear" w:color="auto" w:fill="D9D9D9"/>
          </w:tcPr>
          <w:p>
            <w:r>
              <w:rPr>
                <w:rFonts w:ascii="Arial" w:hAnsi="Arial"/>
                <w:b/>
                <w:i w:val="0"/>
                <w:color w:val="000000"/>
                <w:sz w:val="20"/>
              </w:rPr>
              <w:t>Section</w:t>
            </w:r>
          </w:p>
        </w:tc>
        <w:tc>
          <w:tcPr>
            <w:tcW w:type="dxa" w:w="1814"/>
            <w:shd w:val="clear" w:color="auto" w:fill="D9D9D9"/>
          </w:tcPr>
          <w:p>
            <w:r>
              <w:rPr>
                <w:rFonts w:ascii="Arial" w:hAnsi="Arial"/>
                <w:b/>
                <w:i w:val="0"/>
                <w:color w:val="000000"/>
                <w:sz w:val="20"/>
              </w:rPr>
              <w:t>Status</w:t>
            </w:r>
          </w:p>
        </w:tc>
      </w:tr>
      <w:tr>
        <w:tc>
          <w:tcPr>
            <w:tcW w:type="dxa" w:w="1814"/>
          </w:tcPr>
          <w:p>
            <w:r>
              <w:rPr>
                <w:rFonts w:ascii="Arial" w:hAnsi="Arial"/>
                <w:b w:val="0"/>
                <w:i w:val="0"/>
                <w:color w:val="000000"/>
                <w:sz w:val="20"/>
              </w:rPr>
              <w:t>Process to identify pollution-related impacts, risks and opportunities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E2-IRO-1-11-(a)</w:t>
            </w:r>
          </w:p>
        </w:tc>
        <w:tc>
          <w:tcPr>
            <w:tcW w:type="dxa" w:w="1814"/>
          </w:tcPr>
          <w:p>
            <w:r>
              <w:rPr>
                <w:rFonts w:ascii="Arial" w:hAnsi="Arial"/>
                <w:b w:val="0"/>
                <w:i w:val="0"/>
                <w:color w:val="000000"/>
                <w:sz w:val="20"/>
              </w:rPr>
              <w:t>5.3.1.1</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Sites and activities screened; methodologies, assumptions and tools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E2-IRO-1-11-(a)</w:t>
            </w:r>
          </w:p>
        </w:tc>
        <w:tc>
          <w:tcPr>
            <w:tcW w:type="dxa" w:w="1814"/>
          </w:tcPr>
          <w:p>
            <w:r>
              <w:rPr>
                <w:rFonts w:ascii="Arial" w:hAnsi="Arial"/>
                <w:b w:val="0"/>
                <w:i w:val="0"/>
                <w:color w:val="000000"/>
                <w:sz w:val="20"/>
              </w:rPr>
              <w:t>5.3.1.2</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Stakeholder and community consultations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E2-IRO-1-11-(b)</w:t>
            </w:r>
          </w:p>
        </w:tc>
        <w:tc>
          <w:tcPr>
            <w:tcW w:type="dxa" w:w="1814"/>
          </w:tcPr>
          <w:p>
            <w:r>
              <w:rPr>
                <w:rFonts w:ascii="Arial" w:hAnsi="Arial"/>
                <w:b w:val="0"/>
                <w:i w:val="0"/>
                <w:color w:val="000000"/>
                <w:sz w:val="20"/>
              </w:rPr>
              <w:t>5.3.1.3</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Policy coverage: air, water and soil pollution mitigation</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E2-1-15-(a)</w:t>
            </w:r>
          </w:p>
        </w:tc>
        <w:tc>
          <w:tcPr>
            <w:tcW w:type="dxa" w:w="1814"/>
          </w:tcPr>
          <w:p>
            <w:r>
              <w:rPr>
                <w:rFonts w:ascii="Arial" w:hAnsi="Arial"/>
                <w:b w:val="0"/>
                <w:i w:val="0"/>
                <w:color w:val="000000"/>
                <w:sz w:val="20"/>
              </w:rPr>
              <w:t>5.3.2.1</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Policy coverage: SoC substitution and SVHC phase-out</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E2-1-15-(b)</w:t>
            </w:r>
          </w:p>
        </w:tc>
        <w:tc>
          <w:tcPr>
            <w:tcW w:type="dxa" w:w="1814"/>
          </w:tcPr>
          <w:p>
            <w:r>
              <w:rPr>
                <w:rFonts w:ascii="Arial" w:hAnsi="Arial"/>
                <w:b w:val="0"/>
                <w:i w:val="0"/>
                <w:color w:val="000000"/>
                <w:sz w:val="20"/>
              </w:rPr>
              <w:t>5.3.2.2</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Policy coverage: incident prevention and response</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E2-1-15-(c)</w:t>
            </w:r>
          </w:p>
        </w:tc>
        <w:tc>
          <w:tcPr>
            <w:tcW w:type="dxa" w:w="1814"/>
          </w:tcPr>
          <w:p>
            <w:r>
              <w:rPr>
                <w:rFonts w:ascii="Arial" w:hAnsi="Arial"/>
                <w:b w:val="0"/>
                <w:i w:val="0"/>
                <w:color w:val="000000"/>
                <w:sz w:val="20"/>
              </w:rPr>
              <w:t>5.3.2.3</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Contextual alignment with EU Zero Pollution Action Plan</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E2-1-AR-12</w:t>
            </w:r>
          </w:p>
        </w:tc>
        <w:tc>
          <w:tcPr>
            <w:tcW w:type="dxa" w:w="1814"/>
          </w:tcPr>
          <w:p>
            <w:r>
              <w:rPr>
                <w:rFonts w:ascii="Arial" w:hAnsi="Arial"/>
                <w:b w:val="0"/>
                <w:i w:val="0"/>
                <w:color w:val="000000"/>
                <w:sz w:val="20"/>
              </w:rPr>
              <w:t>5.3.2.4</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Mitigation hierarchy — pollution actions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E2-2-19</w:t>
            </w:r>
          </w:p>
        </w:tc>
        <w:tc>
          <w:tcPr>
            <w:tcW w:type="dxa" w:w="1814"/>
          </w:tcPr>
          <w:p>
            <w:r>
              <w:rPr>
                <w:rFonts w:ascii="Arial" w:hAnsi="Arial"/>
                <w:b w:val="0"/>
                <w:i w:val="0"/>
                <w:color w:val="000000"/>
                <w:sz w:val="20"/>
              </w:rPr>
              <w:t>5.3.3.1</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Pollution actions extending to value chain</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E2-2-AR-13</w:t>
            </w:r>
          </w:p>
        </w:tc>
        <w:tc>
          <w:tcPr>
            <w:tcW w:type="dxa" w:w="1814"/>
          </w:tcPr>
          <w:p>
            <w:r>
              <w:rPr>
                <w:rFonts w:ascii="Arial" w:hAnsi="Arial"/>
                <w:b w:val="0"/>
                <w:i w:val="0"/>
                <w:color w:val="000000"/>
                <w:sz w:val="20"/>
              </w:rPr>
              <w:t>5.3.3.2</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Mitigation hierarchy — pollution resources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E2-2-19</w:t>
            </w:r>
          </w:p>
        </w:tc>
        <w:tc>
          <w:tcPr>
            <w:tcW w:type="dxa" w:w="1814"/>
          </w:tcPr>
          <w:p>
            <w:r>
              <w:rPr>
                <w:rFonts w:ascii="Arial" w:hAnsi="Arial"/>
                <w:b w:val="0"/>
                <w:i w:val="0"/>
                <w:color w:val="000000"/>
                <w:sz w:val="20"/>
              </w:rPr>
              <w:t>5.3.3.3</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Site-level pollution prevention action plans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E2-2-AR-15</w:t>
            </w:r>
          </w:p>
        </w:tc>
        <w:tc>
          <w:tcPr>
            <w:tcW w:type="dxa" w:w="1814"/>
          </w:tcPr>
          <w:p>
            <w:r>
              <w:rPr>
                <w:rFonts w:ascii="Arial" w:hAnsi="Arial"/>
                <w:b w:val="0"/>
                <w:i w:val="0"/>
                <w:color w:val="000000"/>
                <w:sz w:val="20"/>
              </w:rPr>
              <w:t>5.3.3.4</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Target: air pollutants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E2-3-23-(a)</w:t>
            </w:r>
          </w:p>
        </w:tc>
        <w:tc>
          <w:tcPr>
            <w:tcW w:type="dxa" w:w="1814"/>
          </w:tcPr>
          <w:p>
            <w:r>
              <w:rPr>
                <w:rFonts w:ascii="Arial" w:hAnsi="Arial"/>
                <w:b w:val="0"/>
                <w:i w:val="0"/>
                <w:color w:val="000000"/>
                <w:sz w:val="20"/>
              </w:rPr>
              <w:t>5.3.4.1</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Target: emissions to water</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E2-3-23-(b)</w:t>
            </w:r>
          </w:p>
        </w:tc>
        <w:tc>
          <w:tcPr>
            <w:tcW w:type="dxa" w:w="1814"/>
          </w:tcPr>
          <w:p>
            <w:r>
              <w:rPr>
                <w:rFonts w:ascii="Arial" w:hAnsi="Arial"/>
                <w:b w:val="0"/>
                <w:i w:val="0"/>
                <w:color w:val="000000"/>
                <w:sz w:val="20"/>
              </w:rPr>
              <w:t>5.3.4.2</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Target: pollution to soil</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E2-3-23-(c)</w:t>
            </w:r>
          </w:p>
        </w:tc>
        <w:tc>
          <w:tcPr>
            <w:tcW w:type="dxa" w:w="1814"/>
          </w:tcPr>
          <w:p>
            <w:r>
              <w:rPr>
                <w:rFonts w:ascii="Arial" w:hAnsi="Arial"/>
                <w:b w:val="0"/>
                <w:i w:val="0"/>
                <w:color w:val="000000"/>
                <w:sz w:val="20"/>
              </w:rPr>
              <w:t>5.3.4.3</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Target: SoC and SVHC</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E2-3-23-(d)</w:t>
            </w:r>
          </w:p>
        </w:tc>
        <w:tc>
          <w:tcPr>
            <w:tcW w:type="dxa" w:w="1814"/>
          </w:tcPr>
          <w:p>
            <w:r>
              <w:rPr>
                <w:rFonts w:ascii="Arial" w:hAnsi="Arial"/>
                <w:b w:val="0"/>
                <w:i w:val="0"/>
                <w:color w:val="000000"/>
                <w:sz w:val="20"/>
              </w:rPr>
              <w:t>5.3.4.4</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Ecological thresholds and entity-specific allocations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E2-3-24</w:t>
            </w:r>
            <w:r>
              <w:rPr>
                <w:rFonts w:ascii="Arial" w:hAnsi="Arial"/>
                <w:b w:val="0"/>
                <w:i w:val="0"/>
                <w:color w:val="000000"/>
                <w:sz w:val="18"/>
              </w:rPr>
              <w:t xml:space="preserve"> | </w:t>
            </w:r>
            <w:r>
              <w:rPr>
                <w:rFonts w:ascii="Arial" w:hAnsi="Arial"/>
                <w:b w:val="0"/>
                <w:i w:val="0"/>
                <w:color w:val="00B050"/>
                <w:sz w:val="18"/>
              </w:rPr>
              <w:t>E2-3-AR-16-(a)</w:t>
            </w:r>
          </w:p>
        </w:tc>
        <w:tc>
          <w:tcPr>
            <w:tcW w:type="dxa" w:w="1814"/>
          </w:tcPr>
          <w:p>
            <w:r>
              <w:rPr>
                <w:rFonts w:ascii="Arial" w:hAnsi="Arial"/>
                <w:b w:val="0"/>
                <w:i w:val="0"/>
                <w:color w:val="000000"/>
                <w:sz w:val="20"/>
              </w:rPr>
              <w:t>5.3.4.5</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Methodology for ecological threshold identification</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E2-3-24</w:t>
            </w:r>
            <w:r>
              <w:rPr>
                <w:rFonts w:ascii="Arial" w:hAnsi="Arial"/>
                <w:b w:val="0"/>
                <w:i w:val="0"/>
                <w:color w:val="000000"/>
                <w:sz w:val="18"/>
              </w:rPr>
              <w:t xml:space="preserve"> | </w:t>
            </w:r>
            <w:r>
              <w:rPr>
                <w:rFonts w:ascii="Arial" w:hAnsi="Arial"/>
                <w:b w:val="0"/>
                <w:i w:val="0"/>
                <w:color w:val="00B050"/>
                <w:sz w:val="18"/>
              </w:rPr>
              <w:t>E2-3-AR-16-(b)</w:t>
            </w:r>
          </w:p>
        </w:tc>
        <w:tc>
          <w:tcPr>
            <w:tcW w:type="dxa" w:w="1814"/>
          </w:tcPr>
          <w:p>
            <w:r>
              <w:rPr>
                <w:rFonts w:ascii="Arial" w:hAnsi="Arial"/>
                <w:b w:val="0"/>
                <w:i w:val="0"/>
                <w:color w:val="000000"/>
                <w:sz w:val="20"/>
              </w:rPr>
              <w:t>5.3.4.6</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Responsibility, mandatory/voluntary status, Substantial Contribution</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E2-3-25</w:t>
            </w:r>
            <w:r>
              <w:rPr>
                <w:rFonts w:ascii="Arial" w:hAnsi="Arial"/>
                <w:b w:val="0"/>
                <w:i w:val="0"/>
                <w:color w:val="000000"/>
                <w:sz w:val="18"/>
              </w:rPr>
              <w:t xml:space="preserve"> | </w:t>
            </w:r>
            <w:r>
              <w:rPr>
                <w:rFonts w:ascii="Arial" w:hAnsi="Arial"/>
                <w:b w:val="0"/>
                <w:i w:val="0"/>
                <w:color w:val="00B050"/>
                <w:sz w:val="18"/>
              </w:rPr>
              <w:t>E2-3-AR-17</w:t>
            </w:r>
          </w:p>
        </w:tc>
        <w:tc>
          <w:tcPr>
            <w:tcW w:type="dxa" w:w="1814"/>
          </w:tcPr>
          <w:p>
            <w:r>
              <w:rPr>
                <w:rFonts w:ascii="Arial" w:hAnsi="Arial"/>
                <w:b w:val="0"/>
                <w:i w:val="0"/>
                <w:color w:val="000000"/>
                <w:sz w:val="20"/>
              </w:rPr>
              <w:t>5.3.4.7</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Pollution targets implemented at site level</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E2-3-AR-18</w:t>
            </w:r>
          </w:p>
        </w:tc>
        <w:tc>
          <w:tcPr>
            <w:tcW w:type="dxa" w:w="1814"/>
          </w:tcPr>
          <w:p>
            <w:r>
              <w:rPr>
                <w:rFonts w:ascii="Arial" w:hAnsi="Arial"/>
                <w:b w:val="0"/>
                <w:i w:val="0"/>
                <w:color w:val="000000"/>
                <w:sz w:val="20"/>
              </w:rPr>
              <w:t>5.3.4.8</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Emissions to air by pollutant (summary, sector, geo, source, site)</w:t>
            </w:r>
          </w:p>
        </w:tc>
        <w:tc>
          <w:tcPr>
            <w:tcW w:type="dxa" w:w="1814"/>
          </w:tcPr>
          <w:p>
            <w:r>
              <w:rPr>
                <w:rFonts w:ascii="Arial" w:hAnsi="Arial"/>
                <w:b w:val="0"/>
                <w:i w:val="0"/>
                <w:color w:val="0070C0"/>
                <w:sz w:val="18"/>
              </w:rPr>
              <w:t>GRI 305-7</w:t>
            </w:r>
          </w:p>
        </w:tc>
        <w:tc>
          <w:tcPr>
            <w:tcW w:type="dxa" w:w="1814"/>
          </w:tcPr>
          <w:p>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p>
        </w:tc>
        <w:tc>
          <w:tcPr>
            <w:tcW w:type="dxa" w:w="1814"/>
          </w:tcPr>
          <w:p>
            <w:r>
              <w:rPr>
                <w:rFonts w:ascii="Arial" w:hAnsi="Arial"/>
                <w:b w:val="0"/>
                <w:i w:val="0"/>
                <w:color w:val="000000"/>
                <w:sz w:val="20"/>
              </w:rPr>
              <w:t>5.3.5.1–5.3.5.5</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Microplastics generated and used — air</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E2-4-AR-20-(b)</w:t>
            </w:r>
          </w:p>
        </w:tc>
        <w:tc>
          <w:tcPr>
            <w:tcW w:type="dxa" w:w="1814"/>
          </w:tcPr>
          <w:p>
            <w:r>
              <w:rPr>
                <w:rFonts w:ascii="Arial" w:hAnsi="Arial"/>
                <w:b w:val="0"/>
                <w:i w:val="0"/>
                <w:color w:val="000000"/>
                <w:sz w:val="20"/>
              </w:rPr>
              <w:t>5.3.5.6</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Air: changes over time, methodologies, data collection, inferior methodology</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E2-4-30</w:t>
            </w:r>
            <w:r>
              <w:rPr>
                <w:rFonts w:ascii="Arial" w:hAnsi="Arial"/>
                <w:b w:val="0"/>
                <w:i w:val="0"/>
                <w:color w:val="000000"/>
                <w:sz w:val="18"/>
              </w:rPr>
              <w:t xml:space="preserve"> | </w:t>
            </w:r>
            <w:r>
              <w:rPr>
                <w:rFonts w:ascii="Arial" w:hAnsi="Arial"/>
                <w:b w:val="0"/>
                <w:i w:val="0"/>
                <w:color w:val="00B050"/>
                <w:sz w:val="18"/>
              </w:rPr>
              <w:t>E2-4-31</w:t>
            </w:r>
          </w:p>
        </w:tc>
        <w:tc>
          <w:tcPr>
            <w:tcW w:type="dxa" w:w="1814"/>
          </w:tcPr>
          <w:p>
            <w:r>
              <w:rPr>
                <w:rFonts w:ascii="Arial" w:hAnsi="Arial"/>
                <w:b w:val="0"/>
                <w:i w:val="0"/>
                <w:color w:val="000000"/>
                <w:sz w:val="20"/>
              </w:rPr>
              <w:t>5.3.5.7–5.3.5.10</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Emissions to water by pollutant (summary, sector, geo, source, site)</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p>
        </w:tc>
        <w:tc>
          <w:tcPr>
            <w:tcW w:type="dxa" w:w="1814"/>
          </w:tcPr>
          <w:p>
            <w:r>
              <w:rPr>
                <w:rFonts w:ascii="Arial" w:hAnsi="Arial"/>
                <w:b w:val="0"/>
                <w:i w:val="0"/>
                <w:color w:val="000000"/>
                <w:sz w:val="20"/>
              </w:rPr>
              <w:t>5.3.6.1–5.3.6.5</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Microplastics generated and used — water</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E2-4-AR-20-(b)</w:t>
            </w:r>
          </w:p>
        </w:tc>
        <w:tc>
          <w:tcPr>
            <w:tcW w:type="dxa" w:w="1814"/>
          </w:tcPr>
          <w:p>
            <w:r>
              <w:rPr>
                <w:rFonts w:ascii="Arial" w:hAnsi="Arial"/>
                <w:b w:val="0"/>
                <w:i w:val="0"/>
                <w:color w:val="000000"/>
                <w:sz w:val="20"/>
              </w:rPr>
              <w:t>5.3.6.6</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Emissions to water in areas with water stress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E2-4-AR-23-(c)</w:t>
            </w:r>
          </w:p>
        </w:tc>
        <w:tc>
          <w:tcPr>
            <w:tcW w:type="dxa" w:w="1814"/>
          </w:tcPr>
          <w:p>
            <w:r>
              <w:rPr>
                <w:rFonts w:ascii="Arial" w:hAnsi="Arial"/>
                <w:b w:val="0"/>
                <w:i w:val="0"/>
                <w:color w:val="000000"/>
                <w:sz w:val="20"/>
              </w:rPr>
              <w:t>5.3.6.7</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Water: changes over time, methodologies, data collection, inferior methodology</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E2-4-30</w:t>
            </w:r>
            <w:r>
              <w:rPr>
                <w:rFonts w:ascii="Arial" w:hAnsi="Arial"/>
                <w:b w:val="0"/>
                <w:i w:val="0"/>
                <w:color w:val="000000"/>
                <w:sz w:val="18"/>
              </w:rPr>
              <w:t xml:space="preserve"> | </w:t>
            </w:r>
            <w:r>
              <w:rPr>
                <w:rFonts w:ascii="Arial" w:hAnsi="Arial"/>
                <w:b w:val="0"/>
                <w:i w:val="0"/>
                <w:color w:val="00B050"/>
                <w:sz w:val="18"/>
              </w:rPr>
              <w:t>E2-4-31</w:t>
            </w:r>
          </w:p>
        </w:tc>
        <w:tc>
          <w:tcPr>
            <w:tcW w:type="dxa" w:w="1814"/>
          </w:tcPr>
          <w:p>
            <w:r>
              <w:rPr>
                <w:rFonts w:ascii="Arial" w:hAnsi="Arial"/>
                <w:b w:val="0"/>
                <w:i w:val="0"/>
                <w:color w:val="000000"/>
                <w:sz w:val="20"/>
              </w:rPr>
              <w:t>5.3.6.8–5.3.6.11</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Emissions to soil by pollutant (summary, sector, geo, source, site)</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E2-4-28</w:t>
            </w:r>
            <w:r>
              <w:rPr>
                <w:rFonts w:ascii="Arial" w:hAnsi="Arial"/>
                <w:b w:val="0"/>
                <w:i w:val="0"/>
                <w:color w:val="000000"/>
                <w:sz w:val="18"/>
              </w:rPr>
              <w:t xml:space="preserve"> | </w:t>
            </w:r>
            <w:r>
              <w:rPr>
                <w:rFonts w:ascii="Arial" w:hAnsi="Arial"/>
                <w:b w:val="0"/>
                <w:i w:val="0"/>
                <w:color w:val="00B050"/>
                <w:sz w:val="18"/>
              </w:rPr>
              <w:t>E2-4-AR-22-(a)</w:t>
            </w:r>
          </w:p>
        </w:tc>
        <w:tc>
          <w:tcPr>
            <w:tcW w:type="dxa" w:w="1814"/>
          </w:tcPr>
          <w:p>
            <w:r>
              <w:rPr>
                <w:rFonts w:ascii="Arial" w:hAnsi="Arial"/>
                <w:b w:val="0"/>
                <w:i w:val="0"/>
                <w:color w:val="000000"/>
                <w:sz w:val="20"/>
              </w:rPr>
              <w:t>5.3.7.1–5.3.7.5</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Microplastics generated and used — soil</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E2-4-AR-20-(b)</w:t>
            </w:r>
          </w:p>
        </w:tc>
        <w:tc>
          <w:tcPr>
            <w:tcW w:type="dxa" w:w="1814"/>
          </w:tcPr>
          <w:p>
            <w:r>
              <w:rPr>
                <w:rFonts w:ascii="Arial" w:hAnsi="Arial"/>
                <w:b w:val="0"/>
                <w:i w:val="0"/>
                <w:color w:val="000000"/>
                <w:sz w:val="20"/>
              </w:rPr>
              <w:t>5.3.7.6</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Emissions to soil in areas with water stress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E2-4-AR-23-(c)</w:t>
            </w:r>
          </w:p>
        </w:tc>
        <w:tc>
          <w:tcPr>
            <w:tcW w:type="dxa" w:w="1814"/>
          </w:tcPr>
          <w:p>
            <w:r>
              <w:rPr>
                <w:rFonts w:ascii="Arial" w:hAnsi="Arial"/>
                <w:b w:val="0"/>
                <w:i w:val="0"/>
                <w:color w:val="000000"/>
                <w:sz w:val="20"/>
              </w:rPr>
              <w:t>5.3.7.7</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Soil: changes over time, methodologies, data collection, inferior methodology</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E2-4-30</w:t>
            </w:r>
            <w:r>
              <w:rPr>
                <w:rFonts w:ascii="Arial" w:hAnsi="Arial"/>
                <w:b w:val="0"/>
                <w:i w:val="0"/>
                <w:color w:val="000000"/>
                <w:sz w:val="18"/>
              </w:rPr>
              <w:t xml:space="preserve"> | </w:t>
            </w:r>
            <w:r>
              <w:rPr>
                <w:rFonts w:ascii="Arial" w:hAnsi="Arial"/>
                <w:b w:val="0"/>
                <w:i w:val="0"/>
                <w:color w:val="00B050"/>
                <w:sz w:val="18"/>
              </w:rPr>
              <w:t>E2-4-31</w:t>
            </w:r>
          </w:p>
        </w:tc>
        <w:tc>
          <w:tcPr>
            <w:tcW w:type="dxa" w:w="1814"/>
          </w:tcPr>
          <w:p>
            <w:r>
              <w:rPr>
                <w:rFonts w:ascii="Arial" w:hAnsi="Arial"/>
                <w:b w:val="0"/>
                <w:i w:val="0"/>
                <w:color w:val="000000"/>
                <w:sz w:val="20"/>
              </w:rPr>
              <w:t>5.3.7.8–5.3.7.11</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IED applicability and relevant BREFs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E2-4-AR-25</w:t>
            </w:r>
          </w:p>
        </w:tc>
        <w:tc>
          <w:tcPr>
            <w:tcW w:type="dxa" w:w="1814"/>
          </w:tcPr>
          <w:p>
            <w:r>
              <w:rPr>
                <w:rFonts w:ascii="Arial" w:hAnsi="Arial"/>
                <w:b w:val="0"/>
                <w:i w:val="0"/>
                <w:color w:val="000000"/>
                <w:sz w:val="20"/>
              </w:rPr>
              <w:t>5.3.8.1</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List of IED-regulated installations and BAT Conclusions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E2-4-AR-25-(a)</w:t>
            </w:r>
          </w:p>
        </w:tc>
        <w:tc>
          <w:tcPr>
            <w:tcW w:type="dxa" w:w="1814"/>
          </w:tcPr>
          <w:p>
            <w:r>
              <w:rPr>
                <w:rFonts w:ascii="Arial" w:hAnsi="Arial"/>
                <w:b w:val="0"/>
                <w:i w:val="0"/>
                <w:color w:val="000000"/>
                <w:sz w:val="20"/>
              </w:rPr>
              <w:t>5.3.8.2</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Non-compliance incidents and enforcement actions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E2-4-AR-25-(b)</w:t>
            </w:r>
          </w:p>
        </w:tc>
        <w:tc>
          <w:tcPr>
            <w:tcW w:type="dxa" w:w="1814"/>
          </w:tcPr>
          <w:p>
            <w:r>
              <w:rPr>
                <w:rFonts w:ascii="Arial" w:hAnsi="Arial"/>
                <w:b w:val="0"/>
                <w:i w:val="0"/>
                <w:color w:val="000000"/>
                <w:sz w:val="20"/>
              </w:rPr>
              <w:t>5.3.8.3</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Actual emission performance vs BAT-AEL</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E2-4-AR-25-(c)</w:t>
            </w:r>
          </w:p>
        </w:tc>
        <w:tc>
          <w:tcPr>
            <w:tcW w:type="dxa" w:w="1814"/>
          </w:tcPr>
          <w:p>
            <w:r>
              <w:rPr>
                <w:rFonts w:ascii="Arial" w:hAnsi="Arial"/>
                <w:b w:val="0"/>
                <w:i w:val="0"/>
                <w:color w:val="000000"/>
                <w:sz w:val="20"/>
              </w:rPr>
              <w:t>5.3.8.4</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Actual environmental performance vs BAT-AEPL</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E2-4-AR-25-(d)</w:t>
            </w:r>
          </w:p>
        </w:tc>
        <w:tc>
          <w:tcPr>
            <w:tcW w:type="dxa" w:w="1814"/>
          </w:tcPr>
          <w:p>
            <w:r>
              <w:rPr>
                <w:rFonts w:ascii="Arial" w:hAnsi="Arial"/>
                <w:b w:val="0"/>
                <w:i w:val="0"/>
                <w:color w:val="000000"/>
                <w:sz w:val="20"/>
              </w:rPr>
              <w:t>5.3.8.5</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Compliance schedules and Article 15(4) derogations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E2-4-AR-25-(e)</w:t>
            </w:r>
          </w:p>
        </w:tc>
        <w:tc>
          <w:tcPr>
            <w:tcW w:type="dxa" w:w="1814"/>
          </w:tcPr>
          <w:p>
            <w:r>
              <w:rPr>
                <w:rFonts w:ascii="Arial" w:hAnsi="Arial"/>
                <w:b w:val="0"/>
                <w:i w:val="0"/>
                <w:color w:val="000000"/>
                <w:sz w:val="20"/>
              </w:rPr>
              <w:t>5.3.8.6</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Amounts of SoC leaving facilities and total generated/used/procured</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E2-5-34</w:t>
            </w:r>
          </w:p>
        </w:tc>
        <w:tc>
          <w:tcPr>
            <w:tcW w:type="dxa" w:w="1814"/>
          </w:tcPr>
          <w:p>
            <w:r>
              <w:rPr>
                <w:rFonts w:ascii="Arial" w:hAnsi="Arial"/>
                <w:b w:val="0"/>
                <w:i w:val="0"/>
                <w:color w:val="000000"/>
                <w:sz w:val="20"/>
              </w:rPr>
              <w:t>5.3.9.1–5.3.9.6</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Amounts of SVHC leaving facilities and total generated/used/procured</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E2-5-35</w:t>
            </w:r>
          </w:p>
        </w:tc>
        <w:tc>
          <w:tcPr>
            <w:tcW w:type="dxa" w:w="1814"/>
          </w:tcPr>
          <w:p>
            <w:r>
              <w:rPr>
                <w:rFonts w:ascii="Arial" w:hAnsi="Arial"/>
                <w:b w:val="0"/>
                <w:i w:val="0"/>
                <w:color w:val="000000"/>
                <w:sz w:val="20"/>
              </w:rPr>
              <w:t>5.3.10.1–5.3.10.6</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Quantitative anticipated financial effects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E2-6-40-(a)</w:t>
            </w:r>
          </w:p>
        </w:tc>
        <w:tc>
          <w:tcPr>
            <w:tcW w:type="dxa" w:w="1814"/>
          </w:tcPr>
          <w:p>
            <w:r>
              <w:rPr>
                <w:rFonts w:ascii="Arial" w:hAnsi="Arial"/>
                <w:b w:val="0"/>
                <w:i w:val="0"/>
                <w:color w:val="000000"/>
                <w:sz w:val="20"/>
              </w:rPr>
              <w:t>5.3.11.1–5.3.11.3</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Qualitative anticipated financial effects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E2-6-39-(a)</w:t>
            </w:r>
          </w:p>
        </w:tc>
        <w:tc>
          <w:tcPr>
            <w:tcW w:type="dxa" w:w="1814"/>
          </w:tcPr>
          <w:p>
            <w:r>
              <w:rPr>
                <w:rFonts w:ascii="Arial" w:hAnsi="Arial"/>
                <w:b w:val="0"/>
                <w:i w:val="0"/>
                <w:color w:val="000000"/>
                <w:sz w:val="20"/>
              </w:rPr>
              <w:t>5.3.11.4</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Effects considered, related impacts and time horizons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E2-6-39-(b)</w:t>
            </w:r>
          </w:p>
        </w:tc>
        <w:tc>
          <w:tcPr>
            <w:tcW w:type="dxa" w:w="1814"/>
          </w:tcPr>
          <w:p>
            <w:r>
              <w:rPr>
                <w:rFonts w:ascii="Arial" w:hAnsi="Arial"/>
                <w:b w:val="0"/>
                <w:i w:val="0"/>
                <w:color w:val="000000"/>
                <w:sz w:val="20"/>
              </w:rPr>
              <w:t>5.3.11.5</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Critical assumptions, sources and uncertainty</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E2-6-39-(c)</w:t>
            </w:r>
          </w:p>
        </w:tc>
        <w:tc>
          <w:tcPr>
            <w:tcW w:type="dxa" w:w="1814"/>
          </w:tcPr>
          <w:p>
            <w:r>
              <w:rPr>
                <w:rFonts w:ascii="Arial" w:hAnsi="Arial"/>
                <w:b w:val="0"/>
                <w:i w:val="0"/>
                <w:color w:val="000000"/>
                <w:sz w:val="20"/>
              </w:rPr>
              <w:t>5.3.11.6</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Material incidents and deposits with negative financial impacts</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E2-6-41</w:t>
            </w:r>
          </w:p>
        </w:tc>
        <w:tc>
          <w:tcPr>
            <w:tcW w:type="dxa" w:w="1814"/>
          </w:tcPr>
          <w:p>
            <w:r>
              <w:rPr>
                <w:rFonts w:ascii="Arial" w:hAnsi="Arial"/>
                <w:b w:val="0"/>
                <w:i w:val="0"/>
                <w:color w:val="000000"/>
                <w:sz w:val="20"/>
              </w:rPr>
              <w:t>5.3.11.7</w:t>
            </w:r>
          </w:p>
        </w:tc>
        <w:tc>
          <w:tcPr>
            <w:tcW w:type="dxa" w:w="1814"/>
          </w:tcPr>
          <w:p>
            <w:r>
              <w:rPr>
                <w:rFonts w:ascii="Arial" w:hAnsi="Arial"/>
                <w:b w:val="0"/>
                <w:i w:val="0"/>
                <w:color w:val="000000"/>
                <w:sz w:val="20"/>
              </w:rPr>
              <w:t>Full</w:t>
            </w:r>
          </w:p>
        </w:tc>
      </w:tr>
      <w:tr>
        <w:tc>
          <w:tcPr>
            <w:tcW w:type="dxa" w:w="1814"/>
          </w:tcPr>
          <w:p>
            <w:r>
              <w:rPr>
                <w:rFonts w:ascii="Arial" w:hAnsi="Arial"/>
                <w:b w:val="0"/>
                <w:i w:val="0"/>
                <w:color w:val="000000"/>
                <w:sz w:val="20"/>
              </w:rPr>
              <w:t>Assessment of related products and services at risk</w:t>
            </w:r>
          </w:p>
        </w:tc>
        <w:tc>
          <w:tcPr>
            <w:tcW w:type="dxa" w:w="1814"/>
          </w:tcPr>
          <w:p>
            <w:r>
              <w:rPr>
                <w:rFonts w:ascii="Arial" w:hAnsi="Arial"/>
                <w:b w:val="0"/>
                <w:i w:val="0"/>
                <w:color w:val="000000"/>
                <w:sz w:val="18"/>
              </w:rPr>
              <w:t>—</w:t>
            </w:r>
          </w:p>
        </w:tc>
        <w:tc>
          <w:tcPr>
            <w:tcW w:type="dxa" w:w="1814"/>
          </w:tcPr>
          <w:p>
            <w:r>
              <w:rPr>
                <w:rFonts w:ascii="Arial" w:hAnsi="Arial"/>
                <w:b w:val="0"/>
                <w:i w:val="0"/>
                <w:color w:val="00B050"/>
                <w:sz w:val="18"/>
              </w:rPr>
              <w:t>ESRS E2-6-AR-33</w:t>
            </w:r>
          </w:p>
        </w:tc>
        <w:tc>
          <w:tcPr>
            <w:tcW w:type="dxa" w:w="1814"/>
          </w:tcPr>
          <w:p>
            <w:r>
              <w:rPr>
                <w:rFonts w:ascii="Arial" w:hAnsi="Arial"/>
                <w:b w:val="0"/>
                <w:i w:val="0"/>
                <w:color w:val="000000"/>
                <w:sz w:val="20"/>
              </w:rPr>
              <w:t>5.3.11.8</w:t>
            </w:r>
          </w:p>
        </w:tc>
        <w:tc>
          <w:tcPr>
            <w:tcW w:type="dxa" w:w="1814"/>
          </w:tcPr>
          <w:p>
            <w:r>
              <w:rPr>
                <w:rFonts w:ascii="Arial" w:hAnsi="Arial"/>
                <w:b w:val="0"/>
                <w:i w:val="0"/>
                <w:color w:val="000000"/>
                <w:sz w:val="20"/>
              </w:rPr>
              <w:t>Full</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