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40"/>
        </w:rPr>
        <w:t>GOVERNMENT GAZETTE NOTIFICATIONS</w:t>
      </w:r>
    </w:p>
    <w:p>
      <w:pPr>
        <w:jc w:val="center"/>
      </w:pPr>
      <w:r>
        <w:rPr>
          <w:rFonts w:ascii="Calibri" w:hAnsi="Calibri"/>
          <w:b w:val="0"/>
          <w:color w:val="505050"/>
          <w:sz w:val="24"/>
        </w:rPr>
        <w:t>Plain-Language Summary — Three Official Notifications (May 2026)</w:t>
      </w:r>
    </w:p>
    <w:p>
      <w:pPr>
        <w:jc w:val="center"/>
      </w:pPr>
      <w:r>
        <w:rPr>
          <w:rFonts w:ascii="Calibri" w:hAnsi="Calibri"/>
          <w:b w:val="0"/>
          <w:color w:val="787878"/>
          <w:sz w:val="20"/>
        </w:rPr>
        <w:t>Prepared: 03 June 2026</w:t>
      </w:r>
    </w:p>
    <w:p/>
    <w:p>
      <w:pPr>
        <w:pBdr>
          <w:bottom w:val="single" w:sz="6" w:space="1" w:color="4472C4"/>
        </w:pBdr>
        <w:spacing w:before="40" w:after="160"/>
      </w:pPr>
    </w:p>
    <w:p>
      <w:pPr>
        <w:spacing w:before="280" w:after="80"/>
        <w:jc w:val="left"/>
      </w:pPr>
      <w:r>
        <w:rPr>
          <w:rFonts w:ascii="Calibri" w:hAnsi="Calibri"/>
          <w:b/>
          <w:color w:val="0054A6"/>
          <w:sz w:val="26"/>
        </w:rPr>
        <w:t>DOCUMENTS COVERED</w:t>
      </w:r>
    </w:p>
    <w:p>
      <w:pPr>
        <w:spacing w:after="80"/>
        <w:ind w:left="283"/>
      </w:pPr>
      <w:r>
        <w:rPr>
          <w:rFonts w:ascii="Calibri" w:hAnsi="Calibri"/>
          <w:b/>
          <w:color w:val="0054A6"/>
          <w:sz w:val="22"/>
        </w:rPr>
        <w:t xml:space="preserve">Document 1  |  </w:t>
      </w:r>
      <w:r>
        <w:rPr>
          <w:rFonts w:ascii="Calibri" w:hAnsi="Calibri"/>
          <w:b/>
          <w:sz w:val="22"/>
        </w:rPr>
        <w:t xml:space="preserve">EPF Wage Ceiling Notification  </w:t>
      </w:r>
      <w:r>
        <w:rPr>
          <w:rFonts w:ascii="Calibri" w:hAnsi="Calibri"/>
          <w:b w:val="0"/>
          <w:color w:val="646464"/>
          <w:sz w:val="20"/>
        </w:rPr>
        <w:t>(S.O. 2702(E) | Ministry of Labour &amp; Employment | 29 May 2026)</w:t>
      </w:r>
    </w:p>
    <w:p>
      <w:pPr>
        <w:spacing w:after="80"/>
        <w:ind w:left="283"/>
      </w:pPr>
      <w:r>
        <w:rPr>
          <w:rFonts w:ascii="Calibri" w:hAnsi="Calibri"/>
          <w:b/>
          <w:color w:val="0054A6"/>
          <w:sz w:val="22"/>
        </w:rPr>
        <w:t xml:space="preserve">Document 2  |  </w:t>
      </w:r>
      <w:r>
        <w:rPr>
          <w:rFonts w:ascii="Calibri" w:hAnsi="Calibri"/>
          <w:b/>
          <w:sz w:val="22"/>
        </w:rPr>
        <w:t xml:space="preserve">CSR – ZCZP Schedule VII Amendment  </w:t>
      </w:r>
      <w:r>
        <w:rPr>
          <w:rFonts w:ascii="Calibri" w:hAnsi="Calibri"/>
          <w:b w:val="0"/>
          <w:color w:val="646464"/>
          <w:sz w:val="20"/>
        </w:rPr>
        <w:t>(G.S.R. 416(E) | Ministry of Corporate Affairs | 27 May 2026)</w:t>
      </w:r>
    </w:p>
    <w:p>
      <w:pPr>
        <w:spacing w:after="80"/>
        <w:ind w:left="283"/>
      </w:pPr>
      <w:r>
        <w:rPr>
          <w:rFonts w:ascii="Calibri" w:hAnsi="Calibri"/>
          <w:b/>
          <w:color w:val="0054A6"/>
          <w:sz w:val="22"/>
        </w:rPr>
        <w:t xml:space="preserve">Document 3  |  </w:t>
      </w:r>
      <w:r>
        <w:rPr>
          <w:rFonts w:ascii="Calibri" w:hAnsi="Calibri"/>
          <w:b/>
          <w:sz w:val="22"/>
        </w:rPr>
        <w:t xml:space="preserve">CSR – ZCZP Policy Amendment Rules  </w:t>
      </w:r>
      <w:r>
        <w:rPr>
          <w:rFonts w:ascii="Calibri" w:hAnsi="Calibri"/>
          <w:b w:val="0"/>
          <w:color w:val="646464"/>
          <w:sz w:val="20"/>
        </w:rPr>
        <w:t>(G.S.R. 415(E) | Ministry of Corporate Affairs | 27 May 2026)</w:t>
      </w:r>
    </w:p>
    <w:p>
      <w:pPr>
        <w:pBdr>
          <w:bottom w:val="single" w:sz="6" w:space="1" w:color="4472C4"/>
        </w:pBdr>
        <w:spacing w:before="40" w:after="160"/>
      </w:pPr>
    </w:p>
    <w:p>
      <w:pPr>
        <w:spacing w:before="280" w:after="80"/>
        <w:jc w:val="left"/>
      </w:pPr>
      <w:r>
        <w:rPr>
          <w:rFonts w:ascii="Calibri" w:hAnsi="Calibri"/>
          <w:b/>
          <w:color w:val="003366"/>
          <w:sz w:val="32"/>
        </w:rPr>
        <w:t>DOCUMENT 1 — EPF Wage Ceiling Notification</w:t>
      </w:r>
    </w:p>
    <w:p>
      <w:pPr>
        <w:spacing w:before="280" w:after="80"/>
        <w:jc w:val="left"/>
      </w:pPr>
      <w:r>
        <w:rPr>
          <w:rFonts w:ascii="Calibri" w:hAnsi="Calibri"/>
          <w:b/>
          <w:color w:val="0054A6"/>
          <w:sz w:val="26"/>
        </w:rPr>
        <w:t>At a Glance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Notification No.: </w:t>
      </w:r>
      <w:r>
        <w:rPr>
          <w:rFonts w:ascii="Calibri" w:hAnsi="Calibri"/>
          <w:b w:val="0"/>
          <w:sz w:val="22"/>
        </w:rPr>
        <w:t>S.O. 2702(E)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Issuing Authority: </w:t>
      </w:r>
      <w:r>
        <w:rPr>
          <w:rFonts w:ascii="Calibri" w:hAnsi="Calibri"/>
          <w:b w:val="0"/>
          <w:sz w:val="22"/>
        </w:rPr>
        <w:t>Ministry of Labour and Employment, Government of India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Date: </w:t>
      </w:r>
      <w:r>
        <w:rPr>
          <w:rFonts w:ascii="Calibri" w:hAnsi="Calibri"/>
          <w:b w:val="0"/>
          <w:sz w:val="22"/>
        </w:rPr>
        <w:t>29 May 2026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Legal Basis: </w:t>
      </w:r>
      <w:r>
        <w:rPr>
          <w:rFonts w:ascii="Calibri" w:hAnsi="Calibri"/>
          <w:b w:val="0"/>
          <w:sz w:val="22"/>
        </w:rPr>
        <w:t>Code on Social Security, 2020 — Section 2, Clause (89)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Signed by: </w:t>
      </w:r>
      <w:r>
        <w:rPr>
          <w:rFonts w:ascii="Calibri" w:hAnsi="Calibri"/>
          <w:b w:val="0"/>
          <w:sz w:val="22"/>
        </w:rPr>
        <w:t>Tejaswi S. Naik, Joint Secretary</w:t>
      </w:r>
    </w:p>
    <w:p/>
    <w:p>
      <w:pPr>
        <w:spacing w:before="280" w:after="80"/>
        <w:jc w:val="left"/>
      </w:pPr>
      <w:r>
        <w:rPr>
          <w:rFonts w:ascii="Calibri" w:hAnsi="Calibri"/>
          <w:b/>
          <w:color w:val="0054A6"/>
          <w:sz w:val="26"/>
        </w:rPr>
        <w:t>What Does It Say — In Plain English?</w:t>
      </w:r>
    </w:p>
    <w:p>
      <w:pPr>
        <w:spacing w:after="80"/>
      </w:pPr>
      <w:r>
        <w:rPr>
          <w:rFonts w:ascii="Calibri" w:hAnsi="Calibri"/>
          <w:b w:val="0"/>
          <w:sz w:val="22"/>
        </w:rPr>
        <w:t>The Central Government has officially fixed ₹15,000 per month as the wage ceiling for the purpose of Employees' Provident Fund (EPF) contributions under Chapter III of the Code on Social Security, 2020.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What Is a 'Wage Ceiling'?</w:t>
      </w:r>
    </w:p>
    <w:p>
      <w:pPr>
        <w:spacing w:after="80"/>
      </w:pPr>
      <w:r>
        <w:rPr>
          <w:rFonts w:ascii="Calibri" w:hAnsi="Calibri"/>
          <w:b w:val="0"/>
          <w:sz w:val="22"/>
        </w:rPr>
        <w:t>A wage ceiling is the maximum salary limit used to calculate mandatory EPF contributions. If an employee earns ₹15,000 or less per month, their EPF contribution is calculated on their full salary. If they earn more than ₹15,000, the employer's mandatory EPF contribution is still calculated based on ₹15,000 — even if the employee voluntarily contributes on a higher amount.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Why Does This Matter?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Every employer who has employees earning up to ₹15,000/month MUST enroll them in EPF.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Minimum EPF contribution = 12% of ₹15,000 = ₹1,800/month from the employee.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The employer also contributes 12% of ₹15,000, split between EPF and EPS (Employee Pension Scheme).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This is the threshold that determines who is covered under the mandatory EPF scheme.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Who Is Affected?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All employers with 20 or more employees.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Employees drawing a basic wage up to ₹15,000/month are automatically covered.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Employees earning above ₹15,000 can still join voluntarily, but the employer's statutory liability is capped at the ₹15,000 ceiling.</w:t>
      </w:r>
    </w:p>
    <w:p>
      <w:pPr>
        <w:spacing w:after="120"/>
        <w:ind w:left="283"/>
        <w:shd w:val="clear" w:color="auto" w:fill="D6E4F0"/>
      </w:pPr>
      <w:r>
        <w:rPr>
          <w:rFonts w:ascii="Calibri" w:hAnsi="Calibri"/>
          <w:b/>
          <w:color w:val="FFFFFF"/>
          <w:sz w:val="20"/>
        </w:rPr>
        <w:t xml:space="preserve">  KEY POINT:  </w:t>
      </w:r>
      <w:r>
        <w:rPr>
          <w:rFonts w:ascii="Calibri" w:hAnsi="Calibri"/>
          <w:b w:val="0"/>
          <w:color w:val="3C3C3C"/>
          <w:sz w:val="20"/>
        </w:rPr>
        <w:t xml:space="preserve"> This notification retains the existing ₹15,000 wage ceiling that has been in place since September 2014, now formally renotified under the new Code on Social Security, 2020 framework — replacing the older EPF &amp; MP Act, 1952 reference.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Critical Assessment</w:t>
      </w:r>
    </w:p>
    <w:p>
      <w:pPr>
        <w:spacing w:after="80"/>
      </w:pPr>
      <w:r>
        <w:rPr>
          <w:rFonts w:ascii="Calibri" w:hAnsi="Calibri"/>
          <w:b w:val="0"/>
          <w:sz w:val="22"/>
        </w:rPr>
        <w:t>The wage ceiling of ₹15,000/month has not been revised upward despite significant inflation since 2014. Given that minimum wages in many states now exceed ₹15,000/month, this ceiling has become less effective at expanding EPF coverage. Critics argue it should be revised to ₹21,000–₹25,000 to bring more workers under social security protection. This notification, however, simply migrates the existing ceiling into the new legal framework — it is a housekeeping measure, not a policy change.</w:t>
      </w:r>
    </w:p>
    <w:p>
      <w:pPr>
        <w:pBdr>
          <w:bottom w:val="single" w:sz="6" w:space="1" w:color="4472C4"/>
        </w:pBdr>
        <w:spacing w:before="40" w:after="160"/>
      </w:pPr>
    </w:p>
    <w:p>
      <w:pPr>
        <w:spacing w:before="280" w:after="80"/>
        <w:jc w:val="left"/>
      </w:pPr>
      <w:r>
        <w:rPr>
          <w:rFonts w:ascii="Calibri" w:hAnsi="Calibri"/>
          <w:b/>
          <w:color w:val="003366"/>
          <w:sz w:val="32"/>
        </w:rPr>
        <w:t>DOCUMENT 2 — CSR: Addition of ZCZP to Schedule VII (Companies Act)</w:t>
      </w:r>
    </w:p>
    <w:p>
      <w:pPr>
        <w:spacing w:before="280" w:after="80"/>
        <w:jc w:val="left"/>
      </w:pPr>
      <w:r>
        <w:rPr>
          <w:rFonts w:ascii="Calibri" w:hAnsi="Calibri"/>
          <w:b/>
          <w:color w:val="0054A6"/>
          <w:sz w:val="26"/>
        </w:rPr>
        <w:t>At a Glance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Notification No.: </w:t>
      </w:r>
      <w:r>
        <w:rPr>
          <w:rFonts w:ascii="Calibri" w:hAnsi="Calibri"/>
          <w:b w:val="0"/>
          <w:sz w:val="22"/>
        </w:rPr>
        <w:t>G.S.R. 416(E)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Issuing Authority: </w:t>
      </w:r>
      <w:r>
        <w:rPr>
          <w:rFonts w:ascii="Calibri" w:hAnsi="Calibri"/>
          <w:b w:val="0"/>
          <w:sz w:val="22"/>
        </w:rPr>
        <w:t>Ministry of Corporate Affairs, Government of India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Date: </w:t>
      </w:r>
      <w:r>
        <w:rPr>
          <w:rFonts w:ascii="Calibri" w:hAnsi="Calibri"/>
          <w:b w:val="0"/>
          <w:sz w:val="22"/>
        </w:rPr>
        <w:t>27 May 2026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Legal Basis: </w:t>
      </w:r>
      <w:r>
        <w:rPr>
          <w:rFonts w:ascii="Calibri" w:hAnsi="Calibri"/>
          <w:b w:val="0"/>
          <w:sz w:val="22"/>
        </w:rPr>
        <w:t>Companies Act, 2013 — Section 467(1)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Signed by: </w:t>
      </w:r>
      <w:r>
        <w:rPr>
          <w:rFonts w:ascii="Calibri" w:hAnsi="Calibri"/>
          <w:b w:val="0"/>
          <w:sz w:val="22"/>
        </w:rPr>
        <w:t>Rahul Jain, Joint Secretary</w:t>
      </w:r>
    </w:p>
    <w:p/>
    <w:p>
      <w:pPr>
        <w:spacing w:before="280" w:after="80"/>
        <w:jc w:val="left"/>
      </w:pPr>
      <w:r>
        <w:rPr>
          <w:rFonts w:ascii="Calibri" w:hAnsi="Calibri"/>
          <w:b/>
          <w:color w:val="0054A6"/>
          <w:sz w:val="26"/>
        </w:rPr>
        <w:t>What Does It Say — In Plain English?</w:t>
      </w:r>
    </w:p>
    <w:p>
      <w:pPr>
        <w:spacing w:after="80"/>
      </w:pPr>
      <w:r>
        <w:rPr>
          <w:rFonts w:ascii="Calibri" w:hAnsi="Calibri"/>
          <w:b w:val="0"/>
          <w:sz w:val="22"/>
        </w:rPr>
        <w:t>Schedule VII of the Companies Act lists the activities that qualify as valid Corporate Social Responsibility (CSR) spending. This notification adds a brand-new item (xiii) to that list:</w:t>
      </w:r>
    </w:p>
    <w:p>
      <w:pPr>
        <w:ind w:left="567" w:right="567"/>
        <w:jc w:val="center"/>
        <w:shd w:val="clear" w:color="auto" w:fill="EBF5FB"/>
      </w:pPr>
      <w:r>
        <w:rPr>
          <w:rFonts w:ascii="Calibri" w:hAnsi="Calibri"/>
          <w:b/>
          <w:color w:val="0054A6"/>
          <w:sz w:val="22"/>
        </w:rPr>
        <w:t>"Subscription to zero coupon zero principal instruments on Social Stock Exchange."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Background: What is Schedule VII?</w:t>
      </w:r>
    </w:p>
    <w:p>
      <w:pPr>
        <w:spacing w:after="80"/>
      </w:pPr>
      <w:r>
        <w:rPr>
          <w:rFonts w:ascii="Calibri" w:hAnsi="Calibri"/>
          <w:b w:val="0"/>
          <w:sz w:val="22"/>
        </w:rPr>
        <w:t>Under Indian law, certain companies (profitable ones meeting size thresholds) must spend at least 2% of their average net profit on CSR activities. Schedule VII lists the approved categories — health, education, environment, poverty reduction, etc. Only spending on these listed activities counts as valid CSR.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What is a Zero Coupon Zero Principal (ZCZP) Instrument?</w:t>
      </w:r>
    </w:p>
    <w:p>
      <w:pPr>
        <w:spacing w:after="80"/>
      </w:pPr>
      <w:r>
        <w:rPr>
          <w:rFonts w:ascii="Calibri" w:hAnsi="Calibri"/>
          <w:b w:val="0"/>
          <w:sz w:val="22"/>
        </w:rPr>
        <w:t>A ZCZP instrument is a unique financial security issued by a Non-Profit Organisation (NPO) listed on India's Social Stock Exchange (SSE). Here's what makes it unusual: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Zero Coupon: The investor receives NO interest / returns.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Zero Principal: The investor gets NO money back at maturity.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It is essentially a donation packaged as a financial instrument, giving it SEBI-regulated structure and transparency.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The money raised is used entirely for social impact projects.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What Does This Change Mean Practically?</w:t>
      </w:r>
    </w:p>
    <w:p>
      <w:pPr>
        <w:spacing w:after="80"/>
      </w:pPr>
      <w:r>
        <w:rPr>
          <w:rFonts w:ascii="Calibri" w:hAnsi="Calibri"/>
          <w:b w:val="0"/>
          <w:sz w:val="22"/>
        </w:rPr>
        <w:t>Previously, companies investing in ZCZP instruments were in a grey area regarding CSR credit. Now, buying ZCZP instruments is officially recognised as a valid CSR activity. Companies can count this spending toward their mandatory 2% CSR obligation.</w:t>
      </w:r>
    </w:p>
    <w:p>
      <w:pPr>
        <w:spacing w:after="120"/>
        <w:ind w:left="283"/>
        <w:shd w:val="clear" w:color="auto" w:fill="D6E4F0"/>
      </w:pPr>
      <w:r>
        <w:rPr>
          <w:rFonts w:ascii="Calibri" w:hAnsi="Calibri"/>
          <w:b/>
          <w:color w:val="FFFFFF"/>
          <w:sz w:val="20"/>
        </w:rPr>
        <w:t xml:space="preserve">  SIGNIFICANCE:  </w:t>
      </w:r>
      <w:r>
        <w:rPr>
          <w:rFonts w:ascii="Calibri" w:hAnsi="Calibri"/>
          <w:b w:val="0"/>
          <w:color w:val="3C3C3C"/>
          <w:sz w:val="20"/>
        </w:rPr>
        <w:t xml:space="preserve"> This amendment effectively opens a formal funding channel between corporate India's CSR budgets and social-sector non-profits operating on the Social Stock Exchange.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Critical Assessment</w:t>
      </w:r>
    </w:p>
    <w:p>
      <w:pPr>
        <w:spacing w:after="80"/>
      </w:pPr>
      <w:r>
        <w:rPr>
          <w:rFonts w:ascii="Calibri" w:hAnsi="Calibri"/>
          <w:b w:val="0"/>
          <w:sz w:val="22"/>
        </w:rPr>
        <w:t>This is a positive, enabling amendment. It creates a regulated, transparent pathway for CSR funds to flow into social enterprises. However, the Social Stock Exchange is still nascent in India — very few NPOs are listed, and market liquidity is minimal. The real-world impact depends heavily on how quickly the SSE ecosystem matures. There is also a risk of 'impact washing' if companies treat ZCZP investments as an easy CSR checkbox without verifying actual social outcomes.</w:t>
      </w:r>
    </w:p>
    <w:p>
      <w:pPr>
        <w:pBdr>
          <w:bottom w:val="single" w:sz="6" w:space="1" w:color="4472C4"/>
        </w:pBdr>
        <w:spacing w:before="40" w:after="160"/>
      </w:pPr>
    </w:p>
    <w:p>
      <w:pPr>
        <w:spacing w:before="280" w:after="80"/>
        <w:jc w:val="left"/>
      </w:pPr>
      <w:r>
        <w:rPr>
          <w:rFonts w:ascii="Calibri" w:hAnsi="Calibri"/>
          <w:b/>
          <w:color w:val="003366"/>
          <w:sz w:val="32"/>
        </w:rPr>
        <w:t>DOCUMENT 3 — CSR Policy Amendment Rules: ZCZP Implementation Framework</w:t>
      </w:r>
    </w:p>
    <w:p>
      <w:pPr>
        <w:spacing w:before="280" w:after="80"/>
        <w:jc w:val="left"/>
      </w:pPr>
      <w:r>
        <w:rPr>
          <w:rFonts w:ascii="Calibri" w:hAnsi="Calibri"/>
          <w:b/>
          <w:color w:val="0054A6"/>
          <w:sz w:val="26"/>
        </w:rPr>
        <w:t>At a Glance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Notification No.: </w:t>
      </w:r>
      <w:r>
        <w:rPr>
          <w:rFonts w:ascii="Calibri" w:hAnsi="Calibri"/>
          <w:b w:val="0"/>
          <w:sz w:val="22"/>
        </w:rPr>
        <w:t>G.S.R. 415(E)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Issuing Authority: </w:t>
      </w:r>
      <w:r>
        <w:rPr>
          <w:rFonts w:ascii="Calibri" w:hAnsi="Calibri"/>
          <w:b w:val="0"/>
          <w:sz w:val="22"/>
        </w:rPr>
        <w:t>Ministry of Corporate Affairs, Government of India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Date: </w:t>
      </w:r>
      <w:r>
        <w:rPr>
          <w:rFonts w:ascii="Calibri" w:hAnsi="Calibri"/>
          <w:b w:val="0"/>
          <w:sz w:val="22"/>
        </w:rPr>
        <w:t>27 May 2026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Legal Basis: </w:t>
      </w:r>
      <w:r>
        <w:rPr>
          <w:rFonts w:ascii="Calibri" w:hAnsi="Calibri"/>
          <w:b w:val="0"/>
          <w:sz w:val="22"/>
        </w:rPr>
        <w:t>Companies Act, 2013 — Section 135 and Section 469(1)(2)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Full Name: </w:t>
      </w:r>
      <w:r>
        <w:rPr>
          <w:rFonts w:ascii="Calibri" w:hAnsi="Calibri"/>
          <w:b w:val="0"/>
          <w:sz w:val="22"/>
        </w:rPr>
        <w:t>Companies (Corporate Social Responsibility Policy) Amendment Rules, 2026</w:t>
      </w:r>
    </w:p>
    <w:p>
      <w:pPr>
        <w:spacing w:after="60"/>
      </w:pPr>
      <w:r>
        <w:rPr>
          <w:rFonts w:ascii="Calibri" w:hAnsi="Calibri"/>
          <w:b/>
          <w:color w:val="003366"/>
          <w:sz w:val="22"/>
        </w:rPr>
        <w:t xml:space="preserve">Signed by: </w:t>
      </w:r>
      <w:r>
        <w:rPr>
          <w:rFonts w:ascii="Calibri" w:hAnsi="Calibri"/>
          <w:b w:val="0"/>
          <w:sz w:val="22"/>
        </w:rPr>
        <w:t>Rahul Jain, Joint Secretary</w:t>
      </w:r>
    </w:p>
    <w:p/>
    <w:p>
      <w:pPr>
        <w:spacing w:before="280" w:after="80"/>
        <w:jc w:val="left"/>
      </w:pPr>
      <w:r>
        <w:rPr>
          <w:rFonts w:ascii="Calibri" w:hAnsi="Calibri"/>
          <w:b/>
          <w:color w:val="0054A6"/>
          <w:sz w:val="26"/>
        </w:rPr>
        <w:t>What Does It Say — In Plain English?</w:t>
      </w:r>
    </w:p>
    <w:p>
      <w:pPr>
        <w:spacing w:after="80"/>
      </w:pPr>
      <w:r>
        <w:rPr>
          <w:rFonts w:ascii="Calibri" w:hAnsi="Calibri"/>
          <w:b w:val="0"/>
          <w:sz w:val="22"/>
        </w:rPr>
        <w:t>While Document 2 added ZCZP to the list of valid CSR activities, this document provides the detailed rules — the 'how-to guide' — for companies and NPOs wanting to use ZCZP instruments for CSR. It amends the CSR Policy Rules, 2014.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New Definitions Added</w:t>
      </w:r>
    </w:p>
    <w:p>
      <w:pPr>
        <w:spacing w:after="80"/>
      </w:pPr>
      <w:r>
        <w:rPr>
          <w:rFonts w:ascii="Calibri" w:hAnsi="Calibri"/>
          <w:b w:val="0"/>
          <w:sz w:val="22"/>
        </w:rPr>
        <w:t>Two key terms are now formally defined in law: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Not for Profit Organization (NPO): An entity with the same meaning as defined in SEBI's ICDR Regulations 2018, Regulation 292A(e). In simple terms: a registered organisation that reinvests all surplus into its social mission.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Zero Coupon Zero Principal (ZCZP) Instrument: A SEBI-declared security issued by an NPO listed on the Social Stock Exchange segment of a recognised stock exchange — offering no coupon (interest) and no return of principal.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New Rule 4A — The ZCZP Implementation Framework</w:t>
      </w:r>
    </w:p>
    <w:p>
      <w:pPr>
        <w:spacing w:after="80"/>
      </w:pPr>
      <w:r>
        <w:rPr>
          <w:rFonts w:ascii="Calibri" w:hAnsi="Calibri"/>
          <w:b w:val="0"/>
          <w:sz w:val="22"/>
        </w:rPr>
        <w:t>This is the heart of the notification. Rule 4A introduces a complete framework: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For Companies (Investors in ZCZP):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 company CAN use CSR funds to subscribe to (buy) ZCZP instruments.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CAP: ZCZP spending cannot exceed 10% of the company's total CSR expenditure for that financial year. Example: If a company's total CSR budget is ₹1 crore, a maximum of ₹10 lakh can go into ZCZP instruments.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EXEMPTION from Impact Assessment: Companies investing in ZCZP do NOT have to conduct an independent impact assessment of ZCZP-funded projects. (Normally required for projects above ₹1 crore.) This reduces compliance burden.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For Non-Profit Organisations (Issuers of ZCZP):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Project Duration Limit: The NPO must complete the funded project within 3 financial years from the date of issuance of the ZCZP instrument. No open-ended commitments allowed.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Unspent Funds: If the ZCZP instrument is delisted (terminated) before the project is complete, any unspent funds MUST be transferred to an approved fund listed in Schedule VII of the Companies Act — the money cannot be retained or used for other purposes.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SEBI Compliance Report: The NPO must submit a compliance report to SEBI when the listing ends.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Applicability of Existing CSR Rules:</w:t>
      </w:r>
    </w:p>
    <w:p>
      <w:pPr>
        <w:spacing w:after="80"/>
      </w:pPr>
      <w:r>
        <w:rPr>
          <w:rFonts w:ascii="Calibri" w:hAnsi="Calibri"/>
          <w:b w:val="0"/>
          <w:sz w:val="22"/>
        </w:rPr>
        <w:t>Most of the existing Rule 4 (general CSR implementation rules) applies to ZCZP-based CSR — EXCEPT sub-rules (5) and (6), which deal with unspent CSR account mechanics that are replaced by the specific ZCZP unspent-fund transfer mechanism above.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Quick Reference: Key Numbers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3366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3135"/>
            <w:shd w:val="clear" w:color="auto" w:fill="003366"/>
          </w:tcPr>
          <w:p>
            <w:r>
              <w:rPr>
                <w:b/>
                <w:color w:val="FFFFFF"/>
              </w:rPr>
              <w:t>What It Says</w:t>
            </w:r>
          </w:p>
        </w:tc>
        <w:tc>
          <w:tcPr>
            <w:tcW w:type="dxa" w:w="3135"/>
            <w:shd w:val="clear" w:color="auto" w:fill="003366"/>
          </w:tcPr>
          <w:p>
            <w:r>
              <w:rPr>
                <w:b/>
                <w:color w:val="FFFFFF"/>
              </w:rPr>
              <w:t>Limit / Requirement</w:t>
            </w:r>
          </w:p>
        </w:tc>
      </w:tr>
      <w:tr>
        <w:tc>
          <w:tcPr>
            <w:tcW w:type="dxa" w:w="3135"/>
          </w:tcPr>
          <w:p>
            <w:r>
              <w:t>ZCZP Spending Cap</w:t>
            </w:r>
          </w:p>
        </w:tc>
        <w:tc>
          <w:tcPr>
            <w:tcW w:type="dxa" w:w="3135"/>
          </w:tcPr>
          <w:p>
            <w:r>
              <w:t>Max % of CSR budget for ZCZP instruments</w:t>
            </w:r>
          </w:p>
        </w:tc>
        <w:tc>
          <w:tcPr>
            <w:tcW w:type="dxa" w:w="3135"/>
          </w:tcPr>
          <w:p>
            <w:r>
              <w:t>10% per financial year</w:t>
            </w:r>
          </w:p>
        </w:tc>
      </w:tr>
      <w:tr>
        <w:tc>
          <w:tcPr>
            <w:tcW w:type="dxa" w:w="3135"/>
          </w:tcPr>
          <w:p>
            <w:r>
              <w:t>Project Duration</w:t>
            </w:r>
          </w:p>
        </w:tc>
        <w:tc>
          <w:tcPr>
            <w:tcW w:type="dxa" w:w="3135"/>
          </w:tcPr>
          <w:p>
            <w:r>
              <w:t>Max project length for NPO using ZCZP funds</w:t>
            </w:r>
          </w:p>
        </w:tc>
        <w:tc>
          <w:tcPr>
            <w:tcW w:type="dxa" w:w="3135"/>
          </w:tcPr>
          <w:p>
            <w:r>
              <w:t>3 financial years from issuance</w:t>
            </w:r>
          </w:p>
        </w:tc>
      </w:tr>
      <w:tr>
        <w:tc>
          <w:tcPr>
            <w:tcW w:type="dxa" w:w="3135"/>
          </w:tcPr>
          <w:p>
            <w:r>
              <w:t>Unspent Funds</w:t>
            </w:r>
          </w:p>
        </w:tc>
        <w:tc>
          <w:tcPr>
            <w:tcW w:type="dxa" w:w="3135"/>
          </w:tcPr>
          <w:p>
            <w:r>
              <w:t>What NPO must do with leftover money on delisting</w:t>
            </w:r>
          </w:p>
        </w:tc>
        <w:tc>
          <w:tcPr>
            <w:tcW w:type="dxa" w:w="3135"/>
          </w:tcPr>
          <w:p>
            <w:r>
              <w:t>Transfer to Schedule VII fund + SEBI report</w:t>
            </w:r>
          </w:p>
        </w:tc>
      </w:tr>
    </w:tbl>
    <w:p/>
    <w:p>
      <w:pPr>
        <w:spacing w:after="120"/>
        <w:ind w:left="283"/>
        <w:shd w:val="clear" w:color="auto" w:fill="D6E4F0"/>
      </w:pPr>
      <w:r>
        <w:rPr>
          <w:rFonts w:ascii="Calibri" w:hAnsi="Calibri"/>
          <w:b/>
          <w:color w:val="FFFFFF"/>
          <w:sz w:val="20"/>
        </w:rPr>
        <w:t xml:space="preserve">  NOTE:  </w:t>
      </w:r>
      <w:r>
        <w:rPr>
          <w:rFonts w:ascii="Calibri" w:hAnsi="Calibri"/>
          <w:b w:val="0"/>
          <w:color w:val="3C3C3C"/>
          <w:sz w:val="20"/>
        </w:rPr>
        <w:t xml:space="preserve"> Documents 2 and 3 work together as a package: Document 2 gives legal recognition, Document 3 provides the operational rules. Both were notified within two days of each other and take effect from the date of publication in the Gazette.</w:t>
      </w:r>
    </w:p>
    <w:p>
      <w:pPr>
        <w:spacing w:before="280" w:after="80"/>
        <w:jc w:val="left"/>
      </w:pPr>
      <w:r>
        <w:rPr>
          <w:rFonts w:ascii="Calibri" w:hAnsi="Calibri"/>
          <w:b/>
          <w:color w:val="282828"/>
          <w:sz w:val="22"/>
        </w:rPr>
        <w:t>Critical Assessment</w:t>
      </w:r>
    </w:p>
    <w:p>
      <w:pPr>
        <w:spacing w:after="80"/>
      </w:pPr>
      <w:r>
        <w:rPr>
          <w:rFonts w:ascii="Calibri" w:hAnsi="Calibri"/>
          <w:b w:val="0"/>
          <w:sz w:val="22"/>
        </w:rPr>
        <w:t>The 10% cap on ZCZP spending is a prudent safeguard — it prevents companies from routing excessive CSR funds through instruments where accountability is lower. The 3-year project duration limit prevents NPOs from holding funds indefinitely. The SEBI compliance report requirement adds regulatory oversight. However, the exemption from impact assessment is a double-edged sword: it reduces company burden but also reduces accountability for outcomes. The framework is well-structured for a first iteration but will need monitoring to ensure genuine social impact is delivered.</w:t>
      </w:r>
    </w:p>
    <w:p>
      <w:pPr>
        <w:pBdr>
          <w:bottom w:val="single" w:sz="6" w:space="1" w:color="4472C4"/>
        </w:pBdr>
        <w:spacing w:before="40" w:after="160"/>
      </w:pPr>
    </w:p>
    <w:p>
      <w:pPr>
        <w:spacing w:before="280" w:after="80"/>
        <w:jc w:val="left"/>
      </w:pPr>
      <w:r>
        <w:rPr>
          <w:rFonts w:ascii="Calibri" w:hAnsi="Calibri"/>
          <w:b/>
          <w:color w:val="003366"/>
          <w:sz w:val="32"/>
        </w:rPr>
        <w:t>OVERALL CONCLUSION</w:t>
      </w:r>
    </w:p>
    <w:p>
      <w:pPr>
        <w:spacing w:after="80"/>
      </w:pPr>
      <w:r>
        <w:rPr>
          <w:rFonts w:ascii="Calibri" w:hAnsi="Calibri"/>
          <w:b w:val="0"/>
          <w:sz w:val="22"/>
        </w:rPr>
        <w:t>These three notifications represent two distinct policy actions from two ministries, both published in the Gazette of India in late May 2026: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EPF Wage Ceiling (Labour Ministry): A housekeeping measure that reaffirms the existing ₹15,000/month threshold under the new Social Security Code. No practical change for employers or employees — the ceiling stays the same.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CSR + ZCZP Framework (Corporate Affairs Ministry): A significant policy innovation that allows companies to fund social-sector NPOs through SEBI-regulated instruments on the Social Stock Exchange — with clear caps, timelines, and oversight rules. This is a meaningful step toward institutionalising social-impact investing within India's mandatory CSR framework.</w:t>
      </w:r>
    </w:p>
    <w:p/>
    <w:p>
      <w:pPr>
        <w:jc w:val="right"/>
      </w:pPr>
      <w:r>
        <w:rPr>
          <w:rFonts w:ascii="Calibri" w:hAnsi="Calibri"/>
          <w:b w:val="0"/>
          <w:color w:val="787878"/>
          <w:sz w:val="20"/>
        </w:rPr>
        <w:t>— End of Summary Document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