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</w:pPr>
      <w:r>
        <w:rPr>
          <w:b/>
          <w:color w:val="00877A"/>
          <w:sz w:val="32"/>
        </w:rPr>
        <w:t>What Success Looks Like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11"/>
            <w:shd w:val="clear" w:color="auto" w:fill="1B2A4A"/>
            <w:tcMar>
              <w:top w:w="80" w:type="dxa"/>
              <w:bottom w:w="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1,657+</w:t>
            </w:r>
          </w:p>
        </w:tc>
        <w:tc>
          <w:tcPr>
            <w:tcW w:type="dxa" w:w="2211"/>
            <w:shd w:val="clear" w:color="auto" w:fill="1B2A4A"/>
            <w:tcMar>
              <w:top w:w="80" w:type="dxa"/>
              <w:bottom w:w="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2.4 MT</w:t>
            </w:r>
          </w:p>
        </w:tc>
        <w:tc>
          <w:tcPr>
            <w:tcW w:type="dxa" w:w="2211"/>
            <w:shd w:val="clear" w:color="auto" w:fill="1B2A4A"/>
            <w:tcMar>
              <w:top w:w="80" w:type="dxa"/>
              <w:bottom w:w="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5</w:t>
            </w:r>
          </w:p>
        </w:tc>
        <w:tc>
          <w:tcPr>
            <w:tcW w:type="dxa" w:w="2211"/>
            <w:shd w:val="clear" w:color="auto" w:fill="1B2A4A"/>
            <w:tcMar>
              <w:top w:w="80" w:type="dxa"/>
              <w:bottom w:w="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400+ MT</w:t>
            </w:r>
          </w:p>
        </w:tc>
      </w:tr>
      <w:tr>
        <w:tc>
          <w:tcPr>
            <w:tcW w:type="dxa" w:w="2211"/>
            <w:shd w:val="clear" w:color="auto" w:fill="00877A"/>
            <w:tcMar>
              <w:top w:w="2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Households Served</w:t>
            </w:r>
          </w:p>
        </w:tc>
        <w:tc>
          <w:tcPr>
            <w:tcW w:type="dxa" w:w="2211"/>
            <w:shd w:val="clear" w:color="auto" w:fill="00877A"/>
            <w:tcMar>
              <w:top w:w="2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Waste Managed Daily</w:t>
            </w:r>
          </w:p>
        </w:tc>
        <w:tc>
          <w:tcPr>
            <w:tcW w:type="dxa" w:w="2211"/>
            <w:shd w:val="clear" w:color="auto" w:fill="00877A"/>
            <w:tcMar>
              <w:top w:w="2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Green Workers Employed</w:t>
            </w:r>
          </w:p>
        </w:tc>
        <w:tc>
          <w:tcPr>
            <w:tcW w:type="dxa" w:w="2211"/>
            <w:shd w:val="clear" w:color="auto" w:fill="00877A"/>
            <w:tcMar>
              <w:top w:w="2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Diverted Annually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Environmental</w:t>
            </w:r>
          </w:p>
        </w:tc>
        <w:tc>
          <w:tcPr>
            <w:tcW w:type="dxa" w:w="652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7F6"/>
          </w:tcPr>
          <w:p>
            <w:r>
              <w:rPr>
                <w:color w:val="333333"/>
                <w:sz w:val="20"/>
              </w:rPr>
              <w:t>400+ MT diverted from landfill annually; organic waste composted on-site; reject waste co-processed as RDF.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87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Community Wellness</w:t>
            </w:r>
          </w:p>
        </w:tc>
        <w:tc>
          <w:tcPr>
            <w:tcW w:type="dxa" w:w="652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7F6"/>
          </w:tcPr>
          <w:p>
            <w:r>
              <w:rPr>
                <w:color w:val="333333"/>
                <w:sz w:val="20"/>
              </w:rPr>
              <w:t>1,657+ households with measurably cleaner surroundings and reduced exposure to open burning and waterlogging.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Worker Health</w:t>
            </w:r>
          </w:p>
        </w:tc>
        <w:tc>
          <w:tcPr>
            <w:tcW w:type="dxa" w:w="652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7F6"/>
          </w:tcPr>
          <w:p>
            <w:r>
              <w:rPr>
                <w:color w:val="333333"/>
                <w:sz w:val="20"/>
              </w:rPr>
              <w:t>All Green Workers covered — annual screening, wellness allowance, meal support, insurance, and gratuity.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87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Worker Capability</w:t>
            </w:r>
          </w:p>
        </w:tc>
        <w:tc>
          <w:tcPr>
            <w:tcW w:type="dxa" w:w="652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7F6"/>
          </w:tcPr>
          <w:p>
            <w:r>
              <w:rPr>
                <w:color w:val="333333"/>
                <w:sz w:val="20"/>
              </w:rPr>
              <w:t>28 spoken English sessions completed; frontline staff functionally literate on digital tools.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Civic Ownership</w:t>
            </w:r>
          </w:p>
        </w:tc>
        <w:tc>
          <w:tcPr>
            <w:tcW w:type="dxa" w:w="652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7F6"/>
          </w:tcPr>
          <w:p>
            <w:r>
              <w:rPr>
                <w:color w:val="333333"/>
                <w:sz w:val="20"/>
              </w:rPr>
              <w:t>Active Swachhta Ambassadors across all ward zones; youth leading cleanup drives independently.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87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Government Replication</w:t>
            </w:r>
          </w:p>
        </w:tc>
        <w:tc>
          <w:tcPr>
            <w:tcW w:type="dxa" w:w="652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7F6"/>
          </w:tcPr>
          <w:p>
            <w:r>
              <w:rPr>
                <w:color w:val="333333"/>
                <w:sz w:val="20"/>
              </w:rPr>
              <w:t>Ward 97 model formally presented to Nagar Nigam; conversations underway for city-wide adoption.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B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Livelihoods</w:t>
            </w:r>
          </w:p>
        </w:tc>
        <w:tc>
          <w:tcPr>
            <w:tcW w:type="dxa" w:w="652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7F6"/>
          </w:tcPr>
          <w:p>
            <w:r>
              <w:rPr>
                <w:color w:val="333333"/>
                <w:sz w:val="20"/>
              </w:rPr>
              <w:t>Dignified, formally protected employment for all Green Workers throughout the programme period.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