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both"/>
      </w:pPr>
      <w:r>
        <w:rPr>
          <w:b/>
        </w:rPr>
        <w:t>Closing the Loop</w:t>
      </w:r>
    </w:p>
    <w:p>
      <w:pPr>
        <w:spacing w:before="40" w:after="480"/>
        <w:jc w:val="both"/>
      </w:pPr>
      <w:r>
        <w:rPr>
          <w:b/>
          <w:color w:val="2D6A4F"/>
          <w:sz w:val="20"/>
        </w:rPr>
        <w:t>Building a Full-Stack Waste Value Chain in Dharamshala, Himachal Pradesh</w:t>
      </w:r>
    </w:p>
    <w:p>
      <w:pPr>
        <w:spacing w:before="40" w:after="40"/>
        <w:jc w:val="both"/>
      </w:pPr>
      <w:r>
        <w:rPr>
          <w:b w:val="0"/>
          <w:color w:val="555555"/>
          <w:sz w:val="20"/>
        </w:rPr>
        <w:t>Dharamshala, Himachal Pradesh  |  Indian Himalayan Region</w:t>
      </w:r>
    </w:p>
    <w:p>
      <w:pPr>
        <w:spacing w:before="40" w:after="400"/>
        <w:jc w:val="both"/>
      </w:pPr>
      <w:r>
        <w:rPr>
          <w:b w:val="0"/>
          <w:color w:val="555555"/>
          <w:sz w:val="20"/>
        </w:rPr>
        <w:t>April 2026 – March 2027  (12 Months)</w:t>
      </w:r>
    </w:p>
    <w:p>
      <w:pPr>
        <w:spacing w:before="40" w:after="80"/>
        <w:jc w:val="both"/>
      </w:pPr>
      <w:r>
        <w:rPr>
          <w:b w:val="0"/>
          <w:color w:val="333333"/>
          <w:sz w:val="20"/>
        </w:rPr>
        <w:t xml:space="preserve">Proposal:  </w:t>
      </w:r>
      <w:r>
        <w:rPr>
          <w:b/>
          <w:color w:val="1B2A4A"/>
          <w:sz w:val="20"/>
        </w:rPr>
        <w:t>FY 2026–27</w:t>
      </w:r>
    </w:p>
    <w:p>
      <w:pPr>
        <w:spacing w:before="40" w:after="80"/>
        <w:jc w:val="both"/>
      </w:pPr>
      <w:r>
        <w:rPr>
          <w:b w:val="0"/>
          <w:color w:val="333333"/>
          <w:sz w:val="20"/>
        </w:rPr>
        <w:t xml:space="preserve">Shared by:  </w:t>
      </w:r>
      <w:r>
        <w:rPr>
          <w:b/>
          <w:color w:val="1B2A4A"/>
          <w:sz w:val="20"/>
        </w:rPr>
        <w:t xml:space="preserve">Waste Warriors Society  |  </w:t>
      </w:r>
      <w:r>
        <w:rPr>
          <w:b w:val="0"/>
          <w:color w:val="00877A"/>
          <w:sz w:val="20"/>
        </w:rPr>
        <w:t>www.wastewarriors.org</w:t>
      </w:r>
    </w:p>
    <w:p>
      <w:pPr>
        <w:spacing w:before="40" w:after="80"/>
        <w:jc w:val="both"/>
      </w:pPr>
      <w:r>
        <w:rPr>
          <w:b w:val="0"/>
          <w:color w:val="333333"/>
          <w:sz w:val="20"/>
        </w:rPr>
        <w:t xml:space="preserve">Submitted to:  </w:t>
      </w:r>
      <w:r>
        <w:rPr>
          <w:b/>
          <w:color w:val="1B2A4A"/>
          <w:sz w:val="20"/>
        </w:rPr>
        <w:t>The Coca-Cola Foundation</w:t>
      </w:r>
    </w:p>
    <w:p>
      <w:r>
        <w:br w:type="page"/>
      </w:r>
    </w:p>
    <w:p>
      <w:pPr>
        <w:spacing w:before="0" w:after="280"/>
      </w:pPr>
      <w:r>
        <w:rPr>
          <w:b/>
          <w:color w:val="1B2A4A"/>
          <w:sz w:val="28"/>
        </w:rPr>
        <w:t>Table of Contents</w:t>
      </w:r>
    </w:p>
    <w:p>
      <w:pPr>
        <w:spacing w:before="40" w:after="80"/>
        <w:jc w:val="both"/>
      </w:pPr>
      <w:r>
        <w:rPr>
          <w:b w:val="0"/>
          <w:color w:val="333333"/>
          <w:sz w:val="20"/>
        </w:rPr>
        <w:t>Executive Summary</w:t>
      </w:r>
      <w:r>
        <w:rPr>
          <w:b w:val="0"/>
          <w:color w:val="CCCCCC"/>
          <w:sz w:val="20"/>
        </w:rPr>
        <w:t xml:space="preserve">   ·   </w:t>
      </w:r>
      <w:r>
        <w:rPr>
          <w:b w:val="0"/>
          <w:color w:val="1B2A4A"/>
          <w:sz w:val="20"/>
        </w:rPr>
        <w:t>2</w:t>
      </w:r>
    </w:p>
    <w:p>
      <w:pPr>
        <w:spacing w:before="40" w:after="80"/>
        <w:jc w:val="both"/>
      </w:pPr>
      <w:r>
        <w:rPr>
          <w:b w:val="0"/>
          <w:color w:val="333333"/>
          <w:sz w:val="20"/>
        </w:rPr>
        <w:t>About Waste Warriors</w:t>
      </w:r>
      <w:r>
        <w:rPr>
          <w:b w:val="0"/>
          <w:color w:val="CCCCCC"/>
          <w:sz w:val="20"/>
        </w:rPr>
        <w:t xml:space="preserve">   ·   </w:t>
      </w:r>
      <w:r>
        <w:rPr>
          <w:b w:val="0"/>
          <w:color w:val="1B2A4A"/>
          <w:sz w:val="20"/>
        </w:rPr>
        <w:t>3</w:t>
      </w:r>
    </w:p>
    <w:p>
      <w:pPr>
        <w:spacing w:before="40" w:after="80"/>
        <w:jc w:val="both"/>
      </w:pPr>
      <w:r>
        <w:rPr>
          <w:b w:val="0"/>
          <w:color w:val="333333"/>
          <w:sz w:val="20"/>
        </w:rPr>
        <w:t>The Challenge: Dharamshala's Waste Crisis</w:t>
      </w:r>
      <w:r>
        <w:rPr>
          <w:b w:val="0"/>
          <w:color w:val="CCCCCC"/>
          <w:sz w:val="20"/>
        </w:rPr>
        <w:t xml:space="preserve">   ·   </w:t>
      </w:r>
      <w:r>
        <w:rPr>
          <w:b w:val="0"/>
          <w:color w:val="1B2A4A"/>
          <w:sz w:val="20"/>
        </w:rPr>
        <w:t>4</w:t>
      </w:r>
    </w:p>
    <w:p>
      <w:pPr>
        <w:spacing w:before="40" w:after="80"/>
        <w:jc w:val="both"/>
      </w:pPr>
      <w:r>
        <w:rPr>
          <w:b w:val="0"/>
          <w:color w:val="333333"/>
          <w:sz w:val="20"/>
        </w:rPr>
        <w:t>Dharamshala: A Government-Supported Proof of Concept</w:t>
      </w:r>
      <w:r>
        <w:rPr>
          <w:b w:val="0"/>
          <w:color w:val="CCCCCC"/>
          <w:sz w:val="20"/>
        </w:rPr>
        <w:t xml:space="preserve">   ·   </w:t>
      </w:r>
      <w:r>
        <w:rPr>
          <w:b w:val="0"/>
          <w:color w:val="1B2A4A"/>
          <w:sz w:val="20"/>
        </w:rPr>
        <w:t>5</w:t>
      </w:r>
    </w:p>
    <w:p>
      <w:pPr>
        <w:spacing w:before="40" w:after="80"/>
        <w:jc w:val="both"/>
      </w:pPr>
      <w:r>
        <w:rPr>
          <w:b w:val="0"/>
          <w:color w:val="333333"/>
          <w:sz w:val="20"/>
        </w:rPr>
        <w:t>The Project: Closing the Loop</w:t>
      </w:r>
      <w:r>
        <w:rPr>
          <w:b w:val="0"/>
          <w:color w:val="CCCCCC"/>
          <w:sz w:val="20"/>
        </w:rPr>
        <w:t xml:space="preserve">   ·   </w:t>
      </w:r>
      <w:r>
        <w:rPr>
          <w:b w:val="0"/>
          <w:color w:val="1B2A4A"/>
          <w:sz w:val="20"/>
        </w:rPr>
        <w:t>7</w:t>
      </w:r>
    </w:p>
    <w:p>
      <w:pPr>
        <w:spacing w:before="40" w:after="80"/>
        <w:jc w:val="both"/>
      </w:pPr>
      <w:r>
        <w:rPr>
          <w:b w:val="0"/>
          <w:color w:val="333333"/>
          <w:sz w:val="20"/>
        </w:rPr>
        <w:t>Our Activities</w:t>
      </w:r>
      <w:r>
        <w:rPr>
          <w:b w:val="0"/>
          <w:color w:val="CCCCCC"/>
          <w:sz w:val="20"/>
        </w:rPr>
        <w:t xml:space="preserve">   ·   </w:t>
      </w:r>
      <w:r>
        <w:rPr>
          <w:b w:val="0"/>
          <w:color w:val="1B2A4A"/>
          <w:sz w:val="20"/>
        </w:rPr>
        <w:t>8</w:t>
      </w:r>
    </w:p>
    <w:p>
      <w:pPr>
        <w:spacing w:before="40" w:after="80"/>
        <w:jc w:val="both"/>
      </w:pPr>
      <w:r>
        <w:rPr>
          <w:b w:val="0"/>
          <w:color w:val="333333"/>
          <w:sz w:val="20"/>
        </w:rPr>
        <w:t>What Success Looks Like</w:t>
      </w:r>
      <w:r>
        <w:rPr>
          <w:b w:val="0"/>
          <w:color w:val="CCCCCC"/>
          <w:sz w:val="20"/>
        </w:rPr>
        <w:t xml:space="preserve">   ·   </w:t>
      </w:r>
      <w:r>
        <w:rPr>
          <w:b w:val="0"/>
          <w:color w:val="1B2A4A"/>
          <w:sz w:val="20"/>
        </w:rPr>
        <w:t>12</w:t>
      </w:r>
    </w:p>
    <w:p>
      <w:pPr>
        <w:spacing w:before="40" w:after="80"/>
        <w:jc w:val="both"/>
      </w:pPr>
      <w:r>
        <w:rPr>
          <w:b w:val="0"/>
          <w:color w:val="333333"/>
          <w:sz w:val="20"/>
        </w:rPr>
        <w:t>Budget Summary</w:t>
      </w:r>
      <w:r>
        <w:rPr>
          <w:b w:val="0"/>
          <w:color w:val="CCCCCC"/>
          <w:sz w:val="20"/>
        </w:rPr>
        <w:t xml:space="preserve">   ·   </w:t>
      </w:r>
      <w:r>
        <w:rPr>
          <w:b w:val="0"/>
          <w:color w:val="1B2A4A"/>
          <w:sz w:val="20"/>
        </w:rPr>
        <w:t>13</w:t>
      </w:r>
    </w:p>
    <w:p>
      <w:pPr>
        <w:spacing w:before="40" w:after="80"/>
        <w:jc w:val="both"/>
      </w:pPr>
      <w:r>
        <w:rPr>
          <w:b w:val="0"/>
          <w:color w:val="333333"/>
          <w:sz w:val="20"/>
        </w:rPr>
        <w:t>Organisational Due Diligence</w:t>
      </w:r>
      <w:r>
        <w:rPr>
          <w:b w:val="0"/>
          <w:color w:val="CCCCCC"/>
          <w:sz w:val="20"/>
        </w:rPr>
        <w:t xml:space="preserve">   ·   </w:t>
      </w:r>
      <w:r>
        <w:rPr>
          <w:b w:val="0"/>
          <w:color w:val="1B2A4A"/>
          <w:sz w:val="20"/>
        </w:rPr>
        <w:t>15</w:t>
      </w:r>
    </w:p>
    <w:p>
      <w:r>
        <w:br w:type="page"/>
      </w:r>
    </w:p>
    <w:p>
      <w:pPr>
        <w:pStyle w:val="Heading1"/>
        <w:spacing w:before="360" w:after="120"/>
        <w:jc w:val="both"/>
      </w:pPr>
      <w:r>
        <w:rPr>
          <w:color w:val="1B2A4A"/>
        </w:rPr>
        <w:t>Executive Summary</w:t>
      </w:r>
    </w:p>
    <w:p>
      <w:pPr>
        <w:pStyle w:val="Heading3"/>
        <w:spacing w:before="200" w:after="80"/>
        <w:jc w:val="both"/>
      </w:pPr>
      <w:r>
        <w:rPr>
          <w:color w:val="000000"/>
        </w:rPr>
        <w:t>A Morning at the Dharamshala MRF</w:t>
      </w:r>
    </w:p>
    <w:p>
      <w:pPr>
        <w:spacing w:before="40" w:after="120"/>
        <w:jc w:val="both"/>
      </w:pPr>
      <w:r>
        <w:rPr>
          <w:b w:val="0"/>
          <w:color w:val="333333"/>
          <w:sz w:val="20"/>
        </w:rPr>
        <w:t>Green Workers arrive at the Dharamshala Material Recovery Facility before the city is fully awake. They pull on gloves, check the day's incoming loads, and take their positions along the sorting line. What they do next — separating plastics from paper, metals from glass, sorting into 20+ material categories by hand — is skilled, physical, and invisible to most of Dharamshala's residents. It is also the reason a growing number of those residents can step outside without navigating the accumulation of yesterday's waste.</w:t>
      </w:r>
    </w:p>
    <w:p>
      <w:pPr>
        <w:spacing w:before="40" w:after="120"/>
        <w:jc w:val="both"/>
      </w:pPr>
      <w:r>
        <w:rPr>
          <w:b w:val="0"/>
          <w:color w:val="333333"/>
          <w:sz w:val="20"/>
        </w:rPr>
        <w:t>This proposal is about that system and the people who make it work. The 8,000+ households across 10 wards of Dharamshala served by this facility. The 15 Green Workers whose livelihoods, health, and dignity depend on how well we fund and sustain their work. And the straightforward argument that a functioning waste value chain — from household segregation to verified recycling — is both a public health asset and an economic foundation for a city whose tourism economy depends on clean, ecologically intact surroundings.</w:t>
      </w:r>
    </w:p>
    <w:p>
      <w:pPr>
        <w:spacing w:before="40" w:after="120"/>
        <w:jc w:val="both"/>
      </w:pPr>
      <w:r>
        <w:rPr>
          <w:b w:val="0"/>
          <w:color w:val="333333"/>
          <w:sz w:val="20"/>
        </w:rPr>
        <w:t>Waste Warriors asks The Coca-Cola Foundation to invest in the full chain. Not a single link. Not a campaign. The full chain — behaviour change, collection, transport, processing, government partnership, and worker welfare — operating together in Dharamshala for twelve months, with the infrastructure expansion that will let it serve more households and process more material for years after this programme ends.</w:t>
      </w:r>
    </w:p>
    <w:p>
      <w:r>
        <w:br w:type="page"/>
      </w:r>
    </w:p>
    <w:p>
      <w:pPr>
        <w:pStyle w:val="Heading1"/>
        <w:spacing w:before="360" w:after="120"/>
        <w:jc w:val="both"/>
      </w:pPr>
      <w:r>
        <w:rPr>
          <w:color w:val="1B2A4A"/>
        </w:rPr>
        <w:t>About Waste Warriors</w:t>
      </w:r>
    </w:p>
    <w:p>
      <w:pPr>
        <w:spacing w:before="40" w:after="120"/>
        <w:jc w:val="both"/>
      </w:pPr>
      <w:r>
        <w:rPr>
          <w:b w:val="0"/>
          <w:color w:val="333333"/>
          <w:sz w:val="20"/>
        </w:rPr>
        <w:t>Waste Warriors Society is a non-profit organisation catalysing systemic change to solve the waste management crisis of the Indian Himalayan Region. Our work lies at the intersection of Climate Change, Biodiversity Habitat Conservation, and Informal Livelihoods through bringing behavioural change in communities and building the infrastructure that makes change stick.</w:t>
      </w:r>
    </w:p>
    <w:p>
      <w:pPr>
        <w:spacing w:before="40" w:after="120"/>
        <w:jc w:val="both"/>
      </w:pPr>
      <w:r>
        <w:rPr>
          <w:b w:val="0"/>
          <w:color w:val="333333"/>
          <w:sz w:val="20"/>
        </w:rPr>
        <w:t>With a team of 240+ Warriors spread across Uttarakhand and Himachal Pradesh, we focus on enabling better governance, addressing infrastructure and policy gaps, and activating communities to co-create lasting solutions. We promote local entrepreneurship and ignite urgency among women and youth to earn their identity through dignified, meaningful work.</w:t>
      </w:r>
    </w:p>
    <w:p>
      <w:pPr>
        <w:spacing w:before="40" w:after="240"/>
        <w:jc w:val="both"/>
      </w:pPr>
      <w:r>
        <w:rPr>
          <w:b w:val="0"/>
          <w:color w:val="333333"/>
          <w:sz w:val="20"/>
        </w:rPr>
        <w:t>Our project locations span 12 sites across both states from Shimla, Manali, Kasauli, Dharamshala, and Bir-Billing in Himachal Pradesh, to Kempty (Mussoorie), Dehradun City, Sahastradhara, Govind Wildlife Sanctuary, and Corbett Tiger Reserve in Uttarakhand.</w:t>
      </w:r>
    </w:p>
    <w:p>
      <w:pPr>
        <w:pStyle w:val="Heading3"/>
        <w:spacing w:before="200" w:after="80"/>
        <w:jc w:val="both"/>
      </w:pPr>
      <w:r>
        <w:rPr>
          <w:color w:val="000000"/>
        </w:rPr>
        <w:t>Our Three Programme Pillars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2A4A"/>
            <w:tcMar>
              <w:top w:w="100" w:type="dxa"/>
              <w:bottom w:w="100" w:type="dxa"/>
              <w:left w:w="120" w:type="dxa"/>
              <w:right w:w="120" w:type="dxa"/>
            </w:tcMar>
          </w:tcPr>
          <w:p>
            <w:pPr>
              <w:jc w:val="center"/>
            </w:pPr>
            <w:r>
              <w:rPr>
                <w:b/>
                <w:color w:val="FFFFFF"/>
                <w:sz w:val="20"/>
              </w:rPr>
              <w:t>Zero Waste Programme</w:t>
            </w:r>
          </w:p>
        </w:tc>
        <w:tc>
          <w:tcPr>
            <w:tcW w:type="dxa" w:w="3120"/>
            <w:shd w:val="clear" w:color="auto" w:fill="1B2A4A"/>
            <w:tcMar>
              <w:top w:w="100" w:type="dxa"/>
              <w:bottom w:w="100" w:type="dxa"/>
              <w:left w:w="120" w:type="dxa"/>
              <w:right w:w="120" w:type="dxa"/>
            </w:tcMar>
          </w:tcPr>
          <w:p>
            <w:pPr>
              <w:jc w:val="center"/>
            </w:pPr>
            <w:r>
              <w:rPr>
                <w:b/>
                <w:color w:val="FFFFFF"/>
                <w:sz w:val="20"/>
              </w:rPr>
              <w:t>Community Activation</w:t>
            </w:r>
          </w:p>
        </w:tc>
        <w:tc>
          <w:tcPr>
            <w:tcW w:type="dxa" w:w="3120"/>
            <w:shd w:val="clear" w:color="auto" w:fill="1B2A4A"/>
            <w:tcMar>
              <w:top w:w="100" w:type="dxa"/>
              <w:bottom w:w="100" w:type="dxa"/>
              <w:left w:w="120" w:type="dxa"/>
              <w:right w:w="120" w:type="dxa"/>
            </w:tcMar>
          </w:tcPr>
          <w:p>
            <w:pPr>
              <w:jc w:val="center"/>
            </w:pPr>
            <w:r>
              <w:rPr>
                <w:b/>
                <w:color w:val="FFFFFF"/>
                <w:sz w:val="20"/>
              </w:rPr>
              <w:t>Livelihood Development</w:t>
            </w:r>
          </w:p>
        </w:tc>
      </w:tr>
      <w:tr>
        <w:tc>
          <w:tcPr>
            <w:tcW w:type="dxa" w:w="3120"/>
            <w:shd w:val="clear" w:color="auto" w:fill="F2F7F6"/>
            <w:tcMar>
              <w:top w:w="100" w:type="dxa"/>
              <w:bottom w:w="100" w:type="dxa"/>
              <w:left w:w="120" w:type="dxa"/>
              <w:right w:w="120" w:type="dxa"/>
            </w:tcMar>
          </w:tcPr>
          <w:p>
            <w:pPr>
              <w:jc w:val="center"/>
            </w:pPr>
            <w:r>
              <w:rPr>
                <w:color w:val="333333"/>
                <w:sz w:val="18"/>
              </w:rPr>
              <w:t>Systems-level change in urban and rural waste chains, from source segregation to verified downstream recycling and processing.</w:t>
            </w:r>
          </w:p>
        </w:tc>
        <w:tc>
          <w:tcPr>
            <w:tcW w:type="dxa" w:w="3120"/>
            <w:shd w:val="clear" w:color="auto" w:fill="F2F7F6"/>
            <w:tcMar>
              <w:top w:w="100" w:type="dxa"/>
              <w:bottom w:w="100" w:type="dxa"/>
              <w:left w:w="120" w:type="dxa"/>
              <w:right w:w="120" w:type="dxa"/>
            </w:tcMar>
          </w:tcPr>
          <w:p>
            <w:pPr>
              <w:jc w:val="center"/>
            </w:pPr>
            <w:r>
              <w:rPr>
                <w:color w:val="333333"/>
                <w:sz w:val="18"/>
              </w:rPr>
              <w:t>Mobilising youth and women as environmental champions, building community ownership of clean landscapes and civic responsibility.</w:t>
            </w:r>
          </w:p>
        </w:tc>
        <w:tc>
          <w:tcPr>
            <w:tcW w:type="dxa" w:w="3120"/>
            <w:shd w:val="clear" w:color="auto" w:fill="F2F7F6"/>
            <w:tcMar>
              <w:top w:w="100" w:type="dxa"/>
              <w:bottom w:w="100" w:type="dxa"/>
              <w:left w:w="120" w:type="dxa"/>
              <w:right w:w="120" w:type="dxa"/>
            </w:tcMar>
          </w:tcPr>
          <w:p>
            <w:pPr>
              <w:jc w:val="center"/>
            </w:pPr>
            <w:r>
              <w:rPr>
                <w:color w:val="333333"/>
                <w:sz w:val="18"/>
              </w:rPr>
              <w:t>Creating dignified employment through waste entrepreneurship — turning a crisis into an economic opportunity.</w:t>
            </w:r>
          </w:p>
        </w:tc>
      </w:tr>
    </w:tbl>
    <w:p>
      <w:r>
        <w:br w:type="page"/>
      </w:r>
    </w:p>
    <w:p>
      <w:pPr>
        <w:pStyle w:val="Heading1"/>
        <w:spacing w:before="360" w:after="120"/>
        <w:jc w:val="both"/>
      </w:pPr>
      <w:r>
        <w:rPr>
          <w:color w:val="1B2A4A"/>
        </w:rPr>
        <w:t>The Challenge: Dharamshala's Waste Crisis</w:t>
      </w:r>
    </w:p>
    <w:p>
      <w:pPr>
        <w:spacing w:before="40" w:after="120"/>
        <w:jc w:val="both"/>
      </w:pPr>
      <w:r>
        <w:rPr>
          <w:b w:val="0"/>
          <w:color w:val="333333"/>
          <w:sz w:val="20"/>
        </w:rPr>
        <w:t>Dharamshala is the administrative capital of Kangra district and one of the most visited destinations in the Indian Himalayan Region. The city receives 15 million visitors annually — nearly twice the state's population — contributing over 7% of Himachal Pradesh's GDP. The Dharamshala Area Development Plan 2035 projects a 3% annual population growth rate and expects tourist inflows across Kangra district to reach 2.5 million per year.</w:t>
      </w:r>
    </w:p>
    <w:p>
      <w:pPr>
        <w:spacing w:before="40" w:after="120"/>
        <w:jc w:val="both"/>
      </w:pPr>
      <w:r>
        <w:rPr>
          <w:b w:val="0"/>
          <w:color w:val="333333"/>
          <w:sz w:val="20"/>
        </w:rPr>
        <w:t>This sustained pressure on a mountain city designed for a smaller population has produced a measurable waste crisis. Multi-layered plastics, food waste from the hospitality sector, construction debris, and mixed household refuse are generated at volumes that consistently exceed what the city's waste management infrastructure can absorb. The Dharamshala Municipal Corporation has documented 50,000 tonnes of legacy waste already accumulated at the existing dumpsite above the village of Sudher.</w:t>
      </w:r>
    </w:p>
    <w:p>
      <w:pPr>
        <w:spacing w:before="40" w:after="80"/>
        <w:jc w:val="both"/>
      </w:pPr>
      <w:r>
        <w:rPr>
          <w:b/>
          <w:color w:val="1B2A4A"/>
          <w:sz w:val="20"/>
        </w:rPr>
        <w:t>The consequences are severe:</w:t>
      </w:r>
    </w:p>
    <w:p>
      <w:pPr>
        <w:spacing w:before="40" w:after="100"/>
        <w:jc w:val="both"/>
      </w:pPr>
      <w:r>
        <w:rPr>
          <w:b/>
          <w:color w:val="1B2A4A"/>
          <w:sz w:val="20"/>
        </w:rPr>
      </w:r>
      <w:r>
        <w:rPr>
          <w:b w:val="0"/>
          <w:color w:val="333333"/>
          <w:sz w:val="20"/>
        </w:rPr>
        <w:t>Open burning of municipal waste releases PM2.5 and black carbon — primary contributors to glacial melt and respiratory disease in communities adjacent to dump sites.</w:t>
      </w:r>
    </w:p>
    <w:p>
      <w:pPr>
        <w:spacing w:before="40" w:after="100"/>
        <w:jc w:val="both"/>
      </w:pPr>
      <w:r>
        <w:rPr>
          <w:b/>
          <w:color w:val="1B2A4A"/>
          <w:sz w:val="20"/>
        </w:rPr>
      </w:r>
      <w:r>
        <w:rPr>
          <w:b w:val="0"/>
          <w:color w:val="333333"/>
          <w:sz w:val="20"/>
        </w:rPr>
        <w:t>Poorly managed wet waste breeds vectors for dengue, typhoid, and cholera, diseases that disproportionately affect communities already stretched thin.</w:t>
      </w:r>
    </w:p>
    <w:p>
      <w:pPr>
        <w:spacing w:before="40" w:after="100"/>
        <w:jc w:val="both"/>
      </w:pPr>
      <w:r>
        <w:rPr>
          <w:b/>
          <w:color w:val="1B2A4A"/>
          <w:sz w:val="20"/>
        </w:rPr>
      </w:r>
      <w:r>
        <w:rPr>
          <w:b w:val="0"/>
          <w:color w:val="333333"/>
          <w:sz w:val="20"/>
        </w:rPr>
        <w:t>Plastics that enter forest areas and riverbanks disrupt wildlife food chains and wash into watercourses during monsoon, accelerating the regional plastic pollution crisis.</w:t>
      </w:r>
    </w:p>
    <w:p>
      <w:pPr>
        <w:spacing w:before="40" w:after="100"/>
        <w:jc w:val="both"/>
      </w:pPr>
      <w:r>
        <w:rPr>
          <w:b/>
          <w:color w:val="1B2A4A"/>
          <w:sz w:val="20"/>
        </w:rPr>
      </w:r>
      <w:r>
        <w:rPr>
          <w:b w:val="0"/>
          <w:color w:val="333333"/>
          <w:sz w:val="20"/>
        </w:rPr>
        <w:t>Waste workers who lack medical coverage, nutritional support, and formal employment protections carry health vulnerabilities that compound over years of physical labour.</w:t>
      </w:r>
    </w:p>
    <w:p>
      <w:pPr>
        <w:spacing w:before="40" w:after="240"/>
        <w:jc w:val="both"/>
      </w:pPr>
      <w:r>
        <w:rPr>
          <w:b w:val="0"/>
          <w:color w:val="333333"/>
          <w:sz w:val="20"/>
        </w:rPr>
        <w:t>Dharamshala's waste challenge is not a sanitation question alone. It is a public health, environmental, and economic question simultaneously. The city's tourism economy — its primary revenue base — depends on clean, ecologically intact landscapes. Addressing the waste crisis requires an intervention that closes every gap in the value chain, not just one link at a time.</w:t>
      </w:r>
    </w:p>
    <w:p>
      <w:r>
        <w:br w:type="page"/>
      </w:r>
    </w:p>
    <w:p>
      <w:pPr>
        <w:pStyle w:val="Heading1"/>
        <w:spacing w:before="360" w:after="120"/>
        <w:jc w:val="both"/>
      </w:pPr>
      <w:r>
        <w:rPr>
          <w:color w:val="1B2A4A"/>
        </w:rPr>
        <w:t>Dharamshala: A Government-Supported Proof of Concept</w:t>
      </w:r>
    </w:p>
    <w:p>
      <w:pPr>
        <w:pStyle w:val="Heading3"/>
        <w:spacing w:before="200" w:after="80"/>
        <w:jc w:val="both"/>
      </w:pPr>
      <w:r>
        <w:rPr>
          <w:color w:val="000000"/>
        </w:rPr>
        <w:t>A Partnership Built on Infrastructure</w:t>
      </w:r>
    </w:p>
    <w:p>
      <w:pPr>
        <w:spacing w:before="40" w:after="120"/>
        <w:jc w:val="both"/>
      </w:pPr>
      <w:r>
        <w:rPr>
          <w:b w:val="0"/>
          <w:color w:val="333333"/>
          <w:sz w:val="20"/>
        </w:rPr>
        <w:t>In 2022, the Municipal Corporation Dharamshala took an active step: it formally partnered with Waste Warriors Society to establish the city's first Material Recovery Facility, located near the Dharamshala Cricket Stadium. The land was provided by the Himachal Pradesh government — a direct institutional endorsement of the community-led, decentralised processing model that Waste Warriors has been developing across the Indian Himalayan Region for over a decade.</w:t>
      </w:r>
    </w:p>
    <w:p>
      <w:pPr>
        <w:spacing w:before="40" w:after="120"/>
        <w:jc w:val="both"/>
      </w:pPr>
      <w:r>
        <w:rPr>
          <w:b w:val="0"/>
          <w:color w:val="333333"/>
          <w:sz w:val="20"/>
        </w:rPr>
        <w:t>This is not a project that started on paper. It is a facility that has been operating continuously, processing waste, employing workers, and supplying material to authorised recyclers since 2022. The Municipal Corporation has expressed continued interest in the model, and this proposal is the next stage of that partnership.</w:t>
      </w:r>
    </w:p>
    <w:tbl>
      <w:tblPr>
        <w:tblW w:type="auto" w:w="0"/>
        <w:jc w:val="center"/>
        <w:tblLook w:firstColumn="1" w:firstRow="1" w:lastColumn="0" w:lastRow="0" w:noHBand="0" w:noVBand="1" w:val="04A0"/>
      </w:tblPr>
      <w:tblGrid>
        <w:gridCol w:w="9360"/>
      </w:tblGrid>
      <w:tr>
        <w:tc>
          <w:tcPr>
            <w:tcW w:type="dxa" w:w="9360"/>
            <w:shd w:val="clear" w:color="auto" w:fill="F3F3F3"/>
            <w:tcMar>
              <w:top w:w="140" w:type="dxa"/>
              <w:bottom w:w="140" w:type="dxa"/>
              <w:left w:w="180" w:type="dxa"/>
              <w:right w:w="180" w:type="dxa"/>
            </w:tcMar>
          </w:tcPr>
          <w:p>
            <w:pPr>
              <w:jc w:val="center"/>
            </w:pPr>
            <w:r>
              <w:rPr>
                <w:i/>
                <w:color w:val="333333"/>
                <w:sz w:val="20"/>
              </w:rPr>
              <w:t>"The government gave us the land. The Municipal Corporation gave us the mandate. This project is what responsible use of both looks like."</w:t>
            </w:r>
          </w:p>
        </w:tc>
      </w:tr>
    </w:tbl>
    <w:p>
      <w:pPr>
        <w:spacing w:after="240"/>
      </w:pPr>
    </w:p>
    <w:p>
      <w:pPr>
        <w:pStyle w:val="Heading3"/>
        <w:spacing w:before="200" w:after="80"/>
        <w:jc w:val="both"/>
      </w:pPr>
      <w:r>
        <w:rPr>
          <w:color w:val="000000"/>
        </w:rPr>
        <w:t>What Has Been Built</w:t>
      </w:r>
    </w:p>
    <w:p>
      <w:pPr>
        <w:spacing w:before="40" w:after="120"/>
        <w:jc w:val="both"/>
      </w:pPr>
      <w:r>
        <w:rPr>
          <w:b w:val="0"/>
          <w:color w:val="333333"/>
          <w:sz w:val="20"/>
        </w:rPr>
        <w:t>Over three years of operations in Dharamshala, Waste Warriors has developed a full-stack, decentralised waste management system. It brings together:</w:t>
      </w:r>
    </w:p>
    <w:p>
      <w:pPr>
        <w:spacing w:before="40" w:after="100"/>
        <w:jc w:val="both"/>
      </w:pPr>
      <w:r>
        <w:rPr>
          <w:b/>
          <w:color w:val="1B2A4A"/>
          <w:sz w:val="20"/>
        </w:rPr>
        <w:t xml:space="preserve">Door-to-door segregated collection </w:t>
      </w:r>
      <w:r>
        <w:rPr>
          <w:b w:val="0"/>
          <w:color w:val="333333"/>
          <w:sz w:val="20"/>
        </w:rPr>
        <w:t>covering 8,000+ households across 10+ wards. Green Workers accompany the vehicle on every round, actively supporting households in maintaining dry-wet segregation at source.</w:t>
      </w:r>
    </w:p>
    <w:p>
      <w:pPr>
        <w:spacing w:before="40" w:after="100"/>
        <w:jc w:val="both"/>
      </w:pPr>
      <w:r>
        <w:rPr>
          <w:b/>
          <w:color w:val="1B2A4A"/>
          <w:sz w:val="20"/>
        </w:rPr>
        <w:t xml:space="preserve">The Dharamshala Material Recovery Facility (MRF) </w:t>
      </w:r>
      <w:r>
        <w:rPr>
          <w:b w:val="0"/>
          <w:color w:val="333333"/>
          <w:sz w:val="20"/>
        </w:rPr>
        <w:t>processes 1.2 metric tonnes of dry waste daily. Green Workers sort material by hand into 20+ categories. Dry recyclables are baled and dispatched to authorised recyclers. Wet waste is channelled to a partner biogas facility. Between December 2024 and March 2025 alone, the facility processed 195 metric tonnes.</w:t>
      </w:r>
    </w:p>
    <w:p>
      <w:pPr>
        <w:spacing w:before="40" w:after="100"/>
        <w:jc w:val="both"/>
      </w:pPr>
      <w:r>
        <w:rPr>
          <w:b/>
          <w:color w:val="1B2A4A"/>
          <w:sz w:val="20"/>
        </w:rPr>
        <w:t xml:space="preserve">A sustained behaviour change programme </w:t>
      </w:r>
      <w:r>
        <w:rPr>
          <w:b w:val="0"/>
          <w:color w:val="333333"/>
          <w:sz w:val="20"/>
        </w:rPr>
        <w:t>operating across wards through direct community engagement, Swachhata Ambassadors, and IEC campaigns — moving residents from passive waste generation to active participation in the segregation system.</w:t>
      </w:r>
    </w:p>
    <w:p>
      <w:pPr>
        <w:spacing w:before="40" w:after="100"/>
        <w:jc w:val="both"/>
      </w:pPr>
      <w:r>
        <w:rPr>
          <w:b/>
          <w:color w:val="1B2A4A"/>
          <w:sz w:val="20"/>
        </w:rPr>
        <w:t xml:space="preserve">Formal livelihoods for 15 Green Workers </w:t>
      </w:r>
      <w:r>
        <w:rPr>
          <w:b w:val="0"/>
          <w:color w:val="333333"/>
          <w:sz w:val="20"/>
        </w:rPr>
        <w:t>led by Local Ecopreneur Mr. Rajkumar (Yashraj Environmental Services), who began as an informal waste picker 12 years ago and today manages the facility's day-to-day operations.</w:t>
      </w:r>
    </w:p>
    <w:p>
      <w:pPr>
        <w:spacing w:before="40" w:after="120"/>
        <w:jc w:val="both"/>
      </w:pPr>
      <w:r>
        <w:rPr>
          <w:b w:val="0"/>
          <w:color w:val="333333"/>
          <w:sz w:val="20"/>
        </w:rPr>
        <w:t>Past funders of this model include Publicis Groupe, Osttra, HT Parekh Foundation, Bestseller Foundation, and HDFC Bank Parivartan — each contributing to building or sustaining different stages of this value chain.</w:t>
      </w:r>
    </w:p>
    <w:p>
      <w:r>
        <w:br w:type="page"/>
      </w:r>
    </w:p>
    <w:p>
      <w:pPr>
        <w:pStyle w:val="Heading1"/>
        <w:spacing w:before="360" w:after="120"/>
        <w:jc w:val="both"/>
      </w:pPr>
      <w:r>
        <w:rPr>
          <w:color w:val="1B2A4A"/>
        </w:rPr>
        <w:t>The Project: Closing the Loop</w:t>
      </w:r>
    </w:p>
    <w:p>
      <w:pPr>
        <w:pStyle w:val="Heading3"/>
        <w:spacing w:before="200" w:after="80"/>
        <w:jc w:val="both"/>
      </w:pPr>
      <w:r>
        <w:rPr>
          <w:color w:val="000000"/>
        </w:rPr>
        <w:t>Our Focus</w:t>
      </w:r>
    </w:p>
    <w:p>
      <w:pPr>
        <w:spacing w:before="40" w:after="120"/>
        <w:jc w:val="both"/>
      </w:pPr>
      <w:r>
        <w:rPr>
          <w:b w:val="0"/>
          <w:color w:val="333333"/>
          <w:sz w:val="20"/>
        </w:rPr>
        <w:t>The Closing the Loop programme scales and strengthens Waste Warriors' ongoing operations in Dharamshala with a specific, deliberate focus on the three elements that determine whether a waste management system becomes self-sustaining or collapses when donor funding ends: infrastructure, worker welfare, and institutional ownership.</w:t>
      </w:r>
    </w:p>
    <w:p>
      <w:pPr>
        <w:spacing w:before="40" w:after="120"/>
        <w:jc w:val="both"/>
      </w:pPr>
      <w:r>
        <w:rPr>
          <w:b w:val="0"/>
          <w:color w:val="333333"/>
          <w:sz w:val="20"/>
        </w:rPr>
        <w:t>This is a 12-month intervention. It does not build from scratch. It deepens a system that the Municipal Corporation has already endorsed, that 8,000+ households already rely on, and that three years of continuous operations have already proven. What The Coca-Cola Foundation's investment enables is the layer most often left underfunded: expansion of the processing backbone, protection of the workers who run it, and the behaviour change infrastructure that feeds it.</w:t>
      </w:r>
    </w:p>
    <w:p>
      <w:pPr>
        <w:spacing w:before="40" w:after="80"/>
        <w:jc w:val="both"/>
      </w:pPr>
      <w:r>
        <w:rPr>
          <w:b w:val="0"/>
          <w:color w:val="333333"/>
          <w:sz w:val="20"/>
        </w:rPr>
        <w:t>We are asking The Coca-Cola Foundation to invest in three interconnected dimensions of impact:</w:t>
      </w:r>
    </w:p>
    <w:p>
      <w:pPr>
        <w:spacing w:before="40" w:after="100"/>
        <w:jc w:val="both"/>
      </w:pPr>
      <w:r>
        <w:rPr>
          <w:b/>
          <w:color w:val="1B2A4A"/>
          <w:sz w:val="20"/>
        </w:rPr>
        <w:t xml:space="preserve">Environmental impact </w:t>
      </w:r>
      <w:r>
        <w:rPr>
          <w:b w:val="0"/>
          <w:color w:val="333333"/>
          <w:sz w:val="20"/>
        </w:rPr>
        <w:t>— through diversion of waste from open dumpsites, verified recycling across 20+ material categories, and measurable reductions in GHG emissions.</w:t>
      </w:r>
    </w:p>
    <w:p>
      <w:pPr>
        <w:spacing w:before="40" w:after="100"/>
        <w:jc w:val="both"/>
      </w:pPr>
      <w:r>
        <w:rPr>
          <w:b/>
          <w:color w:val="1B2A4A"/>
          <w:sz w:val="20"/>
        </w:rPr>
        <w:t xml:space="preserve">Worker welfare </w:t>
      </w:r>
      <w:r>
        <w:rPr>
          <w:b w:val="0"/>
          <w:color w:val="333333"/>
          <w:sz w:val="20"/>
        </w:rPr>
        <w:t>— through formal employment protections, health screening, nutrition, skills development, and the dignity of a livelihood that is recognised and protected.</w:t>
      </w:r>
    </w:p>
    <w:p>
      <w:pPr>
        <w:spacing w:before="40" w:after="100"/>
        <w:jc w:val="both"/>
      </w:pPr>
      <w:r>
        <w:rPr>
          <w:b/>
          <w:color w:val="1B2A4A"/>
          <w:sz w:val="20"/>
        </w:rPr>
        <w:t xml:space="preserve">Civic and institutional impact </w:t>
      </w:r>
      <w:r>
        <w:rPr>
          <w:b w:val="0"/>
          <w:color w:val="333333"/>
          <w:sz w:val="20"/>
        </w:rPr>
        <w:t>— through government coordination, Swachh Survekshan alignment, digital monitoring systems, and a documented model that Dharamshala's other wards — and other Himalayan cities — can replicate.</w:t>
      </w:r>
    </w:p>
    <w:p>
      <w:pPr>
        <w:pStyle w:val="Heading3"/>
        <w:spacing w:before="200" w:after="80"/>
        <w:jc w:val="both"/>
      </w:pPr>
      <w:r>
        <w:rPr>
          <w:color w:val="000000"/>
        </w:rPr>
        <w:t>The Processing Backbone</w:t>
      </w:r>
    </w:p>
    <w:p>
      <w:pPr>
        <w:spacing w:before="40" w:after="120"/>
        <w:jc w:val="both"/>
      </w:pPr>
      <w:r>
        <w:rPr>
          <w:b w:val="0"/>
          <w:color w:val="333333"/>
          <w:sz w:val="20"/>
        </w:rPr>
        <w:t>At the heart of this programme is the Dharamshala MRF — where waste collected from across the city's wards undergoes its full processing journey. Dry waste is sorted by hand into 20+ material categories and baled for downstream recyclers. Multi-layered plastics — among the most difficult waste streams to manage — are handled through specialised processing. Wet waste is channelled to a partner biogas facility, converting organic refuse into energy and preventing landfill dependency.</w:t>
      </w:r>
    </w:p>
    <w:p>
      <w:pPr>
        <w:spacing w:before="40" w:after="120"/>
        <w:jc w:val="both"/>
      </w:pPr>
      <w:r>
        <w:rPr>
          <w:b w:val="0"/>
          <w:color w:val="333333"/>
          <w:sz w:val="20"/>
        </w:rPr>
        <w:t>This programme includes a capital component for MRF expansion: civil and shed works, processing equipment, electrical and fire-safety infrastructure, and a dedicated collection vehicle. This is a one-time investment in the facility's long-term throughput capacity — enabling it to serve a larger catchment and process more material well beyond the programme period.</w:t>
      </w:r>
    </w:p>
    <w:p>
      <w:pPr>
        <w:spacing w:before="40" w:after="120"/>
        <w:jc w:val="both"/>
      </w:pPr>
      <w:r>
        <w:rPr>
          <w:b w:val="0"/>
          <w:color w:val="333333"/>
          <w:sz w:val="20"/>
        </w:rPr>
        <w:t>The MRF is not just a processing facility. It is the employment anchor for 15 Green Workers, a data collection point for the city's waste monitoring systems, and the physical proof that decentralised, community-run processing is a viable alternative to landfill disposal. Without the MRF, the collection system has no destination. Without the collection system, the MRF has no feedstock. This proposal funds both — and the expansion that will let them serve more of Dharamshala.</w:t>
      </w:r>
    </w:p>
    <w:p>
      <w:r>
        <w:br w:type="page"/>
      </w:r>
    </w:p>
    <w:p>
      <w:pPr>
        <w:pStyle w:val="Heading1"/>
        <w:spacing w:before="360" w:after="120"/>
        <w:jc w:val="both"/>
      </w:pPr>
      <w:r>
        <w:rPr>
          <w:color w:val="1B2A4A"/>
        </w:rPr>
        <w:t>Our Activities</w:t>
      </w:r>
    </w:p>
    <w:p>
      <w:pPr>
        <w:spacing w:before="40" w:after="120"/>
        <w:jc w:val="both"/>
      </w:pPr>
      <w:r>
        <w:rPr>
          <w:b w:val="0"/>
          <w:color w:val="333333"/>
          <w:sz w:val="20"/>
        </w:rPr>
        <w:t>The Closing the Loop programme is organised around six pillars of the waste value chain, each addressing a distinct stage — from the moment a household separates its waste to the moment a recycled material reaches a verified end market. Together they form a closed loop.</w:t>
      </w:r>
    </w:p>
    <w:p>
      <w:pPr>
        <w:pStyle w:val="Heading2"/>
        <w:spacing w:before="240" w:after="80"/>
        <w:jc w:val="both"/>
      </w:pPr>
      <w:r>
        <w:rPr>
          <w:b/>
          <w:sz w:val="24"/>
        </w:rPr>
        <w:t>Pillar 1: Clean Neighbourhoods — Behaviour Change &amp; IEC</w:t>
      </w:r>
    </w:p>
    <w:p>
      <w:pPr>
        <w:spacing w:before="0" w:after="80"/>
        <w:jc w:val="both"/>
      </w:pPr>
      <w:r>
        <w:rPr>
          <w:b w:val="0"/>
          <w:color w:val="00877A"/>
          <w:sz w:val="20"/>
        </w:rPr>
        <w:t>Theme: Community Education, Source Segregation &amp; Civic Ownership</w:t>
      </w:r>
    </w:p>
    <w:p>
      <w:pPr>
        <w:spacing w:before="40" w:after="120"/>
        <w:jc w:val="both"/>
      </w:pPr>
      <w:r>
        <w:rPr>
          <w:b w:val="0"/>
          <w:color w:val="333333"/>
          <w:sz w:val="20"/>
        </w:rPr>
        <w:t>No collection or processing system works without consistent source segregation at the household level. A family that mixes waste at source undoes the efficiency of every downstream investment. This pillar builds the community knowledge, peer accountability, and visual infrastructure that keeps segregation rates high across all 17 wards.</w:t>
      </w:r>
    </w:p>
    <w:p>
      <w:pPr>
        <w:spacing w:before="40" w:after="100"/>
        <w:jc w:val="both"/>
      </w:pPr>
      <w:r>
        <w:rPr>
          <w:b/>
          <w:color w:val="1B2A4A"/>
          <w:sz w:val="20"/>
        </w:rPr>
        <w:t xml:space="preserve">Chai pe Charcha: </w:t>
      </w:r>
      <w:r>
        <w:rPr>
          <w:b w:val="0"/>
          <w:color w:val="333333"/>
          <w:sz w:val="20"/>
        </w:rPr>
        <w:t>Waste Warriors' signature community dialogue programme brings residents together monthly in each ward to discuss waste, segregation, and the shared cost of mismanagement. These are not lectures. They are neighbourhood conversations — the kind that produce the peer accountability that outlasts any campaign.</w:t>
      </w:r>
    </w:p>
    <w:p>
      <w:pPr>
        <w:spacing w:before="40" w:after="100"/>
        <w:jc w:val="both"/>
      </w:pPr>
      <w:r>
        <w:rPr>
          <w:b/>
          <w:color w:val="1B2A4A"/>
          <w:sz w:val="20"/>
        </w:rPr>
        <w:t xml:space="preserve">Cleanup Drives: </w:t>
      </w:r>
      <w:r>
        <w:rPr>
          <w:b w:val="0"/>
          <w:color w:val="333333"/>
          <w:sz w:val="20"/>
        </w:rPr>
        <w:t>Monthly ward-level cleanup drives serve a dual purpose: they remove accumulated waste from public spaces and create a platform for youth and women to step forward as civic actors. Every cleanup is a community conversation about why waste should not be there in the first place.</w:t>
      </w:r>
    </w:p>
    <w:p>
      <w:pPr>
        <w:spacing w:before="40" w:after="100"/>
        <w:jc w:val="both"/>
      </w:pPr>
      <w:r>
        <w:rPr>
          <w:b/>
          <w:color w:val="1B2A4A"/>
          <w:sz w:val="20"/>
        </w:rPr>
        <w:t xml:space="preserve">Dark Spot Transformation: </w:t>
      </w:r>
      <w:r>
        <w:rPr>
          <w:b w:val="0"/>
          <w:color w:val="333333"/>
          <w:sz w:val="20"/>
        </w:rPr>
        <w:t>17 dumping dark spots — one per ward — are identified, cleared, and converted into clean, mural-marked public spaces. Removing the physical norm of dumping removes the social norm of dumping.</w:t>
      </w:r>
    </w:p>
    <w:p>
      <w:pPr>
        <w:spacing w:before="40" w:after="100"/>
        <w:jc w:val="both"/>
      </w:pPr>
      <w:r>
        <w:rPr>
          <w:b/>
          <w:color w:val="1B2A4A"/>
          <w:sz w:val="20"/>
        </w:rPr>
        <w:t xml:space="preserve">Visual Communication: </w:t>
      </w:r>
      <w:r>
        <w:rPr>
          <w:b w:val="0"/>
          <w:color w:val="333333"/>
          <w:sz w:val="20"/>
        </w:rPr>
        <w:t>17 wall murals and 17 ward-level signboards with civic messaging at high-footfall points create a permanent visual grammar of accountability. The message of responsible waste management is visible even when the team is not present.</w:t>
      </w:r>
    </w:p>
    <w:p>
      <w:pPr>
        <w:spacing w:before="40" w:after="100"/>
        <w:jc w:val="both"/>
      </w:pPr>
      <w:r>
        <w:rPr>
          <w:b/>
          <w:color w:val="1B2A4A"/>
          <w:sz w:val="20"/>
        </w:rPr>
        <w:t xml:space="preserve">Zero Waste Melas: </w:t>
      </w:r>
      <w:r>
        <w:rPr>
          <w:b w:val="0"/>
          <w:color w:val="333333"/>
          <w:sz w:val="20"/>
        </w:rPr>
        <w:t>Two city-wide events combining waste awareness programming with community celebration, felicitation of Swachhata Champions, and institutional engagement.</w:t>
      </w:r>
    </w:p>
    <w:p>
      <w:pPr>
        <w:spacing w:before="40" w:after="100"/>
        <w:jc w:val="both"/>
      </w:pPr>
      <w:r>
        <w:rPr>
          <w:b/>
          <w:color w:val="1B2A4A"/>
          <w:sz w:val="20"/>
        </w:rPr>
        <w:t xml:space="preserve">Plastic Lao, Rashan Pao: </w:t>
      </w:r>
      <w:r>
        <w:rPr>
          <w:b w:val="0"/>
          <w:color w:val="333333"/>
          <w:sz w:val="20"/>
        </w:rPr>
        <w:t>An incentivised programme for informal waste pickers — low-value plastic brought to collection points is exchanged for essential commodities. It addresses two problems simultaneously: diverting a difficult waste stream, and providing direct economic support to the city's most economically precarious workers.</w:t>
      </w:r>
    </w:p>
    <w:p>
      <w:pPr>
        <w:pStyle w:val="Heading2"/>
        <w:spacing w:before="240" w:after="80"/>
        <w:jc w:val="both"/>
      </w:pPr>
      <w:r>
        <w:rPr>
          <w:b/>
          <w:sz w:val="24"/>
        </w:rPr>
        <w:t>Pillar 2: Waste Collection — At the Point of Generation</w:t>
      </w:r>
    </w:p>
    <w:p>
      <w:pPr>
        <w:spacing w:before="0" w:after="80"/>
        <w:jc w:val="both"/>
      </w:pPr>
      <w:r>
        <w:rPr>
          <w:b w:val="0"/>
          <w:color w:val="00877A"/>
          <w:sz w:val="20"/>
        </w:rPr>
        <w:t>Theme: Segregated Collection, Route Discipline &amp; Compliance Monitoring</w:t>
      </w:r>
    </w:p>
    <w:p>
      <w:pPr>
        <w:spacing w:before="40" w:after="120"/>
        <w:jc w:val="both"/>
      </w:pPr>
      <w:r>
        <w:rPr>
          <w:b w:val="0"/>
          <w:color w:val="333333"/>
          <w:sz w:val="20"/>
        </w:rPr>
        <w:t>Reliable, segregated door-to-door collection is the first physical link in the value chain. Waste Warriors works directly with the Municipal Corporation Dharamshala and the third-party sanitation contractor to monitor and strengthen daily collection operations across all 17 wards.</w:t>
      </w:r>
    </w:p>
    <w:p>
      <w:pPr>
        <w:spacing w:before="40" w:after="100"/>
        <w:jc w:val="both"/>
      </w:pPr>
      <w:r>
        <w:rPr>
          <w:b/>
          <w:color w:val="1B2A4A"/>
          <w:sz w:val="20"/>
        </w:rPr>
        <w:t xml:space="preserve">Vehicle Monitoring: </w:t>
      </w:r>
      <w:r>
        <w:rPr>
          <w:b w:val="0"/>
          <w:color w:val="333333"/>
          <w:sz w:val="20"/>
        </w:rPr>
        <w:t>Daily follow-up with all 27 waste collection vehicles operating across 17 wards — verifying route coverage, segregation compliance at point of collection, and driver and worker accountability.</w:t>
      </w:r>
    </w:p>
    <w:p>
      <w:pPr>
        <w:spacing w:before="40" w:after="100"/>
        <w:jc w:val="both"/>
      </w:pPr>
      <w:r>
        <w:rPr>
          <w:b/>
          <w:color w:val="1B2A4A"/>
          <w:sz w:val="20"/>
        </w:rPr>
        <w:t xml:space="preserve">Household Engagement: </w:t>
      </w:r>
      <w:r>
        <w:rPr>
          <w:b w:val="0"/>
          <w:color w:val="333333"/>
          <w:sz w:val="20"/>
        </w:rPr>
        <w:t>Regular direct engagement with households and commercial establishments to reinforce at-source segregation — converting behaviour-change messaging into consistent practice.</w:t>
      </w:r>
    </w:p>
    <w:p>
      <w:pPr>
        <w:spacing w:before="40" w:after="100"/>
        <w:jc w:val="both"/>
      </w:pPr>
      <w:r>
        <w:rPr>
          <w:b/>
          <w:color w:val="1B2A4A"/>
          <w:sz w:val="20"/>
        </w:rPr>
        <w:t xml:space="preserve">Digital Documentation: </w:t>
      </w:r>
      <w:r>
        <w:rPr>
          <w:b w:val="0"/>
          <w:color w:val="333333"/>
          <w:sz w:val="20"/>
        </w:rPr>
        <w:t>Ward-wise collection performance documented and shared with the Municipal Corporation in monthly progress reports.</w:t>
      </w:r>
    </w:p>
    <w:p>
      <w:pPr>
        <w:spacing w:before="40" w:after="100"/>
        <w:jc w:val="both"/>
      </w:pPr>
      <w:r>
        <w:rPr>
          <w:b/>
          <w:color w:val="1B2A4A"/>
          <w:sz w:val="20"/>
        </w:rPr>
        <w:t xml:space="preserve">Citizen Feedback: </w:t>
      </w:r>
      <w:r>
        <w:rPr>
          <w:b w:val="0"/>
          <w:color w:val="333333"/>
          <w:sz w:val="20"/>
        </w:rPr>
        <w:t>A simple, accessible mechanism for residents to report missed collections or non-compliance, with direct escalation to the ULB.</w:t>
      </w:r>
    </w:p>
    <w:p>
      <w:pPr>
        <w:pStyle w:val="Heading2"/>
        <w:spacing w:before="240" w:after="80"/>
        <w:jc w:val="both"/>
      </w:pPr>
      <w:r>
        <w:rPr>
          <w:b/>
          <w:sz w:val="24"/>
        </w:rPr>
        <w:t>Pillar 3: Waste Transport — From Collection to Processing</w:t>
      </w:r>
    </w:p>
    <w:p>
      <w:pPr>
        <w:spacing w:before="0" w:after="80"/>
        <w:jc w:val="both"/>
      </w:pPr>
      <w:r>
        <w:rPr>
          <w:b w:val="0"/>
          <w:color w:val="00877A"/>
          <w:sz w:val="20"/>
        </w:rPr>
        <w:t>Theme: Logistics Integrity &amp; Material Chain Continuity</w:t>
      </w:r>
    </w:p>
    <w:p>
      <w:pPr>
        <w:spacing w:before="40" w:after="120"/>
        <w:jc w:val="both"/>
      </w:pPr>
      <w:r>
        <w:rPr>
          <w:b w:val="0"/>
          <w:color w:val="333333"/>
          <w:sz w:val="20"/>
        </w:rPr>
        <w:t>Once collected and segregated, waste must reach the MRF with its material integrity intact. Gaps at the transport stage — re-mixing, roadside disposal, or diversion — undermine both the processing and the environmental outcomes downstream.</w:t>
      </w:r>
    </w:p>
    <w:p>
      <w:pPr>
        <w:spacing w:before="40" w:after="100"/>
        <w:jc w:val="both"/>
      </w:pPr>
      <w:r>
        <w:rPr>
          <w:b/>
          <w:color w:val="1B2A4A"/>
          <w:sz w:val="20"/>
        </w:rPr>
        <w:t xml:space="preserve">Inbound Transport: </w:t>
      </w:r>
      <w:r>
        <w:rPr>
          <w:b w:val="0"/>
          <w:color w:val="333333"/>
          <w:sz w:val="20"/>
        </w:rPr>
        <w:t>Organised, scheduled movement of all segregated dry waste from ward-level collection points to the Dharamshala MRF throughout the programme period.</w:t>
      </w:r>
    </w:p>
    <w:p>
      <w:pPr>
        <w:spacing w:before="40" w:after="100"/>
        <w:jc w:val="both"/>
      </w:pPr>
      <w:r>
        <w:rPr>
          <w:b/>
          <w:color w:val="1B2A4A"/>
          <w:sz w:val="20"/>
        </w:rPr>
        <w:t xml:space="preserve">Outbound Logistics: </w:t>
      </w:r>
      <w:r>
        <w:rPr>
          <w:b w:val="0"/>
          <w:color w:val="333333"/>
          <w:sz w:val="20"/>
        </w:rPr>
        <w:t>Baled and labelled recyclables dispatched to authorised recyclers — covering intercity and interstate transport for materials that require specialised processing outside Dharamshala.</w:t>
      </w:r>
    </w:p>
    <w:p>
      <w:pPr>
        <w:spacing w:before="40" w:after="100"/>
        <w:jc w:val="both"/>
      </w:pPr>
      <w:r>
        <w:rPr>
          <w:b/>
          <w:color w:val="1B2A4A"/>
          <w:sz w:val="20"/>
        </w:rPr>
        <w:t xml:space="preserve">Vehicle Operations: </w:t>
      </w:r>
      <w:r>
        <w:rPr>
          <w:b w:val="0"/>
          <w:color w:val="333333"/>
          <w:sz w:val="20"/>
        </w:rPr>
        <w:t>A dedicated vehicle for local collection and processed-material dispatch, with annual maintenance budgeted as a fixed operational cost.</w:t>
      </w:r>
    </w:p>
    <w:p>
      <w:pPr>
        <w:spacing w:before="40" w:after="100"/>
        <w:jc w:val="both"/>
      </w:pPr>
      <w:r>
        <w:rPr>
          <w:b/>
          <w:color w:val="1B2A4A"/>
          <w:sz w:val="20"/>
        </w:rPr>
        <w:t xml:space="preserve">Transport Tracking: </w:t>
      </w:r>
      <w:r>
        <w:rPr>
          <w:b w:val="0"/>
          <w:color w:val="333333"/>
          <w:sz w:val="20"/>
        </w:rPr>
        <w:t>Material movement data integrated into the programme's digital monitoring dashboard for real-time visibility.</w:t>
      </w:r>
    </w:p>
    <w:p>
      <w:pPr>
        <w:pStyle w:val="Heading2"/>
        <w:spacing w:before="240" w:after="80"/>
        <w:jc w:val="both"/>
      </w:pPr>
      <w:r>
        <w:rPr>
          <w:b/>
          <w:sz w:val="24"/>
        </w:rPr>
        <w:t>Pillar 4: Recycling at the MRF — The Processing Chain</w:t>
      </w:r>
    </w:p>
    <w:p>
      <w:pPr>
        <w:spacing w:before="0" w:after="80"/>
        <w:jc w:val="both"/>
      </w:pPr>
      <w:r>
        <w:rPr>
          <w:b w:val="0"/>
          <w:color w:val="00877A"/>
          <w:sz w:val="20"/>
        </w:rPr>
        <w:t>Theme: Material Recovery, Circular Economy &amp; MRF Expansion</w:t>
      </w:r>
    </w:p>
    <w:p>
      <w:pPr>
        <w:spacing w:before="40" w:after="120"/>
        <w:jc w:val="both"/>
      </w:pPr>
      <w:r>
        <w:rPr>
          <w:b w:val="0"/>
          <w:color w:val="333333"/>
          <w:sz w:val="20"/>
        </w:rPr>
        <w:t>Every piece of waste that leaves a household in Dharamshala is destined for the MRF — where the real work of resource recovery happens. Green Workers perform the skilled, labour-intensive task of hand segregation, sorting materials into 20+ categories before they move downstream to verified recyclers, co-processors, and the biogas facility.</w:t>
      </w:r>
    </w:p>
    <w:p>
      <w:pPr>
        <w:spacing w:before="40" w:after="100"/>
        <w:jc w:val="both"/>
      </w:pPr>
      <w:r>
        <w:rPr>
          <w:b/>
          <w:color w:val="1B2A4A"/>
          <w:sz w:val="20"/>
        </w:rPr>
        <w:t xml:space="preserve">Hand Segregation: </w:t>
      </w:r>
      <w:r>
        <w:rPr>
          <w:b w:val="0"/>
          <w:color w:val="333333"/>
          <w:sz w:val="20"/>
        </w:rPr>
        <w:t>Dry waste sorted into 20+ material categories at the facility — plastics, metals, paper, glass, and specialist streams. Segregation by hand preserves material quality and maximises recovery value.</w:t>
      </w:r>
    </w:p>
    <w:p>
      <w:pPr>
        <w:spacing w:before="40" w:after="100"/>
        <w:jc w:val="both"/>
      </w:pPr>
      <w:r>
        <w:rPr>
          <w:b/>
          <w:color w:val="1B2A4A"/>
          <w:sz w:val="20"/>
        </w:rPr>
        <w:t xml:space="preserve">Dry Waste Recycling: </w:t>
      </w:r>
      <w:r>
        <w:rPr>
          <w:b w:val="0"/>
          <w:color w:val="333333"/>
          <w:sz w:val="20"/>
        </w:rPr>
        <w:t>Baled recyclables sold to authorised recyclers across Himachal Pradesh and beyond, channelling material into the formal circular economy and generating operating revenue for the facility.</w:t>
      </w:r>
    </w:p>
    <w:p>
      <w:pPr>
        <w:spacing w:before="40" w:after="100"/>
        <w:jc w:val="both"/>
      </w:pPr>
      <w:r>
        <w:rPr>
          <w:b/>
          <w:color w:val="1B2A4A"/>
          <w:sz w:val="20"/>
        </w:rPr>
        <w:t xml:space="preserve">Wet Waste Processing: </w:t>
      </w:r>
      <w:r>
        <w:rPr>
          <w:b w:val="0"/>
          <w:color w:val="333333"/>
          <w:sz w:val="20"/>
        </w:rPr>
        <w:t>Wet waste directed to a partner biogas facility, converting organic material into energy and preventing landfill disposal and associated methane emissions.</w:t>
      </w:r>
    </w:p>
    <w:p>
      <w:pPr>
        <w:spacing w:before="40" w:after="100"/>
        <w:jc w:val="both"/>
      </w:pPr>
      <w:r>
        <w:rPr>
          <w:b/>
          <w:color w:val="1B2A4A"/>
          <w:sz w:val="20"/>
        </w:rPr>
        <w:t xml:space="preserve">MRF Expansion (Capital): </w:t>
      </w:r>
      <w:r>
        <w:rPr>
          <w:b w:val="0"/>
          <w:color w:val="333333"/>
          <w:sz w:val="20"/>
        </w:rPr>
        <w:t>One-time capital investment in civil and shed expansion works, additional processing equipment (baler, conveyor, weighing units), electrical and fire-safety infrastructure, and a dedicated collection vehicle — increasing the facility's throughput capacity and enabling it to serve a larger catchment.</w:t>
      </w:r>
    </w:p>
    <w:p>
      <w:pPr>
        <w:spacing w:before="40" w:after="100"/>
        <w:jc w:val="both"/>
      </w:pPr>
      <w:r>
        <w:rPr>
          <w:b/>
          <w:color w:val="1B2A4A"/>
          <w:sz w:val="20"/>
        </w:rPr>
        <w:t xml:space="preserve">Operational Continuity: </w:t>
      </w:r>
      <w:r>
        <w:rPr>
          <w:b w:val="0"/>
          <w:color w:val="333333"/>
          <w:sz w:val="20"/>
        </w:rPr>
        <w:t>Annual equipment servicing, housekeeping, data entry operations, and project visibility materials budgeted across the full 12 months.</w:t>
      </w:r>
    </w:p>
    <w:p>
      <w:pPr>
        <w:pStyle w:val="Heading2"/>
        <w:spacing w:before="240" w:after="80"/>
        <w:jc w:val="both"/>
      </w:pPr>
      <w:r>
        <w:rPr>
          <w:b/>
          <w:sz w:val="24"/>
        </w:rPr>
        <w:t>Pillar 5: Government Partnership — Systemic Change &amp; Replication</w:t>
      </w:r>
    </w:p>
    <w:p>
      <w:pPr>
        <w:spacing w:before="0" w:after="80"/>
        <w:jc w:val="both"/>
      </w:pPr>
      <w:r>
        <w:rPr>
          <w:b w:val="0"/>
          <w:color w:val="00877A"/>
          <w:sz w:val="20"/>
        </w:rPr>
        <w:t>Theme: Institutional Coordination, Policy Alignment &amp; Model Documentation</w:t>
      </w:r>
    </w:p>
    <w:p>
      <w:pPr>
        <w:spacing w:before="40" w:after="120"/>
        <w:jc w:val="both"/>
      </w:pPr>
      <w:r>
        <w:rPr>
          <w:b w:val="0"/>
          <w:color w:val="333333"/>
          <w:sz w:val="20"/>
        </w:rPr>
        <w:t>A waste management model that operates outside the government system remains a project. One that works with it, reports to it, and hands institutional capacity over to it becomes policy. This pillar is about the difference between the two.</w:t>
      </w:r>
    </w:p>
    <w:p>
      <w:pPr>
        <w:spacing w:before="40" w:after="100"/>
        <w:jc w:val="both"/>
      </w:pPr>
      <w:r>
        <w:rPr>
          <w:b/>
          <w:color w:val="1B2A4A"/>
          <w:sz w:val="20"/>
        </w:rPr>
        <w:t xml:space="preserve">Municipal Coordination: </w:t>
      </w:r>
      <w:r>
        <w:rPr>
          <w:b w:val="0"/>
          <w:color w:val="333333"/>
          <w:sz w:val="20"/>
        </w:rPr>
        <w:t>Structured monthly reviews with the Municipal Corporation Dharamshala, with formal minutes, knowledge transfer sessions, and direct involvement of DMC staff in monitoring and decision-making.</w:t>
      </w:r>
    </w:p>
    <w:p>
      <w:pPr>
        <w:spacing w:before="40" w:after="100"/>
        <w:jc w:val="both"/>
      </w:pPr>
      <w:r>
        <w:rPr>
          <w:b/>
          <w:color w:val="1B2A4A"/>
          <w:sz w:val="20"/>
        </w:rPr>
        <w:t xml:space="preserve">Swachh Survekshan 2026 Alignment: </w:t>
      </w:r>
      <w:r>
        <w:rPr>
          <w:b w:val="0"/>
          <w:color w:val="333333"/>
          <w:sz w:val="20"/>
        </w:rPr>
        <w:t>All IEC, collection monitoring, and community engagement activities mapped to the relevant national survey performance indicators — making this programme's output directly legible to government accountability frameworks.</w:t>
      </w:r>
    </w:p>
    <w:p>
      <w:pPr>
        <w:spacing w:before="40" w:after="100"/>
        <w:jc w:val="both"/>
      </w:pPr>
      <w:r>
        <w:rPr>
          <w:b/>
          <w:color w:val="1B2A4A"/>
          <w:sz w:val="20"/>
        </w:rPr>
        <w:t xml:space="preserve">Digital Dashboard: </w:t>
      </w:r>
      <w:r>
        <w:rPr>
          <w:b w:val="0"/>
          <w:color w:val="333333"/>
          <w:sz w:val="20"/>
        </w:rPr>
        <w:t>A centralised, automated reporting system providing the DMC with real-time ward-wise data on collection performance, segregation rates, IEC activity, and dark spot status.</w:t>
      </w:r>
    </w:p>
    <w:p>
      <w:pPr>
        <w:spacing w:before="40" w:after="100"/>
        <w:jc w:val="both"/>
      </w:pPr>
      <w:r>
        <w:rPr>
          <w:b/>
          <w:color w:val="1B2A4A"/>
          <w:sz w:val="20"/>
        </w:rPr>
        <w:t xml:space="preserve">Administrative Integration: </w:t>
      </w:r>
      <w:r>
        <w:rPr>
          <w:b w:val="0"/>
          <w:color w:val="333333"/>
          <w:sz w:val="20"/>
        </w:rPr>
        <w:t>Formal approval processes maintained for all public-facing activities — ensuring that signboards, murals, cleanup drives, and community events operate within the municipal governance framework rather than around it.</w:t>
      </w:r>
    </w:p>
    <w:p>
      <w:pPr>
        <w:spacing w:before="40" w:after="100"/>
        <w:jc w:val="both"/>
      </w:pPr>
      <w:r>
        <w:rPr>
          <w:b/>
          <w:color w:val="1B2A4A"/>
          <w:sz w:val="20"/>
        </w:rPr>
        <w:t xml:space="preserve">Model Documentation &amp; Dissemination: </w:t>
      </w:r>
      <w:r>
        <w:rPr>
          <w:b w:val="0"/>
          <w:color w:val="333333"/>
          <w:sz w:val="20"/>
        </w:rPr>
        <w:t>The Dharamshala programme will be formally documented and presented to the Municipal Corporation for consideration as a replicable template for other wards — and eventually for other Himachal Pradesh municipalities.</w:t>
      </w:r>
    </w:p>
    <w:p>
      <w:pPr>
        <w:pStyle w:val="Heading2"/>
        <w:spacing w:before="240" w:after="80"/>
        <w:jc w:val="both"/>
      </w:pPr>
      <w:r>
        <w:rPr>
          <w:b/>
          <w:sz w:val="24"/>
        </w:rPr>
        <w:t>Pillar 6: Livelihood Generation — Dignity at Work</w:t>
      </w:r>
    </w:p>
    <w:p>
      <w:pPr>
        <w:spacing w:before="0" w:after="80"/>
        <w:jc w:val="both"/>
      </w:pPr>
      <w:r>
        <w:rPr>
          <w:b w:val="0"/>
          <w:color w:val="00877A"/>
          <w:sz w:val="20"/>
        </w:rPr>
        <w:t>Theme: Occupational Health, Worker Wellness &amp; Ecopreneur Development</w:t>
      </w:r>
    </w:p>
    <w:p>
      <w:pPr>
        <w:spacing w:before="40" w:after="120"/>
        <w:jc w:val="both"/>
      </w:pPr>
      <w:r>
        <w:rPr>
          <w:b w:val="0"/>
          <w:color w:val="333333"/>
          <w:sz w:val="20"/>
        </w:rPr>
        <w:t>A waste management system is only as strong as the people who run it. Yet in most of India's cities, the workers who sort and process waste daily are among the least protected, least recognised, and most medically vulnerable members of the urban workforce. Their bodies carry risks that accumulate silently over years of physical labour.</w:t>
      </w:r>
    </w:p>
    <w:p>
      <w:pPr>
        <w:spacing w:before="40" w:after="120"/>
        <w:jc w:val="both"/>
      </w:pPr>
      <w:r>
        <w:rPr>
          <w:b w:val="0"/>
          <w:color w:val="333333"/>
          <w:sz w:val="20"/>
        </w:rPr>
        <w:t>Waste Warriors has consistently refused to treat worker welfare as an afterthought. In Dharamshala, all 15 Green Workers are formally employed with fair wages, safe conditions, and a structured wellness programme. This programme sustains and strengthens every element of that commitment:</w:t>
      </w:r>
    </w:p>
    <w:p>
      <w:pPr>
        <w:spacing w:before="40" w:after="100"/>
        <w:jc w:val="both"/>
      </w:pPr>
      <w:r>
        <w:rPr>
          <w:b/>
          <w:color w:val="1B2A4A"/>
          <w:sz w:val="20"/>
        </w:rPr>
        <w:t xml:space="preserve">Formal Employment: </w:t>
      </w:r>
      <w:r>
        <w:rPr>
          <w:b w:val="0"/>
          <w:color w:val="333333"/>
          <w:sz w:val="20"/>
        </w:rPr>
        <w:t>Above-market wages for all 15 Green Workers, covered through the Ecopreneur service fee which also provides PPE kits and waste storage equipment.</w:t>
      </w:r>
    </w:p>
    <w:p>
      <w:pPr>
        <w:spacing w:before="40" w:after="100"/>
        <w:jc w:val="both"/>
      </w:pPr>
      <w:r>
        <w:rPr>
          <w:b/>
          <w:color w:val="1B2A4A"/>
          <w:sz w:val="20"/>
        </w:rPr>
        <w:t xml:space="preserve">Meal Programme: </w:t>
      </w:r>
      <w:r>
        <w:rPr>
          <w:b w:val="0"/>
          <w:color w:val="333333"/>
          <w:sz w:val="20"/>
        </w:rPr>
        <w:t>Daily nutritional support ensures that workers performing strenuous, outdoor physical labour are adequately nourished throughout their shift. A direct wellness investment.</w:t>
      </w:r>
    </w:p>
    <w:p>
      <w:pPr>
        <w:spacing w:before="40" w:after="100"/>
        <w:jc w:val="both"/>
      </w:pPr>
      <w:r>
        <w:rPr>
          <w:b/>
          <w:color w:val="1B2A4A"/>
          <w:sz w:val="20"/>
        </w:rPr>
        <w:t xml:space="preserve">Annual Medical Screening: </w:t>
      </w:r>
      <w:r>
        <w:rPr>
          <w:b w:val="0"/>
          <w:color w:val="333333"/>
          <w:sz w:val="20"/>
        </w:rPr>
        <w:t>A full health check-up for all Green Workers and team members — routine bloodwork and specialist screening. For workers whose bodies absorb the daily risks of waste handling, early detection is an occupational obligation.</w:t>
      </w:r>
    </w:p>
    <w:p>
      <w:pPr>
        <w:spacing w:before="40" w:after="100"/>
        <w:jc w:val="both"/>
      </w:pPr>
      <w:r>
        <w:rPr>
          <w:b/>
          <w:color w:val="1B2A4A"/>
          <w:sz w:val="20"/>
        </w:rPr>
        <w:t xml:space="preserve">Wellness Allowance &amp; Hobby Fund: </w:t>
      </w:r>
      <w:r>
        <w:rPr>
          <w:b w:val="0"/>
          <w:color w:val="333333"/>
          <w:sz w:val="20"/>
        </w:rPr>
        <w:t>A structured monthly allowance covers ad-hoc medical expenses. An additional hobby fund supports Green Workers in pursuing personal interests and recreational activities — because wellbeing does not end at the MRF gate.</w:t>
      </w:r>
    </w:p>
    <w:p>
      <w:pPr>
        <w:spacing w:before="40" w:after="100"/>
        <w:jc w:val="both"/>
      </w:pPr>
      <w:r>
        <w:rPr>
          <w:b/>
          <w:color w:val="1B2A4A"/>
          <w:sz w:val="20"/>
        </w:rPr>
        <w:t xml:space="preserve">Insurance &amp; Gratuity: </w:t>
      </w:r>
      <w:r>
        <w:rPr>
          <w:b w:val="0"/>
          <w:color w:val="333333"/>
          <w:sz w:val="20"/>
        </w:rPr>
        <w:t>Formal employment protections — medical insurance and gratuity provisions — give Green Workers the baseline security and legal standing that workers in more visible sectors take for granted.</w:t>
      </w:r>
    </w:p>
    <w:p>
      <w:pPr>
        <w:spacing w:before="40" w:after="100"/>
        <w:jc w:val="both"/>
      </w:pPr>
      <w:r>
        <w:rPr>
          <w:b/>
          <w:color w:val="1B2A4A"/>
          <w:sz w:val="20"/>
        </w:rPr>
        <w:t xml:space="preserve">Vocational Training &amp; L&amp;D: </w:t>
      </w:r>
      <w:r>
        <w:rPr>
          <w:b w:val="0"/>
          <w:color w:val="333333"/>
          <w:sz w:val="20"/>
        </w:rPr>
        <w:t>Weekly spoken English sessions build communication confidence and practical language skills, opening economic pathways beyond the current role. Digital literacy training enables participation in the organisation's data and reporting systems.</w:t>
      </w:r>
    </w:p>
    <w:p>
      <w:pPr>
        <w:spacing w:before="40" w:after="100"/>
        <w:jc w:val="both"/>
      </w:pPr>
      <w:r>
        <w:rPr>
          <w:b/>
          <w:color w:val="1B2A4A"/>
          <w:sz w:val="20"/>
        </w:rPr>
        <w:t xml:space="preserve">Ecopreneur Development: </w:t>
      </w:r>
      <w:r>
        <w:rPr>
          <w:b w:val="0"/>
          <w:color w:val="333333"/>
          <w:sz w:val="20"/>
        </w:rPr>
        <w:t>Mr. Rajkumar receives structured mentoring in financial planning, inventory management, waste trading, HR management, and stakeholder engagement — with the explicit objective of full operational independence.</w:t>
      </w:r>
    </w:p>
    <w:p>
      <w:r>
        <w:br w:type="page"/>
      </w:r>
    </w:p>
    <w:p>
      <w:pPr>
        <w:pStyle w:val="Heading1"/>
        <w:spacing w:before="360" w:after="120"/>
        <w:jc w:val="both"/>
      </w:pPr>
      <w:r>
        <w:rPr>
          <w:color w:val="00877A"/>
        </w:rPr>
        <w:t>What Success Looks Like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0FDF4"/>
            <w:tcMar>
              <w:top w:w="120" w:type="dxa"/>
              <w:bottom w:w="20" w:type="dxa"/>
              <w:left w:w="120" w:type="dxa"/>
              <w:right w:w="120" w:type="dxa"/>
            </w:tcMar>
          </w:tcPr>
          <w:p>
            <w:pPr>
              <w:jc w:val="center"/>
            </w:pPr>
            <w:r>
              <w:rPr>
                <w:b/>
                <w:color w:val="1B2A4A"/>
                <w:sz w:val="44"/>
              </w:rPr>
              <w:t>8,000+</w:t>
            </w:r>
          </w:p>
        </w:tc>
        <w:tc>
          <w:tcPr>
            <w:tcW w:type="dxa" w:w="3120"/>
            <w:shd w:val="clear" w:color="auto" w:fill="F0FDF4"/>
            <w:tcMar>
              <w:top w:w="120" w:type="dxa"/>
              <w:bottom w:w="20" w:type="dxa"/>
              <w:left w:w="120" w:type="dxa"/>
              <w:right w:w="120" w:type="dxa"/>
            </w:tcMar>
          </w:tcPr>
          <w:p>
            <w:pPr>
              <w:jc w:val="center"/>
            </w:pPr>
            <w:r>
              <w:rPr>
                <w:b/>
                <w:color w:val="1B2A4A"/>
                <w:sz w:val="44"/>
              </w:rPr>
              <w:t>15</w:t>
            </w:r>
          </w:p>
        </w:tc>
        <w:tc>
          <w:tcPr>
            <w:tcW w:type="dxa" w:w="3120"/>
            <w:shd w:val="clear" w:color="auto" w:fill="F0FDF4"/>
            <w:tcMar>
              <w:top w:w="120" w:type="dxa"/>
              <w:bottom w:w="20" w:type="dxa"/>
              <w:left w:w="120" w:type="dxa"/>
              <w:right w:w="120" w:type="dxa"/>
            </w:tcMar>
          </w:tcPr>
          <w:p>
            <w:pPr>
              <w:jc w:val="center"/>
            </w:pPr>
            <w:r>
              <w:rPr>
                <w:b/>
                <w:color w:val="1B2A4A"/>
                <w:sz w:val="44"/>
              </w:rPr>
              <w:t>350+ MT</w:t>
            </w:r>
          </w:p>
        </w:tc>
      </w:tr>
      <w:tr>
        <w:tc>
          <w:tcPr>
            <w:tcW w:type="dxa" w:w="3120"/>
            <w:tcMar>
              <w:top w:w="20" w:type="dxa"/>
              <w:bottom w:w="120" w:type="dxa"/>
              <w:left w:w="120" w:type="dxa"/>
              <w:right w:w="120" w:type="dxa"/>
            </w:tcMar>
          </w:tcPr>
          <w:p>
            <w:pPr>
              <w:jc w:val="center"/>
            </w:pPr>
            <w:r>
              <w:rPr>
                <w:color w:val="333333"/>
                <w:sz w:val="18"/>
              </w:rPr>
              <w:t>Households Served</w:t>
            </w:r>
          </w:p>
        </w:tc>
        <w:tc>
          <w:tcPr>
            <w:tcW w:type="dxa" w:w="3120"/>
            <w:tcMar>
              <w:top w:w="20" w:type="dxa"/>
              <w:bottom w:w="120" w:type="dxa"/>
              <w:left w:w="120" w:type="dxa"/>
              <w:right w:w="120" w:type="dxa"/>
            </w:tcMar>
          </w:tcPr>
          <w:p>
            <w:pPr>
              <w:jc w:val="center"/>
            </w:pPr>
            <w:r>
              <w:rPr>
                <w:color w:val="333333"/>
                <w:sz w:val="18"/>
              </w:rPr>
              <w:t>Green Workers Employed</w:t>
            </w:r>
          </w:p>
        </w:tc>
        <w:tc>
          <w:tcPr>
            <w:tcW w:type="dxa" w:w="3120"/>
            <w:tcMar>
              <w:top w:w="20" w:type="dxa"/>
              <w:bottom w:w="120" w:type="dxa"/>
              <w:left w:w="120" w:type="dxa"/>
              <w:right w:w="120" w:type="dxa"/>
            </w:tcMar>
          </w:tcPr>
          <w:p>
            <w:pPr>
              <w:jc w:val="center"/>
            </w:pPr>
            <w:r>
              <w:rPr>
                <w:color w:val="333333"/>
                <w:sz w:val="18"/>
              </w:rPr>
              <w:t>Waste Processed Annually</w:t>
            </w:r>
          </w:p>
        </w:tc>
      </w:tr>
      <w:tr>
        <w:tc>
          <w:tcPr>
            <w:tcW w:type="dxa" w:w="3120"/>
            <w:shd w:val="clear" w:color="auto" w:fill="F0FDF4"/>
            <w:tcMar>
              <w:top w:w="120" w:type="dxa"/>
              <w:bottom w:w="20" w:type="dxa"/>
              <w:left w:w="120" w:type="dxa"/>
              <w:right w:w="120" w:type="dxa"/>
            </w:tcMar>
          </w:tcPr>
          <w:p>
            <w:pPr>
              <w:jc w:val="center"/>
            </w:pPr>
            <w:r>
              <w:rPr>
                <w:b/>
                <w:color w:val="1B2A4A"/>
                <w:sz w:val="44"/>
              </w:rPr>
              <w:t>204</w:t>
            </w:r>
          </w:p>
        </w:tc>
        <w:tc>
          <w:tcPr>
            <w:tcW w:type="dxa" w:w="3120"/>
            <w:shd w:val="clear" w:color="auto" w:fill="F0FDF4"/>
            <w:tcMar>
              <w:top w:w="120" w:type="dxa"/>
              <w:bottom w:w="20" w:type="dxa"/>
              <w:left w:w="120" w:type="dxa"/>
              <w:right w:w="120" w:type="dxa"/>
            </w:tcMar>
          </w:tcPr>
          <w:p>
            <w:pPr>
              <w:jc w:val="center"/>
            </w:pPr>
            <w:r>
              <w:rPr>
                <w:b/>
                <w:color w:val="1B2A4A"/>
                <w:sz w:val="44"/>
              </w:rPr>
              <w:t>17</w:t>
            </w:r>
          </w:p>
        </w:tc>
        <w:tc>
          <w:tcPr>
            <w:tcW w:type="dxa" w:w="3120"/>
            <w:shd w:val="clear" w:color="auto" w:fill="F0FDF4"/>
            <w:tcMar>
              <w:top w:w="120" w:type="dxa"/>
              <w:bottom w:w="20" w:type="dxa"/>
              <w:left w:w="120" w:type="dxa"/>
              <w:right w:w="120" w:type="dxa"/>
            </w:tcMar>
          </w:tcPr>
          <w:p>
            <w:pPr>
              <w:jc w:val="center"/>
            </w:pPr>
            <w:r>
              <w:rPr>
                <w:b/>
                <w:color w:val="1B2A4A"/>
                <w:sz w:val="44"/>
              </w:rPr>
              <w:t>20+</w:t>
            </w:r>
          </w:p>
        </w:tc>
      </w:tr>
      <w:tr>
        <w:tc>
          <w:tcPr>
            <w:tcW w:type="dxa" w:w="3120"/>
            <w:tcMar>
              <w:top w:w="20" w:type="dxa"/>
              <w:bottom w:w="120" w:type="dxa"/>
              <w:left w:w="120" w:type="dxa"/>
              <w:right w:w="120" w:type="dxa"/>
            </w:tcMar>
          </w:tcPr>
          <w:p>
            <w:pPr>
              <w:jc w:val="center"/>
            </w:pPr>
            <w:r>
              <w:rPr>
                <w:color w:val="333333"/>
                <w:sz w:val="18"/>
              </w:rPr>
              <w:t>Community Workshops</w:t>
              <w:br/>
              <w:t>(17 wards × 12 months)</w:t>
            </w:r>
          </w:p>
        </w:tc>
        <w:tc>
          <w:tcPr>
            <w:tcW w:type="dxa" w:w="3120"/>
            <w:tcMar>
              <w:top w:w="20" w:type="dxa"/>
              <w:bottom w:w="120" w:type="dxa"/>
              <w:left w:w="120" w:type="dxa"/>
              <w:right w:w="120" w:type="dxa"/>
            </w:tcMar>
          </w:tcPr>
          <w:p>
            <w:pPr>
              <w:jc w:val="center"/>
            </w:pPr>
            <w:r>
              <w:rPr>
                <w:color w:val="333333"/>
                <w:sz w:val="18"/>
              </w:rPr>
              <w:t>Dark Spots Transformed</w:t>
              <w:br/>
              <w:t>(1 per ward)</w:t>
            </w:r>
          </w:p>
        </w:tc>
        <w:tc>
          <w:tcPr>
            <w:tcW w:type="dxa" w:w="3120"/>
            <w:tcMar>
              <w:top w:w="20" w:type="dxa"/>
              <w:bottom w:w="120" w:type="dxa"/>
              <w:left w:w="120" w:type="dxa"/>
              <w:right w:w="120" w:type="dxa"/>
            </w:tcMar>
          </w:tcPr>
          <w:p>
            <w:pPr>
              <w:jc w:val="center"/>
            </w:pPr>
            <w:r>
              <w:rPr>
                <w:color w:val="333333"/>
                <w:sz w:val="18"/>
              </w:rPr>
              <w:t>Segregation Categories</w:t>
              <w:br/>
              <w:t>at the MRF</w:t>
            </w:r>
          </w:p>
        </w:tc>
      </w:tr>
    </w:tbl>
    <w:p>
      <w:pPr>
        <w:spacing w:after="240"/>
      </w:pPr>
    </w:p>
    <w:p>
      <w:pPr>
        <w:spacing w:before="40" w:after="120"/>
        <w:jc w:val="both"/>
      </w:pPr>
      <w:r>
        <w:rPr>
          <w:b w:val="0"/>
          <w:color w:val="333333"/>
          <w:sz w:val="20"/>
        </w:rPr>
        <w:t>Key performance indicators: volume of waste diverted from open dumpsites and landfills (MT); estimated greenhouse gas emissions mitigated; Green Worker livelihood-days generated; source segregation compliance rates across monitored collection routes; Swachh Survekshan 2026 performance scores against baseline.</w:t>
      </w:r>
    </w:p>
    <w:p>
      <w:r>
        <w:br w:type="page"/>
      </w:r>
    </w:p>
    <w:p>
      <w:pPr>
        <w:pStyle w:val="Heading1"/>
        <w:spacing w:before="360" w:after="120"/>
        <w:jc w:val="both"/>
      </w:pPr>
      <w:r>
        <w:rPr>
          <w:color w:val="1B2A4A"/>
        </w:rPr>
        <w:t>Budget Summary</w:t>
      </w:r>
    </w:p>
    <w:p>
      <w:pPr>
        <w:spacing w:before="40" w:after="120"/>
        <w:jc w:val="both"/>
      </w:pPr>
      <w:r>
        <w:rPr>
          <w:b w:val="0"/>
          <w:color w:val="333333"/>
          <w:sz w:val="20"/>
        </w:rPr>
        <w:t>The total budget for the Closing the Loop programme — a 12-month intervention in FY 2026–27 — is INR 2,10,00,000 (Two Crore Ten Lakh Rupees only). A detailed line-item budget with unit costs, quantities, and annotated comments is provided as a separate Annexure.</w:t>
      </w:r>
    </w:p>
    <w:p>
      <w:pPr>
        <w:spacing w:after="16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1B2A4A"/>
            <w:tcMar>
              <w:top w:w="80" w:type="dxa"/>
              <w:bottom w:w="80" w:type="dxa"/>
              <w:left w:w="100" w:type="dxa"/>
              <w:right w:w="100" w:type="dxa"/>
            </w:tcMar>
          </w:tcPr>
          <w:p>
            <w:r>
              <w:rPr>
                <w:b/>
                <w:color w:val="FFFFFF"/>
                <w:sz w:val="20"/>
              </w:rPr>
              <w:t>Code</w:t>
            </w:r>
          </w:p>
        </w:tc>
        <w:tc>
          <w:tcPr>
            <w:tcW w:type="dxa" w:w="2340"/>
            <w:shd w:val="clear" w:color="auto" w:fill="1B2A4A"/>
            <w:tcMar>
              <w:top w:w="80" w:type="dxa"/>
              <w:bottom w:w="80" w:type="dxa"/>
              <w:left w:w="100" w:type="dxa"/>
              <w:right w:w="100" w:type="dxa"/>
            </w:tcMar>
          </w:tcPr>
          <w:p>
            <w:r>
              <w:rPr>
                <w:b/>
                <w:color w:val="FFFFFF"/>
                <w:sz w:val="20"/>
              </w:rPr>
              <w:t>Head / Activity</w:t>
            </w:r>
          </w:p>
        </w:tc>
        <w:tc>
          <w:tcPr>
            <w:tcW w:type="dxa" w:w="2340"/>
            <w:shd w:val="clear" w:color="auto" w:fill="1B2A4A"/>
            <w:tcMar>
              <w:top w:w="80" w:type="dxa"/>
              <w:bottom w:w="80" w:type="dxa"/>
              <w:left w:w="100" w:type="dxa"/>
              <w:right w:w="100" w:type="dxa"/>
            </w:tcMar>
          </w:tcPr>
          <w:p>
            <w:r>
              <w:rPr>
                <w:b/>
                <w:color w:val="FFFFFF"/>
                <w:sz w:val="20"/>
              </w:rPr>
              <w:t>Details</w:t>
            </w:r>
          </w:p>
        </w:tc>
        <w:tc>
          <w:tcPr>
            <w:tcW w:type="dxa" w:w="2340"/>
            <w:shd w:val="clear" w:color="auto" w:fill="1B2A4A"/>
            <w:tcMar>
              <w:top w:w="80" w:type="dxa"/>
              <w:bottom w:w="80" w:type="dxa"/>
              <w:left w:w="100" w:type="dxa"/>
              <w:right w:w="100" w:type="dxa"/>
            </w:tcMar>
          </w:tcPr>
          <w:p>
            <w:r>
              <w:rPr>
                <w:b/>
                <w:color w:val="FFFFFF"/>
                <w:sz w:val="20"/>
              </w:rPr>
              <w:t>Amount (INR)</w:t>
            </w:r>
          </w:p>
        </w:tc>
      </w:tr>
      <w:tr>
        <w:tc>
          <w:tcPr>
            <w:tcW w:type="dxa" w:w="567"/>
            <w:shd w:val="clear" w:color="auto" w:fill="00877A"/>
            <w:tcMar>
              <w:top w:w="80" w:type="dxa"/>
              <w:bottom w:w="80" w:type="dxa"/>
              <w:left w:w="100" w:type="dxa"/>
              <w:right w:w="100" w:type="dxa"/>
            </w:tcMar>
          </w:tcPr>
          <w:p>
            <w:r>
              <w:rPr>
                <w:b/>
                <w:color w:val="FFFFFF"/>
                <w:sz w:val="20"/>
              </w:rPr>
              <w:t>A</w:t>
            </w:r>
          </w:p>
        </w:tc>
        <w:tc>
          <w:tcPr>
            <w:tcW w:type="dxa" w:w="3685"/>
            <w:shd w:val="clear" w:color="auto" w:fill="00877A"/>
            <w:tcMar>
              <w:top w:w="80" w:type="dxa"/>
              <w:bottom w:w="80" w:type="dxa"/>
              <w:left w:w="100" w:type="dxa"/>
              <w:right w:w="100" w:type="dxa"/>
            </w:tcMar>
          </w:tcPr>
          <w:p>
            <w:r>
              <w:rPr>
                <w:b/>
                <w:color w:val="FFFFFF"/>
                <w:sz w:val="20"/>
              </w:rPr>
              <w:t>MRF OPERATIONS</w:t>
            </w:r>
          </w:p>
        </w:tc>
        <w:tc>
          <w:tcPr>
            <w:tcW w:type="dxa" w:w="3969"/>
            <w:shd w:val="clear" w:color="auto" w:fill="00877A"/>
            <w:tcMar>
              <w:top w:w="80" w:type="dxa"/>
              <w:bottom w:w="80" w:type="dxa"/>
              <w:left w:w="100" w:type="dxa"/>
              <w:right w:w="100" w:type="dxa"/>
            </w:tcMar>
          </w:tcPr>
          <w:p>
            <w:r>
              <w:rPr>
                <w:b/>
                <w:color w:val="FFFFFF"/>
                <w:sz w:val="20"/>
              </w:rPr>
              <w:t>Dharamshala MRF — daily operations, transport, equipment, visibility</w:t>
            </w:r>
          </w:p>
        </w:tc>
        <w:tc>
          <w:tcPr>
            <w:tcW w:type="dxa" w:w="1417"/>
            <w:shd w:val="clear" w:color="auto" w:fill="00877A"/>
            <w:tcMar>
              <w:top w:w="80" w:type="dxa"/>
              <w:bottom w:w="80" w:type="dxa"/>
              <w:left w:w="100" w:type="dxa"/>
              <w:right w:w="100" w:type="dxa"/>
            </w:tcMar>
          </w:tcPr>
          <w:p>
            <w:r>
              <w:rPr>
                <w:b/>
                <w:color w:val="FFFFFF"/>
                <w:sz w:val="20"/>
              </w:rPr>
            </w:r>
          </w:p>
        </w:tc>
      </w:tr>
      <w:tr>
        <w:tc>
          <w:tcPr>
            <w:tcW w:type="dxa" w:w="567"/>
            <w:tcMar>
              <w:top w:w="70" w:type="dxa"/>
              <w:bottom w:w="70" w:type="dxa"/>
              <w:left w:w="100" w:type="dxa"/>
              <w:right w:w="100" w:type="dxa"/>
            </w:tcMar>
          </w:tcPr>
          <w:p>
            <w:r>
              <w:rPr>
                <w:color w:val="333333"/>
                <w:sz w:val="18"/>
              </w:rPr>
              <w:t>A1</w:t>
            </w:r>
          </w:p>
        </w:tc>
        <w:tc>
          <w:tcPr>
            <w:tcW w:type="dxa" w:w="3685"/>
            <w:tcMar>
              <w:top w:w="70" w:type="dxa"/>
              <w:bottom w:w="70" w:type="dxa"/>
              <w:left w:w="100" w:type="dxa"/>
              <w:right w:w="100" w:type="dxa"/>
            </w:tcMar>
          </w:tcPr>
          <w:p>
            <w:r>
              <w:rPr>
                <w:color w:val="333333"/>
                <w:sz w:val="18"/>
              </w:rPr>
              <w:t>Operational Expenses</w:t>
            </w:r>
          </w:p>
        </w:tc>
        <w:tc>
          <w:tcPr>
            <w:tcW w:type="dxa" w:w="3969"/>
            <w:tcMar>
              <w:top w:w="70" w:type="dxa"/>
              <w:bottom w:w="70" w:type="dxa"/>
              <w:left w:w="100" w:type="dxa"/>
              <w:right w:w="100" w:type="dxa"/>
            </w:tcMar>
          </w:tcPr>
          <w:p>
            <w:r>
              <w:rPr>
                <w:color w:val="333333"/>
                <w:sz w:val="18"/>
              </w:rPr>
              <w:t>Electricity, consumables, fire safety, staff travel expenses</w:t>
            </w:r>
          </w:p>
        </w:tc>
        <w:tc>
          <w:tcPr>
            <w:tcW w:type="dxa" w:w="1417"/>
            <w:tcMar>
              <w:top w:w="70" w:type="dxa"/>
              <w:bottom w:w="70" w:type="dxa"/>
              <w:left w:w="100" w:type="dxa"/>
              <w:right w:w="100" w:type="dxa"/>
            </w:tcMar>
          </w:tcPr>
          <w:p>
            <w:r>
              <w:rPr>
                <w:color w:val="333333"/>
                <w:sz w:val="18"/>
              </w:rPr>
              <w:t>₹3,00,000</w:t>
            </w:r>
          </w:p>
        </w:tc>
      </w:tr>
      <w:tr>
        <w:tc>
          <w:tcPr>
            <w:tcW w:type="dxa" w:w="567"/>
            <w:tcMar>
              <w:top w:w="70" w:type="dxa"/>
              <w:bottom w:w="70" w:type="dxa"/>
              <w:left w:w="100" w:type="dxa"/>
              <w:right w:w="100" w:type="dxa"/>
            </w:tcMar>
          </w:tcPr>
          <w:p>
            <w:r>
              <w:rPr>
                <w:color w:val="333333"/>
                <w:sz w:val="18"/>
              </w:rPr>
              <w:t>A2</w:t>
            </w:r>
          </w:p>
        </w:tc>
        <w:tc>
          <w:tcPr>
            <w:tcW w:type="dxa" w:w="3685"/>
            <w:tcMar>
              <w:top w:w="70" w:type="dxa"/>
              <w:bottom w:w="70" w:type="dxa"/>
              <w:left w:w="100" w:type="dxa"/>
              <w:right w:w="100" w:type="dxa"/>
            </w:tcMar>
          </w:tcPr>
          <w:p>
            <w:r>
              <w:rPr>
                <w:color w:val="333333"/>
                <w:sz w:val="18"/>
              </w:rPr>
              <w:t>Waste Transportation</w:t>
            </w:r>
          </w:p>
        </w:tc>
        <w:tc>
          <w:tcPr>
            <w:tcW w:type="dxa" w:w="3969"/>
            <w:tcMar>
              <w:top w:w="70" w:type="dxa"/>
              <w:bottom w:w="70" w:type="dxa"/>
              <w:left w:w="100" w:type="dxa"/>
              <w:right w:w="100" w:type="dxa"/>
            </w:tcMar>
          </w:tcPr>
          <w:p>
            <w:r>
              <w:rPr>
                <w:color w:val="333333"/>
                <w:sz w:val="18"/>
              </w:rPr>
              <w:t>Recyclables and low-value plastic to recyclers; intercity &amp; interstate logistics</w:t>
            </w:r>
          </w:p>
        </w:tc>
        <w:tc>
          <w:tcPr>
            <w:tcW w:type="dxa" w:w="1417"/>
            <w:tcMar>
              <w:top w:w="70" w:type="dxa"/>
              <w:bottom w:w="70" w:type="dxa"/>
              <w:left w:w="100" w:type="dxa"/>
              <w:right w:w="100" w:type="dxa"/>
            </w:tcMar>
          </w:tcPr>
          <w:p>
            <w:r>
              <w:rPr>
                <w:color w:val="333333"/>
                <w:sz w:val="18"/>
              </w:rPr>
              <w:t>₹6,00,000</w:t>
            </w:r>
          </w:p>
        </w:tc>
      </w:tr>
      <w:tr>
        <w:tc>
          <w:tcPr>
            <w:tcW w:type="dxa" w:w="567"/>
            <w:tcMar>
              <w:top w:w="70" w:type="dxa"/>
              <w:bottom w:w="70" w:type="dxa"/>
              <w:left w:w="100" w:type="dxa"/>
              <w:right w:w="100" w:type="dxa"/>
            </w:tcMar>
          </w:tcPr>
          <w:p>
            <w:r>
              <w:rPr>
                <w:color w:val="333333"/>
                <w:sz w:val="18"/>
              </w:rPr>
              <w:t>A3</w:t>
            </w:r>
          </w:p>
        </w:tc>
        <w:tc>
          <w:tcPr>
            <w:tcW w:type="dxa" w:w="3685"/>
            <w:tcMar>
              <w:top w:w="70" w:type="dxa"/>
              <w:bottom w:w="70" w:type="dxa"/>
              <w:left w:w="100" w:type="dxa"/>
              <w:right w:w="100" w:type="dxa"/>
            </w:tcMar>
          </w:tcPr>
          <w:p>
            <w:r>
              <w:rPr>
                <w:color w:val="333333"/>
                <w:sz w:val="18"/>
              </w:rPr>
              <w:t>Ecopreneur Service Fee</w:t>
            </w:r>
          </w:p>
        </w:tc>
        <w:tc>
          <w:tcPr>
            <w:tcW w:type="dxa" w:w="3969"/>
            <w:tcMar>
              <w:top w:w="70" w:type="dxa"/>
              <w:bottom w:w="70" w:type="dxa"/>
              <w:left w:w="100" w:type="dxa"/>
              <w:right w:w="100" w:type="dxa"/>
            </w:tcMar>
          </w:tcPr>
          <w:p>
            <w:r>
              <w:rPr>
                <w:color w:val="333333"/>
                <w:sz w:val="18"/>
              </w:rPr>
              <w:t>Day-to-day MRF operations; PPE kits, storage bags, Green Worker wages included</w:t>
            </w:r>
          </w:p>
        </w:tc>
        <w:tc>
          <w:tcPr>
            <w:tcW w:type="dxa" w:w="1417"/>
            <w:tcMar>
              <w:top w:w="70" w:type="dxa"/>
              <w:bottom w:w="70" w:type="dxa"/>
              <w:left w:w="100" w:type="dxa"/>
              <w:right w:w="100" w:type="dxa"/>
            </w:tcMar>
          </w:tcPr>
          <w:p>
            <w:r>
              <w:rPr>
                <w:color w:val="333333"/>
                <w:sz w:val="18"/>
              </w:rPr>
              <w:t>₹19,20,000</w:t>
            </w:r>
          </w:p>
        </w:tc>
      </w:tr>
      <w:tr>
        <w:tc>
          <w:tcPr>
            <w:tcW w:type="dxa" w:w="567"/>
            <w:tcMar>
              <w:top w:w="70" w:type="dxa"/>
              <w:bottom w:w="70" w:type="dxa"/>
              <w:left w:w="100" w:type="dxa"/>
              <w:right w:w="100" w:type="dxa"/>
            </w:tcMar>
          </w:tcPr>
          <w:p>
            <w:r>
              <w:rPr>
                <w:color w:val="333333"/>
                <w:sz w:val="18"/>
              </w:rPr>
              <w:t>A4</w:t>
            </w:r>
          </w:p>
        </w:tc>
        <w:tc>
          <w:tcPr>
            <w:tcW w:type="dxa" w:w="3685"/>
            <w:tcMar>
              <w:top w:w="70" w:type="dxa"/>
              <w:bottom w:w="70" w:type="dxa"/>
              <w:left w:w="100" w:type="dxa"/>
              <w:right w:w="100" w:type="dxa"/>
            </w:tcMar>
          </w:tcPr>
          <w:p>
            <w:r>
              <w:rPr>
                <w:color w:val="333333"/>
                <w:sz w:val="18"/>
              </w:rPr>
              <w:t>Data Entry Operator + Driver</w:t>
            </w:r>
          </w:p>
        </w:tc>
        <w:tc>
          <w:tcPr>
            <w:tcW w:type="dxa" w:w="3969"/>
            <w:tcMar>
              <w:top w:w="70" w:type="dxa"/>
              <w:bottom w:w="70" w:type="dxa"/>
              <w:left w:w="100" w:type="dxa"/>
              <w:right w:w="100" w:type="dxa"/>
            </w:tcMar>
          </w:tcPr>
          <w:p>
            <w:r>
              <w:rPr>
                <w:color w:val="333333"/>
                <w:sz w:val="18"/>
              </w:rPr>
              <w:t>MRF data recording and vehicle operations</w:t>
            </w:r>
          </w:p>
        </w:tc>
        <w:tc>
          <w:tcPr>
            <w:tcW w:type="dxa" w:w="1417"/>
            <w:tcMar>
              <w:top w:w="70" w:type="dxa"/>
              <w:bottom w:w="70" w:type="dxa"/>
              <w:left w:w="100" w:type="dxa"/>
              <w:right w:w="100" w:type="dxa"/>
            </w:tcMar>
          </w:tcPr>
          <w:p>
            <w:r>
              <w:rPr>
                <w:color w:val="333333"/>
                <w:sz w:val="18"/>
              </w:rPr>
              <w:t>₹3,24,000</w:t>
            </w:r>
          </w:p>
        </w:tc>
      </w:tr>
      <w:tr>
        <w:tc>
          <w:tcPr>
            <w:tcW w:type="dxa" w:w="567"/>
            <w:tcMar>
              <w:top w:w="70" w:type="dxa"/>
              <w:bottom w:w="70" w:type="dxa"/>
              <w:left w:w="100" w:type="dxa"/>
              <w:right w:w="100" w:type="dxa"/>
            </w:tcMar>
          </w:tcPr>
          <w:p>
            <w:r>
              <w:rPr>
                <w:color w:val="333333"/>
                <w:sz w:val="18"/>
              </w:rPr>
              <w:t>A5</w:t>
            </w:r>
          </w:p>
        </w:tc>
        <w:tc>
          <w:tcPr>
            <w:tcW w:type="dxa" w:w="3685"/>
            <w:tcMar>
              <w:top w:w="70" w:type="dxa"/>
              <w:bottom w:w="70" w:type="dxa"/>
              <w:left w:w="100" w:type="dxa"/>
              <w:right w:w="100" w:type="dxa"/>
            </w:tcMar>
          </w:tcPr>
          <w:p>
            <w:r>
              <w:rPr>
                <w:color w:val="333333"/>
                <w:sz w:val="18"/>
              </w:rPr>
              <w:t>Vehicle Fuel</w:t>
            </w:r>
          </w:p>
        </w:tc>
        <w:tc>
          <w:tcPr>
            <w:tcW w:type="dxa" w:w="3969"/>
            <w:tcMar>
              <w:top w:w="70" w:type="dxa"/>
              <w:bottom w:w="70" w:type="dxa"/>
              <w:left w:w="100" w:type="dxa"/>
              <w:right w:w="100" w:type="dxa"/>
            </w:tcMar>
          </w:tcPr>
          <w:p>
            <w:r>
              <w:rPr>
                <w:color w:val="333333"/>
                <w:sz w:val="18"/>
              </w:rPr>
              <w:t>Local collection and processed-material dispatch</w:t>
            </w:r>
          </w:p>
        </w:tc>
        <w:tc>
          <w:tcPr>
            <w:tcW w:type="dxa" w:w="1417"/>
            <w:tcMar>
              <w:top w:w="70" w:type="dxa"/>
              <w:bottom w:w="70" w:type="dxa"/>
              <w:left w:w="100" w:type="dxa"/>
              <w:right w:w="100" w:type="dxa"/>
            </w:tcMar>
          </w:tcPr>
          <w:p>
            <w:r>
              <w:rPr>
                <w:color w:val="333333"/>
                <w:sz w:val="18"/>
              </w:rPr>
              <w:t>₹1,92,000</w:t>
            </w:r>
          </w:p>
        </w:tc>
      </w:tr>
      <w:tr>
        <w:tc>
          <w:tcPr>
            <w:tcW w:type="dxa" w:w="567"/>
            <w:tcMar>
              <w:top w:w="70" w:type="dxa"/>
              <w:bottom w:w="70" w:type="dxa"/>
              <w:left w:w="100" w:type="dxa"/>
              <w:right w:w="100" w:type="dxa"/>
            </w:tcMar>
          </w:tcPr>
          <w:p>
            <w:r>
              <w:rPr>
                <w:color w:val="333333"/>
                <w:sz w:val="18"/>
              </w:rPr>
              <w:t>A6</w:t>
            </w:r>
          </w:p>
        </w:tc>
        <w:tc>
          <w:tcPr>
            <w:tcW w:type="dxa" w:w="3685"/>
            <w:tcMar>
              <w:top w:w="70" w:type="dxa"/>
              <w:bottom w:w="70" w:type="dxa"/>
              <w:left w:w="100" w:type="dxa"/>
              <w:right w:w="100" w:type="dxa"/>
            </w:tcMar>
          </w:tcPr>
          <w:p>
            <w:r>
              <w:rPr>
                <w:color w:val="333333"/>
                <w:sz w:val="18"/>
              </w:rPr>
              <w:t>MRF Housekeeping &amp; Office</w:t>
            </w:r>
          </w:p>
        </w:tc>
        <w:tc>
          <w:tcPr>
            <w:tcW w:type="dxa" w:w="3969"/>
            <w:tcMar>
              <w:top w:w="70" w:type="dxa"/>
              <w:bottom w:w="70" w:type="dxa"/>
              <w:left w:w="100" w:type="dxa"/>
              <w:right w:w="100" w:type="dxa"/>
            </w:tcMar>
          </w:tcPr>
          <w:p>
            <w:r>
              <w:rPr>
                <w:color w:val="333333"/>
                <w:sz w:val="18"/>
              </w:rPr>
              <w:t>Stationery, sanitation, refreshments, general upkeep</w:t>
            </w:r>
          </w:p>
        </w:tc>
        <w:tc>
          <w:tcPr>
            <w:tcW w:type="dxa" w:w="1417"/>
            <w:tcMar>
              <w:top w:w="70" w:type="dxa"/>
              <w:bottom w:w="70" w:type="dxa"/>
              <w:left w:w="100" w:type="dxa"/>
              <w:right w:w="100" w:type="dxa"/>
            </w:tcMar>
          </w:tcPr>
          <w:p>
            <w:r>
              <w:rPr>
                <w:color w:val="333333"/>
                <w:sz w:val="18"/>
              </w:rPr>
              <w:t>₹2,64,000</w:t>
            </w:r>
          </w:p>
        </w:tc>
      </w:tr>
      <w:tr>
        <w:tc>
          <w:tcPr>
            <w:tcW w:type="dxa" w:w="567"/>
            <w:tcMar>
              <w:top w:w="70" w:type="dxa"/>
              <w:bottom w:w="70" w:type="dxa"/>
              <w:left w:w="100" w:type="dxa"/>
              <w:right w:w="100" w:type="dxa"/>
            </w:tcMar>
          </w:tcPr>
          <w:p>
            <w:r>
              <w:rPr>
                <w:color w:val="333333"/>
                <w:sz w:val="18"/>
              </w:rPr>
              <w:t>A7</w:t>
            </w:r>
          </w:p>
        </w:tc>
        <w:tc>
          <w:tcPr>
            <w:tcW w:type="dxa" w:w="3685"/>
            <w:tcMar>
              <w:top w:w="70" w:type="dxa"/>
              <w:bottom w:w="70" w:type="dxa"/>
              <w:left w:w="100" w:type="dxa"/>
              <w:right w:w="100" w:type="dxa"/>
            </w:tcMar>
          </w:tcPr>
          <w:p>
            <w:r>
              <w:rPr>
                <w:color w:val="333333"/>
                <w:sz w:val="18"/>
              </w:rPr>
              <w:t>Vehicle Maintenance</w:t>
            </w:r>
          </w:p>
        </w:tc>
        <w:tc>
          <w:tcPr>
            <w:tcW w:type="dxa" w:w="3969"/>
            <w:tcMar>
              <w:top w:w="70" w:type="dxa"/>
              <w:bottom w:w="70" w:type="dxa"/>
              <w:left w:w="100" w:type="dxa"/>
              <w:right w:w="100" w:type="dxa"/>
            </w:tcMar>
          </w:tcPr>
          <w:p>
            <w:r>
              <w:rPr>
                <w:color w:val="333333"/>
                <w:sz w:val="18"/>
              </w:rPr>
              <w:t>Annual servicing of collection vehicles</w:t>
            </w:r>
          </w:p>
        </w:tc>
        <w:tc>
          <w:tcPr>
            <w:tcW w:type="dxa" w:w="1417"/>
            <w:tcMar>
              <w:top w:w="70" w:type="dxa"/>
              <w:bottom w:w="70" w:type="dxa"/>
              <w:left w:w="100" w:type="dxa"/>
              <w:right w:w="100" w:type="dxa"/>
            </w:tcMar>
          </w:tcPr>
          <w:p>
            <w:r>
              <w:rPr>
                <w:color w:val="333333"/>
                <w:sz w:val="18"/>
              </w:rPr>
              <w:t>₹1,44,000</w:t>
            </w:r>
          </w:p>
        </w:tc>
      </w:tr>
      <w:tr>
        <w:tc>
          <w:tcPr>
            <w:tcW w:type="dxa" w:w="567"/>
            <w:tcMar>
              <w:top w:w="70" w:type="dxa"/>
              <w:bottom w:w="70" w:type="dxa"/>
              <w:left w:w="100" w:type="dxa"/>
              <w:right w:w="100" w:type="dxa"/>
            </w:tcMar>
          </w:tcPr>
          <w:p>
            <w:r>
              <w:rPr>
                <w:color w:val="333333"/>
                <w:sz w:val="18"/>
              </w:rPr>
              <w:t>A8</w:t>
            </w:r>
          </w:p>
        </w:tc>
        <w:tc>
          <w:tcPr>
            <w:tcW w:type="dxa" w:w="3685"/>
            <w:tcMar>
              <w:top w:w="70" w:type="dxa"/>
              <w:bottom w:w="70" w:type="dxa"/>
              <w:left w:w="100" w:type="dxa"/>
              <w:right w:w="100" w:type="dxa"/>
            </w:tcMar>
          </w:tcPr>
          <w:p>
            <w:r>
              <w:rPr>
                <w:color w:val="333333"/>
                <w:sz w:val="18"/>
              </w:rPr>
              <w:t>Project Visibility &amp; Signages</w:t>
            </w:r>
          </w:p>
        </w:tc>
        <w:tc>
          <w:tcPr>
            <w:tcW w:type="dxa" w:w="3969"/>
            <w:tcMar>
              <w:top w:w="70" w:type="dxa"/>
              <w:bottom w:w="70" w:type="dxa"/>
              <w:left w:w="100" w:type="dxa"/>
              <w:right w:w="100" w:type="dxa"/>
            </w:tcMar>
          </w:tcPr>
          <w:p>
            <w:r>
              <w:rPr>
                <w:color w:val="333333"/>
                <w:sz w:val="18"/>
              </w:rPr>
              <w:t>Logo display, safety boards, project films, documentation</w:t>
            </w:r>
          </w:p>
        </w:tc>
        <w:tc>
          <w:tcPr>
            <w:tcW w:type="dxa" w:w="1417"/>
            <w:tcMar>
              <w:top w:w="70" w:type="dxa"/>
              <w:bottom w:w="70" w:type="dxa"/>
              <w:left w:w="100" w:type="dxa"/>
              <w:right w:w="100" w:type="dxa"/>
            </w:tcMar>
          </w:tcPr>
          <w:p>
            <w:r>
              <w:rPr>
                <w:color w:val="333333"/>
                <w:sz w:val="18"/>
              </w:rPr>
              <w:t>₹1,00,000</w:t>
            </w:r>
          </w:p>
        </w:tc>
      </w:tr>
      <w:tr>
        <w:tc>
          <w:tcPr>
            <w:tcW w:type="dxa" w:w="567"/>
            <w:tcMar>
              <w:top w:w="70" w:type="dxa"/>
              <w:bottom w:w="70" w:type="dxa"/>
              <w:left w:w="100" w:type="dxa"/>
              <w:right w:w="100" w:type="dxa"/>
            </w:tcMar>
          </w:tcPr>
          <w:p>
            <w:r>
              <w:rPr>
                <w:color w:val="333333"/>
                <w:sz w:val="18"/>
              </w:rPr>
              <w:t>A9</w:t>
            </w:r>
          </w:p>
        </w:tc>
        <w:tc>
          <w:tcPr>
            <w:tcW w:type="dxa" w:w="3685"/>
            <w:tcMar>
              <w:top w:w="70" w:type="dxa"/>
              <w:bottom w:w="70" w:type="dxa"/>
              <w:left w:w="100" w:type="dxa"/>
              <w:right w:w="100" w:type="dxa"/>
            </w:tcMar>
          </w:tcPr>
          <w:p>
            <w:r>
              <w:rPr>
                <w:color w:val="333333"/>
                <w:sz w:val="18"/>
              </w:rPr>
              <w:t>Equipment Servicing &amp; Spares</w:t>
            </w:r>
          </w:p>
        </w:tc>
        <w:tc>
          <w:tcPr>
            <w:tcW w:type="dxa" w:w="3969"/>
            <w:tcMar>
              <w:top w:w="70" w:type="dxa"/>
              <w:bottom w:w="70" w:type="dxa"/>
              <w:left w:w="100" w:type="dxa"/>
              <w:right w:w="100" w:type="dxa"/>
            </w:tcMar>
          </w:tcPr>
          <w:p>
            <w:r>
              <w:rPr>
                <w:color w:val="333333"/>
                <w:sz w:val="18"/>
              </w:rPr>
              <w:t>Annual maintenance of baler and segregation units</w:t>
            </w:r>
          </w:p>
        </w:tc>
        <w:tc>
          <w:tcPr>
            <w:tcW w:type="dxa" w:w="1417"/>
            <w:tcMar>
              <w:top w:w="70" w:type="dxa"/>
              <w:bottom w:w="70" w:type="dxa"/>
              <w:left w:w="100" w:type="dxa"/>
              <w:right w:w="100" w:type="dxa"/>
            </w:tcMar>
          </w:tcPr>
          <w:p>
            <w:r>
              <w:rPr>
                <w:color w:val="333333"/>
                <w:sz w:val="18"/>
              </w:rPr>
              <w:t>₹1,56,000</w:t>
            </w:r>
          </w:p>
        </w:tc>
      </w:tr>
      <w:tr>
        <w:tc>
          <w:tcPr>
            <w:tcW w:type="dxa" w:w="567"/>
            <w:shd w:val="clear" w:color="auto" w:fill="E0F0EE"/>
            <w:tcMar>
              <w:top w:w="70" w:type="dxa"/>
              <w:bottom w:w="70" w:type="dxa"/>
              <w:left w:w="100" w:type="dxa"/>
              <w:right w:w="100" w:type="dxa"/>
            </w:tcMar>
          </w:tcPr>
          <w:p>
            <w:r>
              <w:rPr>
                <w:b/>
                <w:color w:val="333333"/>
                <w:sz w:val="20"/>
              </w:rPr>
            </w:r>
          </w:p>
        </w:tc>
        <w:tc>
          <w:tcPr>
            <w:tcW w:type="dxa" w:w="3685"/>
            <w:shd w:val="clear" w:color="auto" w:fill="E0F0EE"/>
            <w:tcMar>
              <w:top w:w="70" w:type="dxa"/>
              <w:bottom w:w="70" w:type="dxa"/>
              <w:left w:w="100" w:type="dxa"/>
              <w:right w:w="100" w:type="dxa"/>
            </w:tcMar>
          </w:tcPr>
          <w:p>
            <w:r>
              <w:rPr>
                <w:b/>
                <w:color w:val="333333"/>
                <w:sz w:val="20"/>
              </w:rPr>
              <w:t>Total — MRF Operations</w:t>
            </w:r>
          </w:p>
        </w:tc>
        <w:tc>
          <w:tcPr>
            <w:tcW w:type="dxa" w:w="3969"/>
            <w:shd w:val="clear" w:color="auto" w:fill="E0F0EE"/>
            <w:tcMar>
              <w:top w:w="70" w:type="dxa"/>
              <w:bottom w:w="70" w:type="dxa"/>
              <w:left w:w="100" w:type="dxa"/>
              <w:right w:w="100" w:type="dxa"/>
            </w:tcMar>
          </w:tcPr>
          <w:p>
            <w:r>
              <w:rPr>
                <w:b/>
                <w:color w:val="333333"/>
                <w:sz w:val="20"/>
              </w:rPr>
            </w:r>
          </w:p>
        </w:tc>
        <w:tc>
          <w:tcPr>
            <w:tcW w:type="dxa" w:w="1417"/>
            <w:shd w:val="clear" w:color="auto" w:fill="E0F0EE"/>
            <w:tcMar>
              <w:top w:w="70" w:type="dxa"/>
              <w:bottom w:w="70" w:type="dxa"/>
              <w:left w:w="100" w:type="dxa"/>
              <w:right w:w="100" w:type="dxa"/>
            </w:tcMar>
          </w:tcPr>
          <w:p>
            <w:r>
              <w:rPr>
                <w:b/>
                <w:color w:val="1B2A4A"/>
                <w:sz w:val="20"/>
              </w:rPr>
              <w:t>₹40,00,000</w:t>
            </w:r>
          </w:p>
        </w:tc>
      </w:tr>
      <w:tr>
        <w:tc>
          <w:tcPr>
            <w:tcW w:type="dxa" w:w="567"/>
            <w:shd w:val="clear" w:color="auto" w:fill="00877A"/>
            <w:tcMar>
              <w:top w:w="80" w:type="dxa"/>
              <w:bottom w:w="80" w:type="dxa"/>
              <w:left w:w="100" w:type="dxa"/>
              <w:right w:w="100" w:type="dxa"/>
            </w:tcMar>
          </w:tcPr>
          <w:p>
            <w:r>
              <w:rPr>
                <w:b/>
                <w:color w:val="FFFFFF"/>
                <w:sz w:val="20"/>
              </w:rPr>
              <w:t>B</w:t>
            </w:r>
          </w:p>
        </w:tc>
        <w:tc>
          <w:tcPr>
            <w:tcW w:type="dxa" w:w="3685"/>
            <w:shd w:val="clear" w:color="auto" w:fill="00877A"/>
            <w:tcMar>
              <w:top w:w="80" w:type="dxa"/>
              <w:bottom w:w="80" w:type="dxa"/>
              <w:left w:w="100" w:type="dxa"/>
              <w:right w:w="100" w:type="dxa"/>
            </w:tcMar>
          </w:tcPr>
          <w:p>
            <w:r>
              <w:rPr>
                <w:b/>
                <w:color w:val="FFFFFF"/>
                <w:sz w:val="20"/>
              </w:rPr>
              <w:t>MRF EXPANSION — DHARAMSHALA</w:t>
            </w:r>
          </w:p>
        </w:tc>
        <w:tc>
          <w:tcPr>
            <w:tcW w:type="dxa" w:w="3969"/>
            <w:shd w:val="clear" w:color="auto" w:fill="00877A"/>
            <w:tcMar>
              <w:top w:w="80" w:type="dxa"/>
              <w:bottom w:w="80" w:type="dxa"/>
              <w:left w:w="100" w:type="dxa"/>
              <w:right w:w="100" w:type="dxa"/>
            </w:tcMar>
          </w:tcPr>
          <w:p>
            <w:r>
              <w:rPr>
                <w:b/>
                <w:color w:val="FFFFFF"/>
                <w:sz w:val="20"/>
              </w:rPr>
              <w:t>One-time capital investment in facility infrastructure</w:t>
            </w:r>
          </w:p>
        </w:tc>
        <w:tc>
          <w:tcPr>
            <w:tcW w:type="dxa" w:w="1417"/>
            <w:shd w:val="clear" w:color="auto" w:fill="00877A"/>
            <w:tcMar>
              <w:top w:w="80" w:type="dxa"/>
              <w:bottom w:w="80" w:type="dxa"/>
              <w:left w:w="100" w:type="dxa"/>
              <w:right w:w="100" w:type="dxa"/>
            </w:tcMar>
          </w:tcPr>
          <w:p>
            <w:r>
              <w:rPr>
                <w:b/>
                <w:color w:val="FFFFFF"/>
                <w:sz w:val="20"/>
              </w:rPr>
            </w:r>
          </w:p>
        </w:tc>
      </w:tr>
      <w:tr>
        <w:tc>
          <w:tcPr>
            <w:tcW w:type="dxa" w:w="567"/>
            <w:tcMar>
              <w:top w:w="70" w:type="dxa"/>
              <w:bottom w:w="70" w:type="dxa"/>
              <w:left w:w="100" w:type="dxa"/>
              <w:right w:w="100" w:type="dxa"/>
            </w:tcMar>
          </w:tcPr>
          <w:p>
            <w:r>
              <w:rPr>
                <w:color w:val="333333"/>
                <w:sz w:val="18"/>
              </w:rPr>
              <w:t>B1</w:t>
            </w:r>
          </w:p>
        </w:tc>
        <w:tc>
          <w:tcPr>
            <w:tcW w:type="dxa" w:w="3685"/>
            <w:tcMar>
              <w:top w:w="70" w:type="dxa"/>
              <w:bottom w:w="70" w:type="dxa"/>
              <w:left w:w="100" w:type="dxa"/>
              <w:right w:w="100" w:type="dxa"/>
            </w:tcMar>
          </w:tcPr>
          <w:p>
            <w:r>
              <w:rPr>
                <w:color w:val="333333"/>
                <w:sz w:val="18"/>
              </w:rPr>
              <w:t>Civil Works &amp; Shed Expansion</w:t>
            </w:r>
          </w:p>
        </w:tc>
        <w:tc>
          <w:tcPr>
            <w:tcW w:type="dxa" w:w="3969"/>
            <w:tcMar>
              <w:top w:w="70" w:type="dxa"/>
              <w:bottom w:w="70" w:type="dxa"/>
              <w:left w:w="100" w:type="dxa"/>
              <w:right w:w="100" w:type="dxa"/>
            </w:tcMar>
          </w:tcPr>
          <w:p>
            <w:r>
              <w:rPr>
                <w:color w:val="333333"/>
                <w:sz w:val="18"/>
              </w:rPr>
              <w:t>Flooring, roofing, drainage — facility footprint expansion</w:t>
            </w:r>
          </w:p>
        </w:tc>
        <w:tc>
          <w:tcPr>
            <w:tcW w:type="dxa" w:w="1417"/>
            <w:tcMar>
              <w:top w:w="70" w:type="dxa"/>
              <w:bottom w:w="70" w:type="dxa"/>
              <w:left w:w="100" w:type="dxa"/>
              <w:right w:w="100" w:type="dxa"/>
            </w:tcMar>
          </w:tcPr>
          <w:p>
            <w:r>
              <w:rPr>
                <w:color w:val="333333"/>
                <w:sz w:val="18"/>
              </w:rPr>
              <w:t>₹12,00,000</w:t>
            </w:r>
          </w:p>
        </w:tc>
      </w:tr>
      <w:tr>
        <w:tc>
          <w:tcPr>
            <w:tcW w:type="dxa" w:w="567"/>
            <w:tcMar>
              <w:top w:w="70" w:type="dxa"/>
              <w:bottom w:w="70" w:type="dxa"/>
              <w:left w:w="100" w:type="dxa"/>
              <w:right w:w="100" w:type="dxa"/>
            </w:tcMar>
          </w:tcPr>
          <w:p>
            <w:r>
              <w:rPr>
                <w:color w:val="333333"/>
                <w:sz w:val="18"/>
              </w:rPr>
              <w:t>B2</w:t>
            </w:r>
          </w:p>
        </w:tc>
        <w:tc>
          <w:tcPr>
            <w:tcW w:type="dxa" w:w="3685"/>
            <w:tcMar>
              <w:top w:w="70" w:type="dxa"/>
              <w:bottom w:w="70" w:type="dxa"/>
              <w:left w:w="100" w:type="dxa"/>
              <w:right w:w="100" w:type="dxa"/>
            </w:tcMar>
          </w:tcPr>
          <w:p>
            <w:r>
              <w:rPr>
                <w:color w:val="333333"/>
                <w:sz w:val="18"/>
              </w:rPr>
              <w:t>Processing Equipment</w:t>
            </w:r>
          </w:p>
        </w:tc>
        <w:tc>
          <w:tcPr>
            <w:tcW w:type="dxa" w:w="3969"/>
            <w:tcMar>
              <w:top w:w="70" w:type="dxa"/>
              <w:bottom w:w="70" w:type="dxa"/>
              <w:left w:w="100" w:type="dxa"/>
              <w:right w:w="100" w:type="dxa"/>
            </w:tcMar>
          </w:tcPr>
          <w:p>
            <w:r>
              <w:rPr>
                <w:color w:val="333333"/>
                <w:sz w:val="18"/>
              </w:rPr>
              <w:t>Baler, conveyor, weighing units for expanded throughput</w:t>
            </w:r>
          </w:p>
        </w:tc>
        <w:tc>
          <w:tcPr>
            <w:tcW w:type="dxa" w:w="1417"/>
            <w:tcMar>
              <w:top w:w="70" w:type="dxa"/>
              <w:bottom w:w="70" w:type="dxa"/>
              <w:left w:w="100" w:type="dxa"/>
              <w:right w:w="100" w:type="dxa"/>
            </w:tcMar>
          </w:tcPr>
          <w:p>
            <w:r>
              <w:rPr>
                <w:color w:val="333333"/>
                <w:sz w:val="18"/>
              </w:rPr>
              <w:t>₹8,00,000</w:t>
            </w:r>
          </w:p>
        </w:tc>
      </w:tr>
      <w:tr>
        <w:tc>
          <w:tcPr>
            <w:tcW w:type="dxa" w:w="567"/>
            <w:tcMar>
              <w:top w:w="70" w:type="dxa"/>
              <w:bottom w:w="70" w:type="dxa"/>
              <w:left w:w="100" w:type="dxa"/>
              <w:right w:w="100" w:type="dxa"/>
            </w:tcMar>
          </w:tcPr>
          <w:p>
            <w:r>
              <w:rPr>
                <w:color w:val="333333"/>
                <w:sz w:val="18"/>
              </w:rPr>
              <w:t>B3</w:t>
            </w:r>
          </w:p>
        </w:tc>
        <w:tc>
          <w:tcPr>
            <w:tcW w:type="dxa" w:w="3685"/>
            <w:tcMar>
              <w:top w:w="70" w:type="dxa"/>
              <w:bottom w:w="70" w:type="dxa"/>
              <w:left w:w="100" w:type="dxa"/>
              <w:right w:w="100" w:type="dxa"/>
            </w:tcMar>
          </w:tcPr>
          <w:p>
            <w:r>
              <w:rPr>
                <w:color w:val="333333"/>
                <w:sz w:val="18"/>
              </w:rPr>
              <w:t>Collection Vehicle</w:t>
            </w:r>
          </w:p>
        </w:tc>
        <w:tc>
          <w:tcPr>
            <w:tcW w:type="dxa" w:w="3969"/>
            <w:tcMar>
              <w:top w:w="70" w:type="dxa"/>
              <w:bottom w:w="70" w:type="dxa"/>
              <w:left w:w="100" w:type="dxa"/>
              <w:right w:w="100" w:type="dxa"/>
            </w:tcMar>
          </w:tcPr>
          <w:p>
            <w:r>
              <w:rPr>
                <w:color w:val="333333"/>
                <w:sz w:val="18"/>
              </w:rPr>
              <w:t>Dedicated e-loader / tipper for Dharamshala operations</w:t>
            </w:r>
          </w:p>
        </w:tc>
        <w:tc>
          <w:tcPr>
            <w:tcW w:type="dxa" w:w="1417"/>
            <w:tcMar>
              <w:top w:w="70" w:type="dxa"/>
              <w:bottom w:w="70" w:type="dxa"/>
              <w:left w:w="100" w:type="dxa"/>
              <w:right w:w="100" w:type="dxa"/>
            </w:tcMar>
          </w:tcPr>
          <w:p>
            <w:r>
              <w:rPr>
                <w:color w:val="333333"/>
                <w:sz w:val="18"/>
              </w:rPr>
              <w:t>₹5,00,000</w:t>
            </w:r>
          </w:p>
        </w:tc>
      </w:tr>
      <w:tr>
        <w:tc>
          <w:tcPr>
            <w:tcW w:type="dxa" w:w="567"/>
            <w:tcMar>
              <w:top w:w="70" w:type="dxa"/>
              <w:bottom w:w="70" w:type="dxa"/>
              <w:left w:w="100" w:type="dxa"/>
              <w:right w:w="100" w:type="dxa"/>
            </w:tcMar>
          </w:tcPr>
          <w:p>
            <w:r>
              <w:rPr>
                <w:color w:val="333333"/>
                <w:sz w:val="18"/>
              </w:rPr>
              <w:t>B4</w:t>
            </w:r>
          </w:p>
        </w:tc>
        <w:tc>
          <w:tcPr>
            <w:tcW w:type="dxa" w:w="3685"/>
            <w:tcMar>
              <w:top w:w="70" w:type="dxa"/>
              <w:bottom w:w="70" w:type="dxa"/>
              <w:left w:w="100" w:type="dxa"/>
              <w:right w:w="100" w:type="dxa"/>
            </w:tcMar>
          </w:tcPr>
          <w:p>
            <w:r>
              <w:rPr>
                <w:color w:val="333333"/>
                <w:sz w:val="18"/>
              </w:rPr>
              <w:t>Electrical, Fire-Safety &amp; Water</w:t>
            </w:r>
          </w:p>
        </w:tc>
        <w:tc>
          <w:tcPr>
            <w:tcW w:type="dxa" w:w="3969"/>
            <w:tcMar>
              <w:top w:w="70" w:type="dxa"/>
              <w:bottom w:w="70" w:type="dxa"/>
              <w:left w:w="100" w:type="dxa"/>
              <w:right w:w="100" w:type="dxa"/>
            </w:tcMar>
          </w:tcPr>
          <w:p>
            <w:r>
              <w:rPr>
                <w:color w:val="333333"/>
                <w:sz w:val="18"/>
              </w:rPr>
              <w:t>Statutory utility and safety infrastructure</w:t>
            </w:r>
          </w:p>
        </w:tc>
        <w:tc>
          <w:tcPr>
            <w:tcW w:type="dxa" w:w="1417"/>
            <w:tcMar>
              <w:top w:w="70" w:type="dxa"/>
              <w:bottom w:w="70" w:type="dxa"/>
              <w:left w:w="100" w:type="dxa"/>
              <w:right w:w="100" w:type="dxa"/>
            </w:tcMar>
          </w:tcPr>
          <w:p>
            <w:r>
              <w:rPr>
                <w:color w:val="333333"/>
                <w:sz w:val="18"/>
              </w:rPr>
              <w:t>₹2,00,000</w:t>
            </w:r>
          </w:p>
        </w:tc>
      </w:tr>
      <w:tr>
        <w:tc>
          <w:tcPr>
            <w:tcW w:type="dxa" w:w="567"/>
            <w:tcMar>
              <w:top w:w="70" w:type="dxa"/>
              <w:bottom w:w="70" w:type="dxa"/>
              <w:left w:w="100" w:type="dxa"/>
              <w:right w:w="100" w:type="dxa"/>
            </w:tcMar>
          </w:tcPr>
          <w:p>
            <w:r>
              <w:rPr>
                <w:color w:val="333333"/>
                <w:sz w:val="18"/>
              </w:rPr>
              <w:t>B5</w:t>
            </w:r>
          </w:p>
        </w:tc>
        <w:tc>
          <w:tcPr>
            <w:tcW w:type="dxa" w:w="3685"/>
            <w:tcMar>
              <w:top w:w="70" w:type="dxa"/>
              <w:bottom w:w="70" w:type="dxa"/>
              <w:left w:w="100" w:type="dxa"/>
              <w:right w:w="100" w:type="dxa"/>
            </w:tcMar>
          </w:tcPr>
          <w:p>
            <w:r>
              <w:rPr>
                <w:color w:val="333333"/>
                <w:sz w:val="18"/>
              </w:rPr>
              <w:t>PPE &amp; Initial Consumables</w:t>
            </w:r>
          </w:p>
        </w:tc>
        <w:tc>
          <w:tcPr>
            <w:tcW w:type="dxa" w:w="3969"/>
            <w:tcMar>
              <w:top w:w="70" w:type="dxa"/>
              <w:bottom w:w="70" w:type="dxa"/>
              <w:left w:w="100" w:type="dxa"/>
              <w:right w:w="100" w:type="dxa"/>
            </w:tcMar>
          </w:tcPr>
          <w:p>
            <w:r>
              <w:rPr>
                <w:color w:val="333333"/>
                <w:sz w:val="18"/>
              </w:rPr>
              <w:t>Setup stock for safe operations</w:t>
            </w:r>
          </w:p>
        </w:tc>
        <w:tc>
          <w:tcPr>
            <w:tcW w:type="dxa" w:w="1417"/>
            <w:tcMar>
              <w:top w:w="70" w:type="dxa"/>
              <w:bottom w:w="70" w:type="dxa"/>
              <w:left w:w="100" w:type="dxa"/>
              <w:right w:w="100" w:type="dxa"/>
            </w:tcMar>
          </w:tcPr>
          <w:p>
            <w:r>
              <w:rPr>
                <w:color w:val="333333"/>
                <w:sz w:val="18"/>
              </w:rPr>
              <w:t>₹1,50,000</w:t>
            </w:r>
          </w:p>
        </w:tc>
      </w:tr>
      <w:tr>
        <w:tc>
          <w:tcPr>
            <w:tcW w:type="dxa" w:w="567"/>
            <w:tcMar>
              <w:top w:w="70" w:type="dxa"/>
              <w:bottom w:w="70" w:type="dxa"/>
              <w:left w:w="100" w:type="dxa"/>
              <w:right w:w="100" w:type="dxa"/>
            </w:tcMar>
          </w:tcPr>
          <w:p>
            <w:r>
              <w:rPr>
                <w:color w:val="333333"/>
                <w:sz w:val="18"/>
              </w:rPr>
              <w:t>B6</w:t>
            </w:r>
          </w:p>
        </w:tc>
        <w:tc>
          <w:tcPr>
            <w:tcW w:type="dxa" w:w="3685"/>
            <w:tcMar>
              <w:top w:w="70" w:type="dxa"/>
              <w:bottom w:w="70" w:type="dxa"/>
              <w:left w:w="100" w:type="dxa"/>
              <w:right w:w="100" w:type="dxa"/>
            </w:tcMar>
          </w:tcPr>
          <w:p>
            <w:r>
              <w:rPr>
                <w:color w:val="333333"/>
                <w:sz w:val="18"/>
              </w:rPr>
              <w:t>Green Worker Onboarding &amp; Training</w:t>
            </w:r>
          </w:p>
        </w:tc>
        <w:tc>
          <w:tcPr>
            <w:tcW w:type="dxa" w:w="3969"/>
            <w:tcMar>
              <w:top w:w="70" w:type="dxa"/>
              <w:bottom w:w="70" w:type="dxa"/>
              <w:left w:w="100" w:type="dxa"/>
              <w:right w:w="100" w:type="dxa"/>
            </w:tcMar>
          </w:tcPr>
          <w:p>
            <w:r>
              <w:rPr>
                <w:color w:val="333333"/>
                <w:sz w:val="18"/>
              </w:rPr>
              <w:t>Recruitment, orientation and skilling of new Green Workers</w:t>
            </w:r>
          </w:p>
        </w:tc>
        <w:tc>
          <w:tcPr>
            <w:tcW w:type="dxa" w:w="1417"/>
            <w:tcMar>
              <w:top w:w="70" w:type="dxa"/>
              <w:bottom w:w="70" w:type="dxa"/>
              <w:left w:w="100" w:type="dxa"/>
              <w:right w:w="100" w:type="dxa"/>
            </w:tcMar>
          </w:tcPr>
          <w:p>
            <w:r>
              <w:rPr>
                <w:color w:val="333333"/>
                <w:sz w:val="18"/>
              </w:rPr>
              <w:t>₹1,50,000</w:t>
            </w:r>
          </w:p>
        </w:tc>
      </w:tr>
      <w:tr>
        <w:tc>
          <w:tcPr>
            <w:tcW w:type="dxa" w:w="567"/>
            <w:shd w:val="clear" w:color="auto" w:fill="E0F0EE"/>
            <w:tcMar>
              <w:top w:w="70" w:type="dxa"/>
              <w:bottom w:w="70" w:type="dxa"/>
              <w:left w:w="100" w:type="dxa"/>
              <w:right w:w="100" w:type="dxa"/>
            </w:tcMar>
          </w:tcPr>
          <w:p>
            <w:r>
              <w:rPr>
                <w:b/>
                <w:color w:val="333333"/>
                <w:sz w:val="20"/>
              </w:rPr>
            </w:r>
          </w:p>
        </w:tc>
        <w:tc>
          <w:tcPr>
            <w:tcW w:type="dxa" w:w="3685"/>
            <w:shd w:val="clear" w:color="auto" w:fill="E0F0EE"/>
            <w:tcMar>
              <w:top w:w="70" w:type="dxa"/>
              <w:bottom w:w="70" w:type="dxa"/>
              <w:left w:w="100" w:type="dxa"/>
              <w:right w:w="100" w:type="dxa"/>
            </w:tcMar>
          </w:tcPr>
          <w:p>
            <w:r>
              <w:rPr>
                <w:b/>
                <w:color w:val="333333"/>
                <w:sz w:val="20"/>
              </w:rPr>
              <w:t>Total — MRF Expansion</w:t>
            </w:r>
          </w:p>
        </w:tc>
        <w:tc>
          <w:tcPr>
            <w:tcW w:type="dxa" w:w="3969"/>
            <w:shd w:val="clear" w:color="auto" w:fill="E0F0EE"/>
            <w:tcMar>
              <w:top w:w="70" w:type="dxa"/>
              <w:bottom w:w="70" w:type="dxa"/>
              <w:left w:w="100" w:type="dxa"/>
              <w:right w:w="100" w:type="dxa"/>
            </w:tcMar>
          </w:tcPr>
          <w:p>
            <w:r>
              <w:rPr>
                <w:b/>
                <w:color w:val="333333"/>
                <w:sz w:val="20"/>
              </w:rPr>
            </w:r>
          </w:p>
        </w:tc>
        <w:tc>
          <w:tcPr>
            <w:tcW w:type="dxa" w:w="1417"/>
            <w:shd w:val="clear" w:color="auto" w:fill="E0F0EE"/>
            <w:tcMar>
              <w:top w:w="70" w:type="dxa"/>
              <w:bottom w:w="70" w:type="dxa"/>
              <w:left w:w="100" w:type="dxa"/>
              <w:right w:w="100" w:type="dxa"/>
            </w:tcMar>
          </w:tcPr>
          <w:p>
            <w:r>
              <w:rPr>
                <w:b/>
                <w:color w:val="1B2A4A"/>
                <w:sz w:val="20"/>
              </w:rPr>
              <w:t>₹30,00,000</w:t>
            </w:r>
          </w:p>
        </w:tc>
      </w:tr>
      <w:tr>
        <w:tc>
          <w:tcPr>
            <w:tcW w:type="dxa" w:w="567"/>
            <w:shd w:val="clear" w:color="auto" w:fill="00877A"/>
            <w:tcMar>
              <w:top w:w="80" w:type="dxa"/>
              <w:bottom w:w="80" w:type="dxa"/>
              <w:left w:w="100" w:type="dxa"/>
              <w:right w:w="100" w:type="dxa"/>
            </w:tcMar>
          </w:tcPr>
          <w:p>
            <w:r>
              <w:rPr>
                <w:b/>
                <w:color w:val="FFFFFF"/>
                <w:sz w:val="20"/>
              </w:rPr>
              <w:t>C</w:t>
            </w:r>
          </w:p>
        </w:tc>
        <w:tc>
          <w:tcPr>
            <w:tcW w:type="dxa" w:w="3685"/>
            <w:shd w:val="clear" w:color="auto" w:fill="00877A"/>
            <w:tcMar>
              <w:top w:w="80" w:type="dxa"/>
              <w:bottom w:w="80" w:type="dxa"/>
              <w:left w:w="100" w:type="dxa"/>
              <w:right w:w="100" w:type="dxa"/>
            </w:tcMar>
          </w:tcPr>
          <w:p>
            <w:r>
              <w:rPr>
                <w:b/>
                <w:color w:val="FFFFFF"/>
                <w:sz w:val="20"/>
              </w:rPr>
              <w:t>IEC, AWARENESS &amp; ENGAGEMENT</w:t>
            </w:r>
          </w:p>
        </w:tc>
        <w:tc>
          <w:tcPr>
            <w:tcW w:type="dxa" w:w="3969"/>
            <w:shd w:val="clear" w:color="auto" w:fill="00877A"/>
            <w:tcMar>
              <w:top w:w="80" w:type="dxa"/>
              <w:bottom w:w="80" w:type="dxa"/>
              <w:left w:w="100" w:type="dxa"/>
              <w:right w:w="100" w:type="dxa"/>
            </w:tcMar>
          </w:tcPr>
          <w:p>
            <w:r>
              <w:rPr>
                <w:b/>
                <w:color w:val="FFFFFF"/>
                <w:sz w:val="20"/>
              </w:rPr>
              <w:t>Community behaviour change, campaigns and dissemination</w:t>
            </w:r>
          </w:p>
        </w:tc>
        <w:tc>
          <w:tcPr>
            <w:tcW w:type="dxa" w:w="1417"/>
            <w:shd w:val="clear" w:color="auto" w:fill="00877A"/>
            <w:tcMar>
              <w:top w:w="80" w:type="dxa"/>
              <w:bottom w:w="80" w:type="dxa"/>
              <w:left w:w="100" w:type="dxa"/>
              <w:right w:w="100" w:type="dxa"/>
            </w:tcMar>
          </w:tcPr>
          <w:p>
            <w:r>
              <w:rPr>
                <w:b/>
                <w:color w:val="FFFFFF"/>
                <w:sz w:val="20"/>
              </w:rPr>
            </w:r>
          </w:p>
        </w:tc>
      </w:tr>
      <w:tr>
        <w:tc>
          <w:tcPr>
            <w:tcW w:type="dxa" w:w="567"/>
            <w:tcMar>
              <w:top w:w="70" w:type="dxa"/>
              <w:bottom w:w="70" w:type="dxa"/>
              <w:left w:w="100" w:type="dxa"/>
              <w:right w:w="100" w:type="dxa"/>
            </w:tcMar>
          </w:tcPr>
          <w:p>
            <w:r>
              <w:rPr>
                <w:color w:val="333333"/>
                <w:sz w:val="18"/>
              </w:rPr>
              <w:t>C1</w:t>
            </w:r>
          </w:p>
        </w:tc>
        <w:tc>
          <w:tcPr>
            <w:tcW w:type="dxa" w:w="3685"/>
            <w:tcMar>
              <w:top w:w="70" w:type="dxa"/>
              <w:bottom w:w="70" w:type="dxa"/>
              <w:left w:w="100" w:type="dxa"/>
              <w:right w:w="100" w:type="dxa"/>
            </w:tcMar>
          </w:tcPr>
          <w:p>
            <w:r>
              <w:rPr>
                <w:color w:val="333333"/>
                <w:sz w:val="18"/>
              </w:rPr>
              <w:t>Community Workshops &amp; Chai pe Charcha</w:t>
            </w:r>
          </w:p>
        </w:tc>
        <w:tc>
          <w:tcPr>
            <w:tcW w:type="dxa" w:w="3969"/>
            <w:tcMar>
              <w:top w:w="70" w:type="dxa"/>
              <w:bottom w:w="70" w:type="dxa"/>
              <w:left w:w="100" w:type="dxa"/>
              <w:right w:w="100" w:type="dxa"/>
            </w:tcMar>
          </w:tcPr>
          <w:p>
            <w:r>
              <w:rPr>
                <w:color w:val="333333"/>
                <w:sz w:val="18"/>
              </w:rPr>
              <w:t>Door-to-door IEC drives, behaviour-change sessions</w:t>
            </w:r>
          </w:p>
        </w:tc>
        <w:tc>
          <w:tcPr>
            <w:tcW w:type="dxa" w:w="1417"/>
            <w:tcMar>
              <w:top w:w="70" w:type="dxa"/>
              <w:bottom w:w="70" w:type="dxa"/>
              <w:left w:w="100" w:type="dxa"/>
              <w:right w:w="100" w:type="dxa"/>
            </w:tcMar>
          </w:tcPr>
          <w:p>
            <w:r>
              <w:rPr>
                <w:color w:val="333333"/>
                <w:sz w:val="18"/>
              </w:rPr>
              <w:t>₹2,16,000</w:t>
            </w:r>
          </w:p>
        </w:tc>
      </w:tr>
      <w:tr>
        <w:tc>
          <w:tcPr>
            <w:tcW w:type="dxa" w:w="567"/>
            <w:tcMar>
              <w:top w:w="70" w:type="dxa"/>
              <w:bottom w:w="70" w:type="dxa"/>
              <w:left w:w="100" w:type="dxa"/>
              <w:right w:w="100" w:type="dxa"/>
            </w:tcMar>
          </w:tcPr>
          <w:p>
            <w:r>
              <w:rPr>
                <w:color w:val="333333"/>
                <w:sz w:val="18"/>
              </w:rPr>
              <w:t>C2</w:t>
            </w:r>
          </w:p>
        </w:tc>
        <w:tc>
          <w:tcPr>
            <w:tcW w:type="dxa" w:w="3685"/>
            <w:tcMar>
              <w:top w:w="70" w:type="dxa"/>
              <w:bottom w:w="70" w:type="dxa"/>
              <w:left w:w="100" w:type="dxa"/>
              <w:right w:w="100" w:type="dxa"/>
            </w:tcMar>
          </w:tcPr>
          <w:p>
            <w:r>
              <w:rPr>
                <w:color w:val="333333"/>
                <w:sz w:val="18"/>
              </w:rPr>
              <w:t>Monthly Cleanup Drives</w:t>
            </w:r>
          </w:p>
        </w:tc>
        <w:tc>
          <w:tcPr>
            <w:tcW w:type="dxa" w:w="3969"/>
            <w:tcMar>
              <w:top w:w="70" w:type="dxa"/>
              <w:bottom w:w="70" w:type="dxa"/>
              <w:left w:w="100" w:type="dxa"/>
              <w:right w:w="100" w:type="dxa"/>
            </w:tcMar>
          </w:tcPr>
          <w:p>
            <w:r>
              <w:rPr>
                <w:color w:val="333333"/>
                <w:sz w:val="18"/>
              </w:rPr>
              <w:t>Ward-level cleanups — 17 wards × 12 months</w:t>
            </w:r>
          </w:p>
        </w:tc>
        <w:tc>
          <w:tcPr>
            <w:tcW w:type="dxa" w:w="1417"/>
            <w:tcMar>
              <w:top w:w="70" w:type="dxa"/>
              <w:bottom w:w="70" w:type="dxa"/>
              <w:left w:w="100" w:type="dxa"/>
              <w:right w:w="100" w:type="dxa"/>
            </w:tcMar>
          </w:tcPr>
          <w:p>
            <w:r>
              <w:rPr>
                <w:color w:val="333333"/>
                <w:sz w:val="18"/>
              </w:rPr>
              <w:t>₹3,00,000</w:t>
            </w:r>
          </w:p>
        </w:tc>
      </w:tr>
      <w:tr>
        <w:tc>
          <w:tcPr>
            <w:tcW w:type="dxa" w:w="567"/>
            <w:tcMar>
              <w:top w:w="70" w:type="dxa"/>
              <w:bottom w:w="70" w:type="dxa"/>
              <w:left w:w="100" w:type="dxa"/>
              <w:right w:w="100" w:type="dxa"/>
            </w:tcMar>
          </w:tcPr>
          <w:p>
            <w:r>
              <w:rPr>
                <w:color w:val="333333"/>
                <w:sz w:val="18"/>
              </w:rPr>
              <w:t>C3</w:t>
            </w:r>
          </w:p>
        </w:tc>
        <w:tc>
          <w:tcPr>
            <w:tcW w:type="dxa" w:w="3685"/>
            <w:tcMar>
              <w:top w:w="70" w:type="dxa"/>
              <w:bottom w:w="70" w:type="dxa"/>
              <w:left w:w="100" w:type="dxa"/>
              <w:right w:w="100" w:type="dxa"/>
            </w:tcMar>
          </w:tcPr>
          <w:p>
            <w:r>
              <w:rPr>
                <w:color w:val="333333"/>
                <w:sz w:val="18"/>
              </w:rPr>
              <w:t>Dark Spot Transformations</w:t>
            </w:r>
          </w:p>
        </w:tc>
        <w:tc>
          <w:tcPr>
            <w:tcW w:type="dxa" w:w="3969"/>
            <w:tcMar>
              <w:top w:w="70" w:type="dxa"/>
              <w:bottom w:w="70" w:type="dxa"/>
              <w:left w:w="100" w:type="dxa"/>
              <w:right w:w="100" w:type="dxa"/>
            </w:tcMar>
          </w:tcPr>
          <w:p>
            <w:r>
              <w:rPr>
                <w:color w:val="333333"/>
                <w:sz w:val="18"/>
              </w:rPr>
              <w:t>Public space murals and clean-up — 1 per ward</w:t>
            </w:r>
          </w:p>
        </w:tc>
        <w:tc>
          <w:tcPr>
            <w:tcW w:type="dxa" w:w="1417"/>
            <w:tcMar>
              <w:top w:w="70" w:type="dxa"/>
              <w:bottom w:w="70" w:type="dxa"/>
              <w:left w:w="100" w:type="dxa"/>
              <w:right w:w="100" w:type="dxa"/>
            </w:tcMar>
          </w:tcPr>
          <w:p>
            <w:r>
              <w:rPr>
                <w:color w:val="333333"/>
                <w:sz w:val="18"/>
              </w:rPr>
              <w:t>₹2,00,000</w:t>
            </w:r>
          </w:p>
        </w:tc>
      </w:tr>
      <w:tr>
        <w:tc>
          <w:tcPr>
            <w:tcW w:type="dxa" w:w="567"/>
            <w:tcMar>
              <w:top w:w="70" w:type="dxa"/>
              <w:bottom w:w="70" w:type="dxa"/>
              <w:left w:w="100" w:type="dxa"/>
              <w:right w:w="100" w:type="dxa"/>
            </w:tcMar>
          </w:tcPr>
          <w:p>
            <w:r>
              <w:rPr>
                <w:color w:val="333333"/>
                <w:sz w:val="18"/>
              </w:rPr>
              <w:t>C4</w:t>
            </w:r>
          </w:p>
        </w:tc>
        <w:tc>
          <w:tcPr>
            <w:tcW w:type="dxa" w:w="3685"/>
            <w:tcMar>
              <w:top w:w="70" w:type="dxa"/>
              <w:bottom w:w="70" w:type="dxa"/>
              <w:left w:w="100" w:type="dxa"/>
              <w:right w:w="100" w:type="dxa"/>
            </w:tcMar>
          </w:tcPr>
          <w:p>
            <w:r>
              <w:rPr>
                <w:color w:val="333333"/>
                <w:sz w:val="18"/>
              </w:rPr>
              <w:t>Events — Nukkad Nataks &amp; Stakeholder Meets</w:t>
            </w:r>
          </w:p>
        </w:tc>
        <w:tc>
          <w:tcPr>
            <w:tcW w:type="dxa" w:w="3969"/>
            <w:tcMar>
              <w:top w:w="70" w:type="dxa"/>
              <w:bottom w:w="70" w:type="dxa"/>
              <w:left w:w="100" w:type="dxa"/>
              <w:right w:w="100" w:type="dxa"/>
            </w:tcMar>
          </w:tcPr>
          <w:p>
            <w:r>
              <w:rPr>
                <w:color w:val="333333"/>
                <w:sz w:val="18"/>
              </w:rPr>
              <w:t>Public engagement and mobilisation events</w:t>
            </w:r>
          </w:p>
        </w:tc>
        <w:tc>
          <w:tcPr>
            <w:tcW w:type="dxa" w:w="1417"/>
            <w:tcMar>
              <w:top w:w="70" w:type="dxa"/>
              <w:bottom w:w="70" w:type="dxa"/>
              <w:left w:w="100" w:type="dxa"/>
              <w:right w:w="100" w:type="dxa"/>
            </w:tcMar>
          </w:tcPr>
          <w:p>
            <w:r>
              <w:rPr>
                <w:color w:val="333333"/>
                <w:sz w:val="18"/>
              </w:rPr>
              <w:t>₹90,000</w:t>
            </w:r>
          </w:p>
        </w:tc>
      </w:tr>
      <w:tr>
        <w:tc>
          <w:tcPr>
            <w:tcW w:type="dxa" w:w="567"/>
            <w:tcMar>
              <w:top w:w="70" w:type="dxa"/>
              <w:bottom w:w="70" w:type="dxa"/>
              <w:left w:w="100" w:type="dxa"/>
              <w:right w:w="100" w:type="dxa"/>
            </w:tcMar>
          </w:tcPr>
          <w:p>
            <w:r>
              <w:rPr>
                <w:color w:val="333333"/>
                <w:sz w:val="18"/>
              </w:rPr>
              <w:t>C5</w:t>
            </w:r>
          </w:p>
        </w:tc>
        <w:tc>
          <w:tcPr>
            <w:tcW w:type="dxa" w:w="3685"/>
            <w:tcMar>
              <w:top w:w="70" w:type="dxa"/>
              <w:bottom w:w="70" w:type="dxa"/>
              <w:left w:w="100" w:type="dxa"/>
              <w:right w:w="100" w:type="dxa"/>
            </w:tcMar>
          </w:tcPr>
          <w:p>
            <w:r>
              <w:rPr>
                <w:color w:val="333333"/>
                <w:sz w:val="18"/>
              </w:rPr>
              <w:t>Signboards &amp; Safety Boards</w:t>
            </w:r>
          </w:p>
        </w:tc>
        <w:tc>
          <w:tcPr>
            <w:tcW w:type="dxa" w:w="3969"/>
            <w:tcMar>
              <w:top w:w="70" w:type="dxa"/>
              <w:bottom w:w="70" w:type="dxa"/>
              <w:left w:w="100" w:type="dxa"/>
              <w:right w:w="100" w:type="dxa"/>
            </w:tcMar>
          </w:tcPr>
          <w:p>
            <w:r>
              <w:rPr>
                <w:color w:val="333333"/>
                <w:sz w:val="18"/>
              </w:rPr>
              <w:t>Ward-level IEC signage</w:t>
            </w:r>
          </w:p>
        </w:tc>
        <w:tc>
          <w:tcPr>
            <w:tcW w:type="dxa" w:w="1417"/>
            <w:tcMar>
              <w:top w:w="70" w:type="dxa"/>
              <w:bottom w:w="70" w:type="dxa"/>
              <w:left w:w="100" w:type="dxa"/>
              <w:right w:w="100" w:type="dxa"/>
            </w:tcMar>
          </w:tcPr>
          <w:p>
            <w:r>
              <w:rPr>
                <w:color w:val="333333"/>
                <w:sz w:val="18"/>
              </w:rPr>
              <w:t>₹1,70,000</w:t>
            </w:r>
          </w:p>
        </w:tc>
      </w:tr>
      <w:tr>
        <w:tc>
          <w:tcPr>
            <w:tcW w:type="dxa" w:w="567"/>
            <w:tcMar>
              <w:top w:w="70" w:type="dxa"/>
              <w:bottom w:w="70" w:type="dxa"/>
              <w:left w:w="100" w:type="dxa"/>
              <w:right w:w="100" w:type="dxa"/>
            </w:tcMar>
          </w:tcPr>
          <w:p>
            <w:r>
              <w:rPr>
                <w:color w:val="333333"/>
                <w:sz w:val="18"/>
              </w:rPr>
              <w:t>C6</w:t>
            </w:r>
          </w:p>
        </w:tc>
        <w:tc>
          <w:tcPr>
            <w:tcW w:type="dxa" w:w="3685"/>
            <w:tcMar>
              <w:top w:w="70" w:type="dxa"/>
              <w:bottom w:w="70" w:type="dxa"/>
              <w:left w:w="100" w:type="dxa"/>
              <w:right w:w="100" w:type="dxa"/>
            </w:tcMar>
          </w:tcPr>
          <w:p>
            <w:r>
              <w:rPr>
                <w:color w:val="333333"/>
                <w:sz w:val="18"/>
              </w:rPr>
              <w:t>Merchandise &amp; IEC Collateral</w:t>
            </w:r>
          </w:p>
        </w:tc>
        <w:tc>
          <w:tcPr>
            <w:tcW w:type="dxa" w:w="3969"/>
            <w:tcMar>
              <w:top w:w="70" w:type="dxa"/>
              <w:bottom w:w="70" w:type="dxa"/>
              <w:left w:w="100" w:type="dxa"/>
              <w:right w:w="100" w:type="dxa"/>
            </w:tcMar>
          </w:tcPr>
          <w:p>
            <w:r>
              <w:rPr>
                <w:color w:val="333333"/>
                <w:sz w:val="18"/>
              </w:rPr>
              <w:t>Reusable bags, posters, campaign material</w:t>
            </w:r>
          </w:p>
        </w:tc>
        <w:tc>
          <w:tcPr>
            <w:tcW w:type="dxa" w:w="1417"/>
            <w:tcMar>
              <w:top w:w="70" w:type="dxa"/>
              <w:bottom w:w="70" w:type="dxa"/>
              <w:left w:w="100" w:type="dxa"/>
              <w:right w:w="100" w:type="dxa"/>
            </w:tcMar>
          </w:tcPr>
          <w:p>
            <w:r>
              <w:rPr>
                <w:color w:val="333333"/>
                <w:sz w:val="18"/>
              </w:rPr>
              <w:t>₹1,04,000</w:t>
            </w:r>
          </w:p>
        </w:tc>
      </w:tr>
      <w:tr>
        <w:tc>
          <w:tcPr>
            <w:tcW w:type="dxa" w:w="567"/>
            <w:tcMar>
              <w:top w:w="70" w:type="dxa"/>
              <w:bottom w:w="70" w:type="dxa"/>
              <w:left w:w="100" w:type="dxa"/>
              <w:right w:w="100" w:type="dxa"/>
            </w:tcMar>
          </w:tcPr>
          <w:p>
            <w:r>
              <w:rPr>
                <w:color w:val="333333"/>
                <w:sz w:val="18"/>
              </w:rPr>
              <w:t>C7</w:t>
            </w:r>
          </w:p>
        </w:tc>
        <w:tc>
          <w:tcPr>
            <w:tcW w:type="dxa" w:w="3685"/>
            <w:tcMar>
              <w:top w:w="70" w:type="dxa"/>
              <w:bottom w:w="70" w:type="dxa"/>
              <w:left w:w="100" w:type="dxa"/>
              <w:right w:w="100" w:type="dxa"/>
            </w:tcMar>
          </w:tcPr>
          <w:p>
            <w:r>
              <w:rPr>
                <w:color w:val="333333"/>
                <w:sz w:val="18"/>
              </w:rPr>
              <w:t>Plastic Lao, Rashan Pao</w:t>
            </w:r>
          </w:p>
        </w:tc>
        <w:tc>
          <w:tcPr>
            <w:tcW w:type="dxa" w:w="3969"/>
            <w:tcMar>
              <w:top w:w="70" w:type="dxa"/>
              <w:bottom w:w="70" w:type="dxa"/>
              <w:left w:w="100" w:type="dxa"/>
              <w:right w:w="100" w:type="dxa"/>
            </w:tcMar>
          </w:tcPr>
          <w:p>
            <w:r>
              <w:rPr>
                <w:color w:val="333333"/>
                <w:sz w:val="18"/>
              </w:rPr>
              <w:t>Incentivised low-value plastic collection programme</w:t>
            </w:r>
          </w:p>
        </w:tc>
        <w:tc>
          <w:tcPr>
            <w:tcW w:type="dxa" w:w="1417"/>
            <w:tcMar>
              <w:top w:w="70" w:type="dxa"/>
              <w:bottom w:w="70" w:type="dxa"/>
              <w:left w:w="100" w:type="dxa"/>
              <w:right w:w="100" w:type="dxa"/>
            </w:tcMar>
          </w:tcPr>
          <w:p>
            <w:r>
              <w:rPr>
                <w:color w:val="333333"/>
                <w:sz w:val="18"/>
              </w:rPr>
              <w:t>₹1,20,000</w:t>
            </w:r>
          </w:p>
        </w:tc>
      </w:tr>
      <w:tr>
        <w:tc>
          <w:tcPr>
            <w:tcW w:type="dxa" w:w="567"/>
            <w:tcMar>
              <w:top w:w="70" w:type="dxa"/>
              <w:bottom w:w="70" w:type="dxa"/>
              <w:left w:w="100" w:type="dxa"/>
              <w:right w:w="100" w:type="dxa"/>
            </w:tcMar>
          </w:tcPr>
          <w:p>
            <w:r>
              <w:rPr>
                <w:color w:val="333333"/>
                <w:sz w:val="18"/>
              </w:rPr>
              <w:t>C8</w:t>
            </w:r>
          </w:p>
        </w:tc>
        <w:tc>
          <w:tcPr>
            <w:tcW w:type="dxa" w:w="3685"/>
            <w:tcMar>
              <w:top w:w="70" w:type="dxa"/>
              <w:bottom w:w="70" w:type="dxa"/>
              <w:left w:w="100" w:type="dxa"/>
              <w:right w:w="100" w:type="dxa"/>
            </w:tcMar>
          </w:tcPr>
          <w:p>
            <w:r>
              <w:rPr>
                <w:color w:val="333333"/>
                <w:sz w:val="18"/>
              </w:rPr>
              <w:t>Annual Dissemination &amp; Felicitation Event</w:t>
            </w:r>
          </w:p>
        </w:tc>
        <w:tc>
          <w:tcPr>
            <w:tcW w:type="dxa" w:w="3969"/>
            <w:tcMar>
              <w:top w:w="70" w:type="dxa"/>
              <w:bottom w:w="70" w:type="dxa"/>
              <w:left w:w="100" w:type="dxa"/>
              <w:right w:w="100" w:type="dxa"/>
            </w:tcMar>
          </w:tcPr>
          <w:p>
            <w:r>
              <w:rPr>
                <w:color w:val="333333"/>
                <w:sz w:val="18"/>
              </w:rPr>
              <w:t>Model-ward showcase with government and partners</w:t>
            </w:r>
          </w:p>
        </w:tc>
        <w:tc>
          <w:tcPr>
            <w:tcW w:type="dxa" w:w="1417"/>
            <w:tcMar>
              <w:top w:w="70" w:type="dxa"/>
              <w:bottom w:w="70" w:type="dxa"/>
              <w:left w:w="100" w:type="dxa"/>
              <w:right w:w="100" w:type="dxa"/>
            </w:tcMar>
          </w:tcPr>
          <w:p>
            <w:r>
              <w:rPr>
                <w:color w:val="333333"/>
                <w:sz w:val="18"/>
              </w:rPr>
              <w:t>₹1,00,000</w:t>
            </w:r>
          </w:p>
        </w:tc>
      </w:tr>
      <w:tr>
        <w:tc>
          <w:tcPr>
            <w:tcW w:type="dxa" w:w="567"/>
            <w:tcMar>
              <w:top w:w="70" w:type="dxa"/>
              <w:bottom w:w="70" w:type="dxa"/>
              <w:left w:w="100" w:type="dxa"/>
              <w:right w:w="100" w:type="dxa"/>
            </w:tcMar>
          </w:tcPr>
          <w:p>
            <w:r>
              <w:rPr>
                <w:color w:val="333333"/>
                <w:sz w:val="18"/>
              </w:rPr>
              <w:t>C9</w:t>
            </w:r>
          </w:p>
        </w:tc>
        <w:tc>
          <w:tcPr>
            <w:tcW w:type="dxa" w:w="3685"/>
            <w:tcMar>
              <w:top w:w="70" w:type="dxa"/>
              <w:bottom w:w="70" w:type="dxa"/>
              <w:left w:w="100" w:type="dxa"/>
              <w:right w:w="100" w:type="dxa"/>
            </w:tcMar>
          </w:tcPr>
          <w:p>
            <w:r>
              <w:rPr>
                <w:color w:val="333333"/>
                <w:sz w:val="18"/>
              </w:rPr>
              <w:t>MEL Framework &amp; Documentation</w:t>
            </w:r>
          </w:p>
        </w:tc>
        <w:tc>
          <w:tcPr>
            <w:tcW w:type="dxa" w:w="3969"/>
            <w:tcMar>
              <w:top w:w="70" w:type="dxa"/>
              <w:bottom w:w="70" w:type="dxa"/>
              <w:left w:w="100" w:type="dxa"/>
              <w:right w:w="100" w:type="dxa"/>
            </w:tcMar>
          </w:tcPr>
          <w:p>
            <w:r>
              <w:rPr>
                <w:color w:val="333333"/>
                <w:sz w:val="18"/>
              </w:rPr>
              <w:t>Monitoring, Evaluation and Learning; reporting</w:t>
            </w:r>
          </w:p>
        </w:tc>
        <w:tc>
          <w:tcPr>
            <w:tcW w:type="dxa" w:w="1417"/>
            <w:tcMar>
              <w:top w:w="70" w:type="dxa"/>
              <w:bottom w:w="70" w:type="dxa"/>
              <w:left w:w="100" w:type="dxa"/>
              <w:right w:w="100" w:type="dxa"/>
            </w:tcMar>
          </w:tcPr>
          <w:p>
            <w:r>
              <w:rPr>
                <w:color w:val="333333"/>
                <w:sz w:val="18"/>
              </w:rPr>
              <w:t>₹1,00,000</w:t>
            </w:r>
          </w:p>
        </w:tc>
      </w:tr>
      <w:tr>
        <w:tc>
          <w:tcPr>
            <w:tcW w:type="dxa" w:w="567"/>
            <w:shd w:val="clear" w:color="auto" w:fill="E0F0EE"/>
            <w:tcMar>
              <w:top w:w="70" w:type="dxa"/>
              <w:bottom w:w="70" w:type="dxa"/>
              <w:left w:w="100" w:type="dxa"/>
              <w:right w:w="100" w:type="dxa"/>
            </w:tcMar>
          </w:tcPr>
          <w:p>
            <w:r>
              <w:rPr>
                <w:b/>
                <w:color w:val="333333"/>
                <w:sz w:val="20"/>
              </w:rPr>
            </w:r>
          </w:p>
        </w:tc>
        <w:tc>
          <w:tcPr>
            <w:tcW w:type="dxa" w:w="3685"/>
            <w:shd w:val="clear" w:color="auto" w:fill="E0F0EE"/>
            <w:tcMar>
              <w:top w:w="70" w:type="dxa"/>
              <w:bottom w:w="70" w:type="dxa"/>
              <w:left w:w="100" w:type="dxa"/>
              <w:right w:w="100" w:type="dxa"/>
            </w:tcMar>
          </w:tcPr>
          <w:p>
            <w:r>
              <w:rPr>
                <w:b/>
                <w:color w:val="333333"/>
                <w:sz w:val="20"/>
              </w:rPr>
              <w:t>Total — IEC &amp; Engagement</w:t>
            </w:r>
          </w:p>
        </w:tc>
        <w:tc>
          <w:tcPr>
            <w:tcW w:type="dxa" w:w="3969"/>
            <w:shd w:val="clear" w:color="auto" w:fill="E0F0EE"/>
            <w:tcMar>
              <w:top w:w="70" w:type="dxa"/>
              <w:bottom w:w="70" w:type="dxa"/>
              <w:left w:w="100" w:type="dxa"/>
              <w:right w:w="100" w:type="dxa"/>
            </w:tcMar>
          </w:tcPr>
          <w:p>
            <w:r>
              <w:rPr>
                <w:b/>
                <w:color w:val="333333"/>
                <w:sz w:val="20"/>
              </w:rPr>
            </w:r>
          </w:p>
        </w:tc>
        <w:tc>
          <w:tcPr>
            <w:tcW w:type="dxa" w:w="1417"/>
            <w:shd w:val="clear" w:color="auto" w:fill="E0F0EE"/>
            <w:tcMar>
              <w:top w:w="70" w:type="dxa"/>
              <w:bottom w:w="70" w:type="dxa"/>
              <w:left w:w="100" w:type="dxa"/>
              <w:right w:w="100" w:type="dxa"/>
            </w:tcMar>
          </w:tcPr>
          <w:p>
            <w:r>
              <w:rPr>
                <w:b/>
                <w:color w:val="1B2A4A"/>
                <w:sz w:val="20"/>
              </w:rPr>
              <w:t>₹14,00,000</w:t>
            </w:r>
          </w:p>
        </w:tc>
      </w:tr>
      <w:tr>
        <w:tc>
          <w:tcPr>
            <w:tcW w:type="dxa" w:w="567"/>
            <w:shd w:val="clear" w:color="auto" w:fill="00877A"/>
            <w:tcMar>
              <w:top w:w="80" w:type="dxa"/>
              <w:bottom w:w="80" w:type="dxa"/>
              <w:left w:w="100" w:type="dxa"/>
              <w:right w:w="100" w:type="dxa"/>
            </w:tcMar>
          </w:tcPr>
          <w:p>
            <w:r>
              <w:rPr>
                <w:b/>
                <w:color w:val="FFFFFF"/>
                <w:sz w:val="20"/>
              </w:rPr>
              <w:t>D</w:t>
            </w:r>
          </w:p>
        </w:tc>
        <w:tc>
          <w:tcPr>
            <w:tcW w:type="dxa" w:w="3685"/>
            <w:shd w:val="clear" w:color="auto" w:fill="00877A"/>
            <w:tcMar>
              <w:top w:w="80" w:type="dxa"/>
              <w:bottom w:w="80" w:type="dxa"/>
              <w:left w:w="100" w:type="dxa"/>
              <w:right w:w="100" w:type="dxa"/>
            </w:tcMar>
          </w:tcPr>
          <w:p>
            <w:r>
              <w:rPr>
                <w:b/>
                <w:color w:val="FFFFFF"/>
                <w:sz w:val="20"/>
              </w:rPr>
              <w:t>EMPLOYEE WELLNESS &amp; STATUTORY</w:t>
            </w:r>
          </w:p>
        </w:tc>
        <w:tc>
          <w:tcPr>
            <w:tcW w:type="dxa" w:w="3969"/>
            <w:shd w:val="clear" w:color="auto" w:fill="00877A"/>
            <w:tcMar>
              <w:top w:w="80" w:type="dxa"/>
              <w:bottom w:w="80" w:type="dxa"/>
              <w:left w:w="100" w:type="dxa"/>
              <w:right w:w="100" w:type="dxa"/>
            </w:tcMar>
          </w:tcPr>
          <w:p>
            <w:r>
              <w:rPr>
                <w:b/>
                <w:color w:val="FFFFFF"/>
                <w:sz w:val="20"/>
              </w:rPr>
              <w:t>Worker health, nutrition, insurance, training</w:t>
            </w:r>
          </w:p>
        </w:tc>
        <w:tc>
          <w:tcPr>
            <w:tcW w:type="dxa" w:w="1417"/>
            <w:shd w:val="clear" w:color="auto" w:fill="00877A"/>
            <w:tcMar>
              <w:top w:w="80" w:type="dxa"/>
              <w:bottom w:w="80" w:type="dxa"/>
              <w:left w:w="100" w:type="dxa"/>
              <w:right w:w="100" w:type="dxa"/>
            </w:tcMar>
          </w:tcPr>
          <w:p>
            <w:r>
              <w:rPr>
                <w:b/>
                <w:color w:val="FFFFFF"/>
                <w:sz w:val="20"/>
              </w:rPr>
            </w:r>
          </w:p>
        </w:tc>
      </w:tr>
      <w:tr>
        <w:tc>
          <w:tcPr>
            <w:tcW w:type="dxa" w:w="567"/>
            <w:tcMar>
              <w:top w:w="70" w:type="dxa"/>
              <w:bottom w:w="70" w:type="dxa"/>
              <w:left w:w="100" w:type="dxa"/>
              <w:right w:w="100" w:type="dxa"/>
            </w:tcMar>
          </w:tcPr>
          <w:p>
            <w:r>
              <w:rPr>
                <w:color w:val="333333"/>
                <w:sz w:val="18"/>
              </w:rPr>
              <w:t>D1</w:t>
            </w:r>
          </w:p>
        </w:tc>
        <w:tc>
          <w:tcPr>
            <w:tcW w:type="dxa" w:w="3685"/>
            <w:tcMar>
              <w:top w:w="70" w:type="dxa"/>
              <w:bottom w:w="70" w:type="dxa"/>
              <w:left w:w="100" w:type="dxa"/>
              <w:right w:w="100" w:type="dxa"/>
            </w:tcMar>
          </w:tcPr>
          <w:p>
            <w:r>
              <w:rPr>
                <w:color w:val="333333"/>
                <w:sz w:val="18"/>
              </w:rPr>
              <w:t>Meal Programme</w:t>
            </w:r>
          </w:p>
        </w:tc>
        <w:tc>
          <w:tcPr>
            <w:tcW w:type="dxa" w:w="3969"/>
            <w:tcMar>
              <w:top w:w="70" w:type="dxa"/>
              <w:bottom w:w="70" w:type="dxa"/>
              <w:left w:w="100" w:type="dxa"/>
              <w:right w:w="100" w:type="dxa"/>
            </w:tcMar>
          </w:tcPr>
          <w:p>
            <w:r>
              <w:rPr>
                <w:color w:val="333333"/>
                <w:sz w:val="18"/>
              </w:rPr>
              <w:t>Daily nutritional support for Green Workers throughout the period</w:t>
            </w:r>
          </w:p>
        </w:tc>
        <w:tc>
          <w:tcPr>
            <w:tcW w:type="dxa" w:w="1417"/>
            <w:tcMar>
              <w:top w:w="70" w:type="dxa"/>
              <w:bottom w:w="70" w:type="dxa"/>
              <w:left w:w="100" w:type="dxa"/>
              <w:right w:w="100" w:type="dxa"/>
            </w:tcMar>
          </w:tcPr>
          <w:p>
            <w:r>
              <w:rPr>
                <w:color w:val="333333"/>
                <w:sz w:val="18"/>
              </w:rPr>
              <w:t>₹4,20,000</w:t>
            </w:r>
          </w:p>
        </w:tc>
      </w:tr>
      <w:tr>
        <w:tc>
          <w:tcPr>
            <w:tcW w:type="dxa" w:w="567"/>
            <w:tcMar>
              <w:top w:w="70" w:type="dxa"/>
              <w:bottom w:w="70" w:type="dxa"/>
              <w:left w:w="100" w:type="dxa"/>
              <w:right w:w="100" w:type="dxa"/>
            </w:tcMar>
          </w:tcPr>
          <w:p>
            <w:r>
              <w:rPr>
                <w:color w:val="333333"/>
                <w:sz w:val="18"/>
              </w:rPr>
              <w:t>D2</w:t>
            </w:r>
          </w:p>
        </w:tc>
        <w:tc>
          <w:tcPr>
            <w:tcW w:type="dxa" w:w="3685"/>
            <w:tcMar>
              <w:top w:w="70" w:type="dxa"/>
              <w:bottom w:w="70" w:type="dxa"/>
              <w:left w:w="100" w:type="dxa"/>
              <w:right w:w="100" w:type="dxa"/>
            </w:tcMar>
          </w:tcPr>
          <w:p>
            <w:r>
              <w:rPr>
                <w:color w:val="333333"/>
                <w:sz w:val="18"/>
              </w:rPr>
              <w:t>Medical Insurance &amp; Health Cover</w:t>
            </w:r>
          </w:p>
        </w:tc>
        <w:tc>
          <w:tcPr>
            <w:tcW w:type="dxa" w:w="3969"/>
            <w:tcMar>
              <w:top w:w="70" w:type="dxa"/>
              <w:bottom w:w="70" w:type="dxa"/>
              <w:left w:w="100" w:type="dxa"/>
              <w:right w:w="100" w:type="dxa"/>
            </w:tcMar>
          </w:tcPr>
          <w:p>
            <w:r>
              <w:rPr>
                <w:color w:val="333333"/>
                <w:sz w:val="18"/>
              </w:rPr>
              <w:t>Health insurance for all Green Workers and team members</w:t>
            </w:r>
          </w:p>
        </w:tc>
        <w:tc>
          <w:tcPr>
            <w:tcW w:type="dxa" w:w="1417"/>
            <w:tcMar>
              <w:top w:w="70" w:type="dxa"/>
              <w:bottom w:w="70" w:type="dxa"/>
              <w:left w:w="100" w:type="dxa"/>
              <w:right w:w="100" w:type="dxa"/>
            </w:tcMar>
          </w:tcPr>
          <w:p>
            <w:r>
              <w:rPr>
                <w:color w:val="333333"/>
                <w:sz w:val="18"/>
              </w:rPr>
              <w:t>₹5,40,000</w:t>
            </w:r>
          </w:p>
        </w:tc>
      </w:tr>
      <w:tr>
        <w:tc>
          <w:tcPr>
            <w:tcW w:type="dxa" w:w="567"/>
            <w:tcMar>
              <w:top w:w="70" w:type="dxa"/>
              <w:bottom w:w="70" w:type="dxa"/>
              <w:left w:w="100" w:type="dxa"/>
              <w:right w:w="100" w:type="dxa"/>
            </w:tcMar>
          </w:tcPr>
          <w:p>
            <w:r>
              <w:rPr>
                <w:color w:val="333333"/>
                <w:sz w:val="18"/>
              </w:rPr>
              <w:t>D3</w:t>
            </w:r>
          </w:p>
        </w:tc>
        <w:tc>
          <w:tcPr>
            <w:tcW w:type="dxa" w:w="3685"/>
            <w:tcMar>
              <w:top w:w="70" w:type="dxa"/>
              <w:bottom w:w="70" w:type="dxa"/>
              <w:left w:w="100" w:type="dxa"/>
              <w:right w:w="100" w:type="dxa"/>
            </w:tcMar>
          </w:tcPr>
          <w:p>
            <w:r>
              <w:rPr>
                <w:color w:val="333333"/>
                <w:sz w:val="18"/>
              </w:rPr>
              <w:t>Wellness Allowance</w:t>
            </w:r>
          </w:p>
        </w:tc>
        <w:tc>
          <w:tcPr>
            <w:tcW w:type="dxa" w:w="3969"/>
            <w:tcMar>
              <w:top w:w="70" w:type="dxa"/>
              <w:bottom w:w="70" w:type="dxa"/>
              <w:left w:w="100" w:type="dxa"/>
              <w:right w:w="100" w:type="dxa"/>
            </w:tcMar>
          </w:tcPr>
          <w:p>
            <w:r>
              <w:rPr>
                <w:color w:val="333333"/>
                <w:sz w:val="18"/>
              </w:rPr>
              <w:t>Monthly wellness support for all staff</w:t>
            </w:r>
          </w:p>
        </w:tc>
        <w:tc>
          <w:tcPr>
            <w:tcW w:type="dxa" w:w="1417"/>
            <w:tcMar>
              <w:top w:w="70" w:type="dxa"/>
              <w:bottom w:w="70" w:type="dxa"/>
              <w:left w:w="100" w:type="dxa"/>
              <w:right w:w="100" w:type="dxa"/>
            </w:tcMar>
          </w:tcPr>
          <w:p>
            <w:r>
              <w:rPr>
                <w:color w:val="333333"/>
                <w:sz w:val="18"/>
              </w:rPr>
              <w:t>₹3,60,000</w:t>
            </w:r>
          </w:p>
        </w:tc>
      </w:tr>
      <w:tr>
        <w:tc>
          <w:tcPr>
            <w:tcW w:type="dxa" w:w="567"/>
            <w:tcMar>
              <w:top w:w="70" w:type="dxa"/>
              <w:bottom w:w="70" w:type="dxa"/>
              <w:left w:w="100" w:type="dxa"/>
              <w:right w:w="100" w:type="dxa"/>
            </w:tcMar>
          </w:tcPr>
          <w:p>
            <w:r>
              <w:rPr>
                <w:color w:val="333333"/>
                <w:sz w:val="18"/>
              </w:rPr>
              <w:t>D4</w:t>
            </w:r>
          </w:p>
        </w:tc>
        <w:tc>
          <w:tcPr>
            <w:tcW w:type="dxa" w:w="3685"/>
            <w:tcMar>
              <w:top w:w="70" w:type="dxa"/>
              <w:bottom w:w="70" w:type="dxa"/>
              <w:left w:w="100" w:type="dxa"/>
              <w:right w:w="100" w:type="dxa"/>
            </w:tcMar>
          </w:tcPr>
          <w:p>
            <w:r>
              <w:rPr>
                <w:color w:val="333333"/>
                <w:sz w:val="18"/>
              </w:rPr>
              <w:t>Annual Medical Screening</w:t>
            </w:r>
          </w:p>
        </w:tc>
        <w:tc>
          <w:tcPr>
            <w:tcW w:type="dxa" w:w="3969"/>
            <w:tcMar>
              <w:top w:w="70" w:type="dxa"/>
              <w:bottom w:w="70" w:type="dxa"/>
              <w:left w:w="100" w:type="dxa"/>
              <w:right w:w="100" w:type="dxa"/>
            </w:tcMar>
          </w:tcPr>
          <w:p>
            <w:r>
              <w:rPr>
                <w:color w:val="333333"/>
                <w:sz w:val="18"/>
              </w:rPr>
              <w:t>Once-yearly occupational health screening for all workers</w:t>
            </w:r>
          </w:p>
        </w:tc>
        <w:tc>
          <w:tcPr>
            <w:tcW w:type="dxa" w:w="1417"/>
            <w:tcMar>
              <w:top w:w="70" w:type="dxa"/>
              <w:bottom w:w="70" w:type="dxa"/>
              <w:left w:w="100" w:type="dxa"/>
              <w:right w:w="100" w:type="dxa"/>
            </w:tcMar>
          </w:tcPr>
          <w:p>
            <w:r>
              <w:rPr>
                <w:color w:val="333333"/>
                <w:sz w:val="18"/>
              </w:rPr>
              <w:t>₹40,000</w:t>
            </w:r>
          </w:p>
        </w:tc>
      </w:tr>
      <w:tr>
        <w:tc>
          <w:tcPr>
            <w:tcW w:type="dxa" w:w="567"/>
            <w:tcMar>
              <w:top w:w="70" w:type="dxa"/>
              <w:bottom w:w="70" w:type="dxa"/>
              <w:left w:w="100" w:type="dxa"/>
              <w:right w:w="100" w:type="dxa"/>
            </w:tcMar>
          </w:tcPr>
          <w:p>
            <w:r>
              <w:rPr>
                <w:color w:val="333333"/>
                <w:sz w:val="18"/>
              </w:rPr>
              <w:t>D5</w:t>
            </w:r>
          </w:p>
        </w:tc>
        <w:tc>
          <w:tcPr>
            <w:tcW w:type="dxa" w:w="3685"/>
            <w:tcMar>
              <w:top w:w="70" w:type="dxa"/>
              <w:bottom w:w="70" w:type="dxa"/>
              <w:left w:w="100" w:type="dxa"/>
              <w:right w:w="100" w:type="dxa"/>
            </w:tcMar>
          </w:tcPr>
          <w:p>
            <w:r>
              <w:rPr>
                <w:color w:val="333333"/>
                <w:sz w:val="18"/>
              </w:rPr>
              <w:t>Gratuity &amp; Statutory Benefits</w:t>
            </w:r>
          </w:p>
        </w:tc>
        <w:tc>
          <w:tcPr>
            <w:tcW w:type="dxa" w:w="3969"/>
            <w:tcMar>
              <w:top w:w="70" w:type="dxa"/>
              <w:bottom w:w="70" w:type="dxa"/>
              <w:left w:w="100" w:type="dxa"/>
              <w:right w:w="100" w:type="dxa"/>
            </w:tcMar>
          </w:tcPr>
          <w:p>
            <w:r>
              <w:rPr>
                <w:color w:val="333333"/>
                <w:sz w:val="18"/>
              </w:rPr>
              <w:t>Formal statutory entitlements maintained throughout the period</w:t>
            </w:r>
          </w:p>
        </w:tc>
        <w:tc>
          <w:tcPr>
            <w:tcW w:type="dxa" w:w="1417"/>
            <w:tcMar>
              <w:top w:w="70" w:type="dxa"/>
              <w:bottom w:w="70" w:type="dxa"/>
              <w:left w:w="100" w:type="dxa"/>
              <w:right w:w="100" w:type="dxa"/>
            </w:tcMar>
          </w:tcPr>
          <w:p>
            <w:r>
              <w:rPr>
                <w:color w:val="333333"/>
                <w:sz w:val="18"/>
              </w:rPr>
              <w:t>₹3,60,000</w:t>
            </w:r>
          </w:p>
        </w:tc>
      </w:tr>
      <w:tr>
        <w:tc>
          <w:tcPr>
            <w:tcW w:type="dxa" w:w="567"/>
            <w:tcMar>
              <w:top w:w="70" w:type="dxa"/>
              <w:bottom w:w="70" w:type="dxa"/>
              <w:left w:w="100" w:type="dxa"/>
              <w:right w:w="100" w:type="dxa"/>
            </w:tcMar>
          </w:tcPr>
          <w:p>
            <w:r>
              <w:rPr>
                <w:color w:val="333333"/>
                <w:sz w:val="18"/>
              </w:rPr>
              <w:t>D6</w:t>
            </w:r>
          </w:p>
        </w:tc>
        <w:tc>
          <w:tcPr>
            <w:tcW w:type="dxa" w:w="3685"/>
            <w:tcMar>
              <w:top w:w="70" w:type="dxa"/>
              <w:bottom w:w="70" w:type="dxa"/>
              <w:left w:w="100" w:type="dxa"/>
              <w:right w:w="100" w:type="dxa"/>
            </w:tcMar>
          </w:tcPr>
          <w:p>
            <w:r>
              <w:rPr>
                <w:color w:val="333333"/>
                <w:sz w:val="18"/>
              </w:rPr>
              <w:t>Vocational Training &amp; L&amp;D</w:t>
            </w:r>
          </w:p>
        </w:tc>
        <w:tc>
          <w:tcPr>
            <w:tcW w:type="dxa" w:w="3969"/>
            <w:tcMar>
              <w:top w:w="70" w:type="dxa"/>
              <w:bottom w:w="70" w:type="dxa"/>
              <w:left w:w="100" w:type="dxa"/>
              <w:right w:w="100" w:type="dxa"/>
            </w:tcMar>
          </w:tcPr>
          <w:p>
            <w:r>
              <w:rPr>
                <w:color w:val="333333"/>
                <w:sz w:val="18"/>
              </w:rPr>
              <w:t>Spoken English, digital literacy, MRF operational skills</w:t>
            </w:r>
          </w:p>
        </w:tc>
        <w:tc>
          <w:tcPr>
            <w:tcW w:type="dxa" w:w="1417"/>
            <w:tcMar>
              <w:top w:w="70" w:type="dxa"/>
              <w:bottom w:w="70" w:type="dxa"/>
              <w:left w:w="100" w:type="dxa"/>
              <w:right w:w="100" w:type="dxa"/>
            </w:tcMar>
          </w:tcPr>
          <w:p>
            <w:r>
              <w:rPr>
                <w:color w:val="333333"/>
                <w:sz w:val="18"/>
              </w:rPr>
              <w:t>₹1,80,000</w:t>
            </w:r>
          </w:p>
        </w:tc>
      </w:tr>
      <w:tr>
        <w:tc>
          <w:tcPr>
            <w:tcW w:type="dxa" w:w="567"/>
            <w:tcMar>
              <w:top w:w="70" w:type="dxa"/>
              <w:bottom w:w="70" w:type="dxa"/>
              <w:left w:w="100" w:type="dxa"/>
              <w:right w:w="100" w:type="dxa"/>
            </w:tcMar>
          </w:tcPr>
          <w:p>
            <w:r>
              <w:rPr>
                <w:color w:val="333333"/>
                <w:sz w:val="18"/>
              </w:rPr>
              <w:t>D7</w:t>
            </w:r>
          </w:p>
        </w:tc>
        <w:tc>
          <w:tcPr>
            <w:tcW w:type="dxa" w:w="3685"/>
            <w:tcMar>
              <w:top w:w="70" w:type="dxa"/>
              <w:bottom w:w="70" w:type="dxa"/>
              <w:left w:w="100" w:type="dxa"/>
              <w:right w:w="100" w:type="dxa"/>
            </w:tcMar>
          </w:tcPr>
          <w:p>
            <w:r>
              <w:rPr>
                <w:color w:val="333333"/>
                <w:sz w:val="18"/>
              </w:rPr>
              <w:t>Hobby Fund &amp; Recreation</w:t>
            </w:r>
          </w:p>
        </w:tc>
        <w:tc>
          <w:tcPr>
            <w:tcW w:type="dxa" w:w="3969"/>
            <w:tcMar>
              <w:top w:w="70" w:type="dxa"/>
              <w:bottom w:w="70" w:type="dxa"/>
              <w:left w:w="100" w:type="dxa"/>
              <w:right w:w="100" w:type="dxa"/>
            </w:tcMar>
          </w:tcPr>
          <w:p>
            <w:r>
              <w:rPr>
                <w:color w:val="333333"/>
                <w:sz w:val="18"/>
              </w:rPr>
              <w:t>Holistic wellbeing support beyond the workplace</w:t>
            </w:r>
          </w:p>
        </w:tc>
        <w:tc>
          <w:tcPr>
            <w:tcW w:type="dxa" w:w="1417"/>
            <w:tcMar>
              <w:top w:w="70" w:type="dxa"/>
              <w:bottom w:w="70" w:type="dxa"/>
              <w:left w:w="100" w:type="dxa"/>
              <w:right w:w="100" w:type="dxa"/>
            </w:tcMar>
          </w:tcPr>
          <w:p>
            <w:r>
              <w:rPr>
                <w:color w:val="333333"/>
                <w:sz w:val="18"/>
              </w:rPr>
              <w:t>₹2,00,000</w:t>
            </w:r>
          </w:p>
        </w:tc>
      </w:tr>
      <w:tr>
        <w:tc>
          <w:tcPr>
            <w:tcW w:type="dxa" w:w="567"/>
            <w:shd w:val="clear" w:color="auto" w:fill="E0F0EE"/>
            <w:tcMar>
              <w:top w:w="70" w:type="dxa"/>
              <w:bottom w:w="70" w:type="dxa"/>
              <w:left w:w="100" w:type="dxa"/>
              <w:right w:w="100" w:type="dxa"/>
            </w:tcMar>
          </w:tcPr>
          <w:p>
            <w:r>
              <w:rPr>
                <w:b/>
                <w:color w:val="333333"/>
                <w:sz w:val="20"/>
              </w:rPr>
            </w:r>
          </w:p>
        </w:tc>
        <w:tc>
          <w:tcPr>
            <w:tcW w:type="dxa" w:w="3685"/>
            <w:shd w:val="clear" w:color="auto" w:fill="E0F0EE"/>
            <w:tcMar>
              <w:top w:w="70" w:type="dxa"/>
              <w:bottom w:w="70" w:type="dxa"/>
              <w:left w:w="100" w:type="dxa"/>
              <w:right w:w="100" w:type="dxa"/>
            </w:tcMar>
          </w:tcPr>
          <w:p>
            <w:r>
              <w:rPr>
                <w:b/>
                <w:color w:val="333333"/>
                <w:sz w:val="20"/>
              </w:rPr>
              <w:t>Total — Employee Wellness</w:t>
            </w:r>
          </w:p>
        </w:tc>
        <w:tc>
          <w:tcPr>
            <w:tcW w:type="dxa" w:w="3969"/>
            <w:shd w:val="clear" w:color="auto" w:fill="E0F0EE"/>
            <w:tcMar>
              <w:top w:w="70" w:type="dxa"/>
              <w:bottom w:w="70" w:type="dxa"/>
              <w:left w:w="100" w:type="dxa"/>
              <w:right w:w="100" w:type="dxa"/>
            </w:tcMar>
          </w:tcPr>
          <w:p>
            <w:r>
              <w:rPr>
                <w:b/>
                <w:color w:val="333333"/>
                <w:sz w:val="20"/>
              </w:rPr>
            </w:r>
          </w:p>
        </w:tc>
        <w:tc>
          <w:tcPr>
            <w:tcW w:type="dxa" w:w="1417"/>
            <w:shd w:val="clear" w:color="auto" w:fill="E0F0EE"/>
            <w:tcMar>
              <w:top w:w="70" w:type="dxa"/>
              <w:bottom w:w="70" w:type="dxa"/>
              <w:left w:w="100" w:type="dxa"/>
              <w:right w:w="100" w:type="dxa"/>
            </w:tcMar>
          </w:tcPr>
          <w:p>
            <w:r>
              <w:rPr>
                <w:b/>
                <w:color w:val="1B2A4A"/>
                <w:sz w:val="20"/>
              </w:rPr>
              <w:t>₹21,00,000</w:t>
            </w:r>
          </w:p>
        </w:tc>
      </w:tr>
      <w:tr>
        <w:tc>
          <w:tcPr>
            <w:tcW w:type="dxa" w:w="567"/>
            <w:shd w:val="clear" w:color="auto" w:fill="00877A"/>
            <w:tcMar>
              <w:top w:w="80" w:type="dxa"/>
              <w:bottom w:w="80" w:type="dxa"/>
              <w:left w:w="100" w:type="dxa"/>
              <w:right w:w="100" w:type="dxa"/>
            </w:tcMar>
          </w:tcPr>
          <w:p>
            <w:r>
              <w:rPr>
                <w:b/>
                <w:color w:val="FFFFFF"/>
                <w:sz w:val="20"/>
              </w:rPr>
              <w:t>E</w:t>
            </w:r>
          </w:p>
        </w:tc>
        <w:tc>
          <w:tcPr>
            <w:tcW w:type="dxa" w:w="3685"/>
            <w:shd w:val="clear" w:color="auto" w:fill="00877A"/>
            <w:tcMar>
              <w:top w:w="80" w:type="dxa"/>
              <w:bottom w:w="80" w:type="dxa"/>
              <w:left w:w="100" w:type="dxa"/>
              <w:right w:w="100" w:type="dxa"/>
            </w:tcMar>
          </w:tcPr>
          <w:p>
            <w:r>
              <w:rPr>
                <w:b/>
                <w:color w:val="FFFFFF"/>
                <w:sz w:val="20"/>
              </w:rPr>
              <w:t>PROJECT TEAM SALARIES</w:t>
            </w:r>
          </w:p>
        </w:tc>
        <w:tc>
          <w:tcPr>
            <w:tcW w:type="dxa" w:w="3969"/>
            <w:shd w:val="clear" w:color="auto" w:fill="00877A"/>
            <w:tcMar>
              <w:top w:w="80" w:type="dxa"/>
              <w:bottom w:w="80" w:type="dxa"/>
              <w:left w:w="100" w:type="dxa"/>
              <w:right w:w="100" w:type="dxa"/>
            </w:tcMar>
          </w:tcPr>
          <w:p>
            <w:r>
              <w:rPr>
                <w:b/>
                <w:color w:val="FFFFFF"/>
                <w:sz w:val="20"/>
              </w:rPr>
              <w:t>Core programme personnel — operations, coordination, field</w:t>
            </w:r>
          </w:p>
        </w:tc>
        <w:tc>
          <w:tcPr>
            <w:tcW w:type="dxa" w:w="1417"/>
            <w:shd w:val="clear" w:color="auto" w:fill="00877A"/>
            <w:tcMar>
              <w:top w:w="80" w:type="dxa"/>
              <w:bottom w:w="80" w:type="dxa"/>
              <w:left w:w="100" w:type="dxa"/>
              <w:right w:w="100" w:type="dxa"/>
            </w:tcMar>
          </w:tcPr>
          <w:p>
            <w:r>
              <w:rPr>
                <w:b/>
                <w:color w:val="FFFFFF"/>
                <w:sz w:val="20"/>
              </w:rPr>
            </w:r>
          </w:p>
        </w:tc>
      </w:tr>
      <w:tr>
        <w:tc>
          <w:tcPr>
            <w:tcW w:type="dxa" w:w="567"/>
            <w:tcMar>
              <w:top w:w="70" w:type="dxa"/>
              <w:bottom w:w="70" w:type="dxa"/>
              <w:left w:w="100" w:type="dxa"/>
              <w:right w:w="100" w:type="dxa"/>
            </w:tcMar>
          </w:tcPr>
          <w:p>
            <w:r>
              <w:rPr>
                <w:color w:val="333333"/>
                <w:sz w:val="18"/>
              </w:rPr>
              <w:t>E1</w:t>
            </w:r>
          </w:p>
        </w:tc>
        <w:tc>
          <w:tcPr>
            <w:tcW w:type="dxa" w:w="3685"/>
            <w:tcMar>
              <w:top w:w="70" w:type="dxa"/>
              <w:bottom w:w="70" w:type="dxa"/>
              <w:left w:w="100" w:type="dxa"/>
              <w:right w:w="100" w:type="dxa"/>
            </w:tcMar>
          </w:tcPr>
          <w:p>
            <w:r>
              <w:rPr>
                <w:color w:val="333333"/>
                <w:sz w:val="18"/>
              </w:rPr>
              <w:t>Project Lead (part-time, 0.3 FTE)</w:t>
            </w:r>
          </w:p>
        </w:tc>
        <w:tc>
          <w:tcPr>
            <w:tcW w:type="dxa" w:w="3969"/>
            <w:tcMar>
              <w:top w:w="70" w:type="dxa"/>
              <w:bottom w:w="70" w:type="dxa"/>
              <w:left w:w="100" w:type="dxa"/>
              <w:right w:w="100" w:type="dxa"/>
            </w:tcMar>
          </w:tcPr>
          <w:p>
            <w:r>
              <w:rPr>
                <w:color w:val="333333"/>
                <w:sz w:val="18"/>
              </w:rPr>
              <w:t>Overall strategy, deliverables and impact guidance</w:t>
            </w:r>
          </w:p>
        </w:tc>
        <w:tc>
          <w:tcPr>
            <w:tcW w:type="dxa" w:w="1417"/>
            <w:tcMar>
              <w:top w:w="70" w:type="dxa"/>
              <w:bottom w:w="70" w:type="dxa"/>
              <w:left w:w="100" w:type="dxa"/>
              <w:right w:w="100" w:type="dxa"/>
            </w:tcMar>
          </w:tcPr>
          <w:p>
            <w:r>
              <w:rPr>
                <w:color w:val="333333"/>
                <w:sz w:val="18"/>
              </w:rPr>
              <w:t>₹5,40,000</w:t>
            </w:r>
          </w:p>
        </w:tc>
      </w:tr>
      <w:tr>
        <w:tc>
          <w:tcPr>
            <w:tcW w:type="dxa" w:w="567"/>
            <w:tcMar>
              <w:top w:w="70" w:type="dxa"/>
              <w:bottom w:w="70" w:type="dxa"/>
              <w:left w:w="100" w:type="dxa"/>
              <w:right w:w="100" w:type="dxa"/>
            </w:tcMar>
          </w:tcPr>
          <w:p>
            <w:r>
              <w:rPr>
                <w:color w:val="333333"/>
                <w:sz w:val="18"/>
              </w:rPr>
              <w:t>E2</w:t>
            </w:r>
          </w:p>
        </w:tc>
        <w:tc>
          <w:tcPr>
            <w:tcW w:type="dxa" w:w="3685"/>
            <w:tcMar>
              <w:top w:w="70" w:type="dxa"/>
              <w:bottom w:w="70" w:type="dxa"/>
              <w:left w:w="100" w:type="dxa"/>
              <w:right w:w="100" w:type="dxa"/>
            </w:tcMar>
          </w:tcPr>
          <w:p>
            <w:r>
              <w:rPr>
                <w:color w:val="333333"/>
                <w:sz w:val="18"/>
              </w:rPr>
              <w:t>Project Managers (×2)</w:t>
            </w:r>
          </w:p>
        </w:tc>
        <w:tc>
          <w:tcPr>
            <w:tcW w:type="dxa" w:w="3969"/>
            <w:tcMar>
              <w:top w:w="70" w:type="dxa"/>
              <w:bottom w:w="70" w:type="dxa"/>
              <w:left w:w="100" w:type="dxa"/>
              <w:right w:w="100" w:type="dxa"/>
            </w:tcMar>
          </w:tcPr>
          <w:p>
            <w:r>
              <w:rPr>
                <w:color w:val="333333"/>
                <w:sz w:val="18"/>
              </w:rPr>
              <w:t>On-ground operations, documentation, worker management</w:t>
            </w:r>
          </w:p>
        </w:tc>
        <w:tc>
          <w:tcPr>
            <w:tcW w:type="dxa" w:w="1417"/>
            <w:tcMar>
              <w:top w:w="70" w:type="dxa"/>
              <w:bottom w:w="70" w:type="dxa"/>
              <w:left w:w="100" w:type="dxa"/>
              <w:right w:w="100" w:type="dxa"/>
            </w:tcMar>
          </w:tcPr>
          <w:p>
            <w:r>
              <w:rPr>
                <w:color w:val="333333"/>
                <w:sz w:val="18"/>
              </w:rPr>
              <w:t>₹15,60,000</w:t>
            </w:r>
          </w:p>
        </w:tc>
      </w:tr>
      <w:tr>
        <w:tc>
          <w:tcPr>
            <w:tcW w:type="dxa" w:w="567"/>
            <w:tcMar>
              <w:top w:w="70" w:type="dxa"/>
              <w:bottom w:w="70" w:type="dxa"/>
              <w:left w:w="100" w:type="dxa"/>
              <w:right w:w="100" w:type="dxa"/>
            </w:tcMar>
          </w:tcPr>
          <w:p>
            <w:r>
              <w:rPr>
                <w:color w:val="333333"/>
                <w:sz w:val="18"/>
              </w:rPr>
              <w:t>E3</w:t>
            </w:r>
          </w:p>
        </w:tc>
        <w:tc>
          <w:tcPr>
            <w:tcW w:type="dxa" w:w="3685"/>
            <w:tcMar>
              <w:top w:w="70" w:type="dxa"/>
              <w:bottom w:w="70" w:type="dxa"/>
              <w:left w:w="100" w:type="dxa"/>
              <w:right w:w="100" w:type="dxa"/>
            </w:tcMar>
          </w:tcPr>
          <w:p>
            <w:r>
              <w:rPr>
                <w:color w:val="333333"/>
                <w:sz w:val="18"/>
              </w:rPr>
              <w:t>Project Coordinators (×3)</w:t>
            </w:r>
          </w:p>
        </w:tc>
        <w:tc>
          <w:tcPr>
            <w:tcW w:type="dxa" w:w="3969"/>
            <w:tcMar>
              <w:top w:w="70" w:type="dxa"/>
              <w:bottom w:w="70" w:type="dxa"/>
              <w:left w:w="100" w:type="dxa"/>
              <w:right w:w="100" w:type="dxa"/>
            </w:tcMar>
          </w:tcPr>
          <w:p>
            <w:r>
              <w:rPr>
                <w:color w:val="333333"/>
                <w:sz w:val="18"/>
              </w:rPr>
              <w:t>Government liaison and stakeholder engagement</w:t>
            </w:r>
          </w:p>
        </w:tc>
        <w:tc>
          <w:tcPr>
            <w:tcW w:type="dxa" w:w="1417"/>
            <w:tcMar>
              <w:top w:w="70" w:type="dxa"/>
              <w:bottom w:w="70" w:type="dxa"/>
              <w:left w:w="100" w:type="dxa"/>
              <w:right w:w="100" w:type="dxa"/>
            </w:tcMar>
          </w:tcPr>
          <w:p>
            <w:r>
              <w:rPr>
                <w:color w:val="333333"/>
                <w:sz w:val="18"/>
              </w:rPr>
              <w:t>₹14,40,000</w:t>
            </w:r>
          </w:p>
        </w:tc>
      </w:tr>
      <w:tr>
        <w:tc>
          <w:tcPr>
            <w:tcW w:type="dxa" w:w="567"/>
            <w:tcMar>
              <w:top w:w="70" w:type="dxa"/>
              <w:bottom w:w="70" w:type="dxa"/>
              <w:left w:w="100" w:type="dxa"/>
              <w:right w:w="100" w:type="dxa"/>
            </w:tcMar>
          </w:tcPr>
          <w:p>
            <w:r>
              <w:rPr>
                <w:color w:val="333333"/>
                <w:sz w:val="18"/>
              </w:rPr>
              <w:t>E4</w:t>
            </w:r>
          </w:p>
        </w:tc>
        <w:tc>
          <w:tcPr>
            <w:tcW w:type="dxa" w:w="3685"/>
            <w:tcMar>
              <w:top w:w="70" w:type="dxa"/>
              <w:bottom w:w="70" w:type="dxa"/>
              <w:left w:w="100" w:type="dxa"/>
              <w:right w:w="100" w:type="dxa"/>
            </w:tcMar>
          </w:tcPr>
          <w:p>
            <w:r>
              <w:rPr>
                <w:color w:val="333333"/>
                <w:sz w:val="18"/>
              </w:rPr>
              <w:t>Community Mobilisers (×6)</w:t>
            </w:r>
          </w:p>
        </w:tc>
        <w:tc>
          <w:tcPr>
            <w:tcW w:type="dxa" w:w="3969"/>
            <w:tcMar>
              <w:top w:w="70" w:type="dxa"/>
              <w:bottom w:w="70" w:type="dxa"/>
              <w:left w:w="100" w:type="dxa"/>
              <w:right w:w="100" w:type="dxa"/>
            </w:tcMar>
          </w:tcPr>
          <w:p>
            <w:r>
              <w:rPr>
                <w:color w:val="333333"/>
                <w:sz w:val="18"/>
              </w:rPr>
              <w:t>Ground-level mobilisation and best-practice handholding</w:t>
            </w:r>
          </w:p>
        </w:tc>
        <w:tc>
          <w:tcPr>
            <w:tcW w:type="dxa" w:w="1417"/>
            <w:tcMar>
              <w:top w:w="70" w:type="dxa"/>
              <w:bottom w:w="70" w:type="dxa"/>
              <w:left w:w="100" w:type="dxa"/>
              <w:right w:w="100" w:type="dxa"/>
            </w:tcMar>
          </w:tcPr>
          <w:p>
            <w:r>
              <w:rPr>
                <w:color w:val="333333"/>
                <w:sz w:val="18"/>
              </w:rPr>
              <w:t>₹14,40,000</w:t>
            </w:r>
          </w:p>
        </w:tc>
      </w:tr>
      <w:tr>
        <w:tc>
          <w:tcPr>
            <w:tcW w:type="dxa" w:w="567"/>
            <w:tcMar>
              <w:top w:w="70" w:type="dxa"/>
              <w:bottom w:w="70" w:type="dxa"/>
              <w:left w:w="100" w:type="dxa"/>
              <w:right w:w="100" w:type="dxa"/>
            </w:tcMar>
          </w:tcPr>
          <w:p>
            <w:r>
              <w:rPr>
                <w:color w:val="333333"/>
                <w:sz w:val="18"/>
              </w:rPr>
              <w:t>E5</w:t>
            </w:r>
          </w:p>
        </w:tc>
        <w:tc>
          <w:tcPr>
            <w:tcW w:type="dxa" w:w="3685"/>
            <w:tcMar>
              <w:top w:w="70" w:type="dxa"/>
              <w:bottom w:w="70" w:type="dxa"/>
              <w:left w:w="100" w:type="dxa"/>
              <w:right w:w="100" w:type="dxa"/>
            </w:tcMar>
          </w:tcPr>
          <w:p>
            <w:r>
              <w:rPr>
                <w:color w:val="333333"/>
                <w:sz w:val="18"/>
              </w:rPr>
              <w:t>MRF Supervisors (×3)</w:t>
            </w:r>
          </w:p>
        </w:tc>
        <w:tc>
          <w:tcPr>
            <w:tcW w:type="dxa" w:w="3969"/>
            <w:tcMar>
              <w:top w:w="70" w:type="dxa"/>
              <w:bottom w:w="70" w:type="dxa"/>
              <w:left w:w="100" w:type="dxa"/>
              <w:right w:w="100" w:type="dxa"/>
            </w:tcMar>
          </w:tcPr>
          <w:p>
            <w:r>
              <w:rPr>
                <w:color w:val="333333"/>
                <w:sz w:val="18"/>
              </w:rPr>
              <w:t>Facility-level supervision of processing operations</w:t>
            </w:r>
          </w:p>
        </w:tc>
        <w:tc>
          <w:tcPr>
            <w:tcW w:type="dxa" w:w="1417"/>
            <w:tcMar>
              <w:top w:w="70" w:type="dxa"/>
              <w:bottom w:w="70" w:type="dxa"/>
              <w:left w:w="100" w:type="dxa"/>
              <w:right w:w="100" w:type="dxa"/>
            </w:tcMar>
          </w:tcPr>
          <w:p>
            <w:r>
              <w:rPr>
                <w:color w:val="333333"/>
                <w:sz w:val="18"/>
              </w:rPr>
              <w:t>₹10,80,000</w:t>
            </w:r>
          </w:p>
        </w:tc>
      </w:tr>
      <w:tr>
        <w:tc>
          <w:tcPr>
            <w:tcW w:type="dxa" w:w="567"/>
            <w:tcMar>
              <w:top w:w="70" w:type="dxa"/>
              <w:bottom w:w="70" w:type="dxa"/>
              <w:left w:w="100" w:type="dxa"/>
              <w:right w:w="100" w:type="dxa"/>
            </w:tcMar>
          </w:tcPr>
          <w:p>
            <w:r>
              <w:rPr>
                <w:color w:val="333333"/>
                <w:sz w:val="18"/>
              </w:rPr>
              <w:t>E6</w:t>
            </w:r>
          </w:p>
        </w:tc>
        <w:tc>
          <w:tcPr>
            <w:tcW w:type="dxa" w:w="3685"/>
            <w:tcMar>
              <w:top w:w="70" w:type="dxa"/>
              <w:bottom w:w="70" w:type="dxa"/>
              <w:left w:w="100" w:type="dxa"/>
              <w:right w:w="100" w:type="dxa"/>
            </w:tcMar>
          </w:tcPr>
          <w:p>
            <w:r>
              <w:rPr>
                <w:color w:val="333333"/>
                <w:sz w:val="18"/>
              </w:rPr>
              <w:t>Data &amp; MIS Lead</w:t>
            </w:r>
          </w:p>
        </w:tc>
        <w:tc>
          <w:tcPr>
            <w:tcW w:type="dxa" w:w="3969"/>
            <w:tcMar>
              <w:top w:w="70" w:type="dxa"/>
              <w:bottom w:w="70" w:type="dxa"/>
              <w:left w:w="100" w:type="dxa"/>
              <w:right w:w="100" w:type="dxa"/>
            </w:tcMar>
          </w:tcPr>
          <w:p>
            <w:r>
              <w:rPr>
                <w:color w:val="333333"/>
                <w:sz w:val="18"/>
              </w:rPr>
              <w:t>Digital systems, monitoring and evaluation support</w:t>
            </w:r>
          </w:p>
        </w:tc>
        <w:tc>
          <w:tcPr>
            <w:tcW w:type="dxa" w:w="1417"/>
            <w:tcMar>
              <w:top w:w="70" w:type="dxa"/>
              <w:bottom w:w="70" w:type="dxa"/>
              <w:left w:w="100" w:type="dxa"/>
              <w:right w:w="100" w:type="dxa"/>
            </w:tcMar>
          </w:tcPr>
          <w:p>
            <w:r>
              <w:rPr>
                <w:color w:val="333333"/>
                <w:sz w:val="18"/>
              </w:rPr>
              <w:t>₹6,00,000</w:t>
            </w:r>
          </w:p>
        </w:tc>
      </w:tr>
      <w:tr>
        <w:tc>
          <w:tcPr>
            <w:tcW w:type="dxa" w:w="567"/>
            <w:tcMar>
              <w:top w:w="70" w:type="dxa"/>
              <w:bottom w:w="70" w:type="dxa"/>
              <w:left w:w="100" w:type="dxa"/>
              <w:right w:w="100" w:type="dxa"/>
            </w:tcMar>
          </w:tcPr>
          <w:p>
            <w:r>
              <w:rPr>
                <w:color w:val="333333"/>
                <w:sz w:val="18"/>
              </w:rPr>
              <w:t>E7</w:t>
            </w:r>
          </w:p>
        </w:tc>
        <w:tc>
          <w:tcPr>
            <w:tcW w:type="dxa" w:w="3685"/>
            <w:tcMar>
              <w:top w:w="70" w:type="dxa"/>
              <w:bottom w:w="70" w:type="dxa"/>
              <w:left w:w="100" w:type="dxa"/>
              <w:right w:w="100" w:type="dxa"/>
            </w:tcMar>
          </w:tcPr>
          <w:p>
            <w:r>
              <w:rPr>
                <w:color w:val="333333"/>
                <w:sz w:val="18"/>
              </w:rPr>
              <w:t>Communications Consultant</w:t>
            </w:r>
          </w:p>
        </w:tc>
        <w:tc>
          <w:tcPr>
            <w:tcW w:type="dxa" w:w="3969"/>
            <w:tcMar>
              <w:top w:w="70" w:type="dxa"/>
              <w:bottom w:w="70" w:type="dxa"/>
              <w:left w:w="100" w:type="dxa"/>
              <w:right w:w="100" w:type="dxa"/>
            </w:tcMar>
          </w:tcPr>
          <w:p>
            <w:r>
              <w:rPr>
                <w:color w:val="333333"/>
                <w:sz w:val="18"/>
              </w:rPr>
              <w:t>Project communications, storytelling and reporting</w:t>
            </w:r>
          </w:p>
        </w:tc>
        <w:tc>
          <w:tcPr>
            <w:tcW w:type="dxa" w:w="1417"/>
            <w:tcMar>
              <w:top w:w="70" w:type="dxa"/>
              <w:bottom w:w="70" w:type="dxa"/>
              <w:left w:w="100" w:type="dxa"/>
              <w:right w:w="100" w:type="dxa"/>
            </w:tcMar>
          </w:tcPr>
          <w:p>
            <w:r>
              <w:rPr>
                <w:color w:val="333333"/>
                <w:sz w:val="18"/>
              </w:rPr>
              <w:t>₹5,40,000</w:t>
            </w:r>
          </w:p>
        </w:tc>
      </w:tr>
      <w:tr>
        <w:tc>
          <w:tcPr>
            <w:tcW w:type="dxa" w:w="567"/>
            <w:tcMar>
              <w:top w:w="70" w:type="dxa"/>
              <w:bottom w:w="70" w:type="dxa"/>
              <w:left w:w="100" w:type="dxa"/>
              <w:right w:w="100" w:type="dxa"/>
            </w:tcMar>
          </w:tcPr>
          <w:p>
            <w:r>
              <w:rPr>
                <w:color w:val="333333"/>
                <w:sz w:val="18"/>
              </w:rPr>
              <w:t>E8</w:t>
            </w:r>
          </w:p>
        </w:tc>
        <w:tc>
          <w:tcPr>
            <w:tcW w:type="dxa" w:w="3685"/>
            <w:tcMar>
              <w:top w:w="70" w:type="dxa"/>
              <w:bottom w:w="70" w:type="dxa"/>
              <w:left w:w="100" w:type="dxa"/>
              <w:right w:w="100" w:type="dxa"/>
            </w:tcMar>
          </w:tcPr>
          <w:p>
            <w:r>
              <w:rPr>
                <w:color w:val="333333"/>
                <w:sz w:val="18"/>
              </w:rPr>
              <w:t>Field Executives / Swachhta Coordinators (×4)</w:t>
            </w:r>
          </w:p>
        </w:tc>
        <w:tc>
          <w:tcPr>
            <w:tcW w:type="dxa" w:w="3969"/>
            <w:tcMar>
              <w:top w:w="70" w:type="dxa"/>
              <w:bottom w:w="70" w:type="dxa"/>
              <w:left w:w="100" w:type="dxa"/>
              <w:right w:w="100" w:type="dxa"/>
            </w:tcMar>
          </w:tcPr>
          <w:p>
            <w:r>
              <w:rPr>
                <w:color w:val="333333"/>
                <w:sz w:val="18"/>
              </w:rPr>
              <w:t>Ward-level field execution and coordination</w:t>
            </w:r>
          </w:p>
        </w:tc>
        <w:tc>
          <w:tcPr>
            <w:tcW w:type="dxa" w:w="1417"/>
            <w:tcMar>
              <w:top w:w="70" w:type="dxa"/>
              <w:bottom w:w="70" w:type="dxa"/>
              <w:left w:w="100" w:type="dxa"/>
              <w:right w:w="100" w:type="dxa"/>
            </w:tcMar>
          </w:tcPr>
          <w:p>
            <w:r>
              <w:rPr>
                <w:color w:val="333333"/>
                <w:sz w:val="18"/>
              </w:rPr>
              <w:t>₹12,00,000</w:t>
            </w:r>
          </w:p>
        </w:tc>
      </w:tr>
      <w:tr>
        <w:tc>
          <w:tcPr>
            <w:tcW w:type="dxa" w:w="567"/>
            <w:shd w:val="clear" w:color="auto" w:fill="E0F0EE"/>
            <w:tcMar>
              <w:top w:w="70" w:type="dxa"/>
              <w:bottom w:w="70" w:type="dxa"/>
              <w:left w:w="100" w:type="dxa"/>
              <w:right w:w="100" w:type="dxa"/>
            </w:tcMar>
          </w:tcPr>
          <w:p>
            <w:r>
              <w:rPr>
                <w:b/>
                <w:color w:val="333333"/>
                <w:sz w:val="20"/>
              </w:rPr>
            </w:r>
          </w:p>
        </w:tc>
        <w:tc>
          <w:tcPr>
            <w:tcW w:type="dxa" w:w="3685"/>
            <w:shd w:val="clear" w:color="auto" w:fill="E0F0EE"/>
            <w:tcMar>
              <w:top w:w="70" w:type="dxa"/>
              <w:bottom w:w="70" w:type="dxa"/>
              <w:left w:w="100" w:type="dxa"/>
              <w:right w:w="100" w:type="dxa"/>
            </w:tcMar>
          </w:tcPr>
          <w:p>
            <w:r>
              <w:rPr>
                <w:b/>
                <w:color w:val="333333"/>
                <w:sz w:val="20"/>
              </w:rPr>
              <w:t>Total — Project Team Salaries</w:t>
            </w:r>
          </w:p>
        </w:tc>
        <w:tc>
          <w:tcPr>
            <w:tcW w:type="dxa" w:w="3969"/>
            <w:shd w:val="clear" w:color="auto" w:fill="E0F0EE"/>
            <w:tcMar>
              <w:top w:w="70" w:type="dxa"/>
              <w:bottom w:w="70" w:type="dxa"/>
              <w:left w:w="100" w:type="dxa"/>
              <w:right w:w="100" w:type="dxa"/>
            </w:tcMar>
          </w:tcPr>
          <w:p>
            <w:r>
              <w:rPr>
                <w:b/>
                <w:color w:val="333333"/>
                <w:sz w:val="20"/>
              </w:rPr>
            </w:r>
          </w:p>
        </w:tc>
        <w:tc>
          <w:tcPr>
            <w:tcW w:type="dxa" w:w="1417"/>
            <w:shd w:val="clear" w:color="auto" w:fill="E0F0EE"/>
            <w:tcMar>
              <w:top w:w="70" w:type="dxa"/>
              <w:bottom w:w="70" w:type="dxa"/>
              <w:left w:w="100" w:type="dxa"/>
              <w:right w:w="100" w:type="dxa"/>
            </w:tcMar>
          </w:tcPr>
          <w:p>
            <w:r>
              <w:rPr>
                <w:b/>
                <w:color w:val="1B2A4A"/>
                <w:sz w:val="20"/>
              </w:rPr>
              <w:t>₹84,00,000</w:t>
            </w:r>
          </w:p>
        </w:tc>
      </w:tr>
      <w:tr>
        <w:tc>
          <w:tcPr>
            <w:tcW w:type="dxa" w:w="567"/>
            <w:shd w:val="clear" w:color="auto" w:fill="00877A"/>
            <w:tcMar>
              <w:top w:w="80" w:type="dxa"/>
              <w:bottom w:w="80" w:type="dxa"/>
              <w:left w:w="100" w:type="dxa"/>
              <w:right w:w="100" w:type="dxa"/>
            </w:tcMar>
          </w:tcPr>
          <w:p>
            <w:r>
              <w:rPr>
                <w:b/>
                <w:color w:val="FFFFFF"/>
                <w:sz w:val="20"/>
              </w:rPr>
              <w:t>F</w:t>
            </w:r>
          </w:p>
        </w:tc>
        <w:tc>
          <w:tcPr>
            <w:tcW w:type="dxa" w:w="3685"/>
            <w:shd w:val="clear" w:color="auto" w:fill="00877A"/>
            <w:tcMar>
              <w:top w:w="80" w:type="dxa"/>
              <w:bottom w:w="80" w:type="dxa"/>
              <w:left w:w="100" w:type="dxa"/>
              <w:right w:w="100" w:type="dxa"/>
            </w:tcMar>
          </w:tcPr>
          <w:p>
            <w:r>
              <w:rPr>
                <w:b/>
                <w:color w:val="FFFFFF"/>
                <w:sz w:val="20"/>
              </w:rPr>
              <w:t>ADMIN SUPPORT &amp; OVERHEAD (10%)</w:t>
            </w:r>
          </w:p>
        </w:tc>
        <w:tc>
          <w:tcPr>
            <w:tcW w:type="dxa" w:w="3969"/>
            <w:shd w:val="clear" w:color="auto" w:fill="00877A"/>
            <w:tcMar>
              <w:top w:w="80" w:type="dxa"/>
              <w:bottom w:w="80" w:type="dxa"/>
              <w:left w:w="100" w:type="dxa"/>
              <w:right w:w="100" w:type="dxa"/>
            </w:tcMar>
          </w:tcPr>
          <w:p>
            <w:r>
              <w:rPr>
                <w:b/>
                <w:color w:val="FFFFFF"/>
                <w:sz w:val="20"/>
              </w:rPr>
              <w:t>Proportionate head-office and organisational overhead</w:t>
            </w:r>
          </w:p>
        </w:tc>
        <w:tc>
          <w:tcPr>
            <w:tcW w:type="dxa" w:w="1417"/>
            <w:shd w:val="clear" w:color="auto" w:fill="00877A"/>
            <w:tcMar>
              <w:top w:w="80" w:type="dxa"/>
              <w:bottom w:w="80" w:type="dxa"/>
              <w:left w:w="100" w:type="dxa"/>
              <w:right w:w="100" w:type="dxa"/>
            </w:tcMar>
          </w:tcPr>
          <w:p>
            <w:r>
              <w:rPr>
                <w:b/>
                <w:color w:val="FFFFFF"/>
                <w:sz w:val="20"/>
              </w:rPr>
            </w:r>
          </w:p>
        </w:tc>
      </w:tr>
      <w:tr>
        <w:tc>
          <w:tcPr>
            <w:tcW w:type="dxa" w:w="567"/>
            <w:tcMar>
              <w:top w:w="70" w:type="dxa"/>
              <w:bottom w:w="70" w:type="dxa"/>
              <w:left w:w="100" w:type="dxa"/>
              <w:right w:w="100" w:type="dxa"/>
            </w:tcMar>
          </w:tcPr>
          <w:p>
            <w:r>
              <w:rPr>
                <w:color w:val="333333"/>
                <w:sz w:val="18"/>
              </w:rPr>
              <w:t>F1</w:t>
            </w:r>
          </w:p>
        </w:tc>
        <w:tc>
          <w:tcPr>
            <w:tcW w:type="dxa" w:w="3685"/>
            <w:tcMar>
              <w:top w:w="70" w:type="dxa"/>
              <w:bottom w:w="70" w:type="dxa"/>
              <w:left w:w="100" w:type="dxa"/>
              <w:right w:w="100" w:type="dxa"/>
            </w:tcMar>
          </w:tcPr>
          <w:p>
            <w:r>
              <w:rPr>
                <w:color w:val="333333"/>
                <w:sz w:val="18"/>
              </w:rPr>
              <w:t>Head Office Rent</w:t>
            </w:r>
          </w:p>
        </w:tc>
        <w:tc>
          <w:tcPr>
            <w:tcW w:type="dxa" w:w="3969"/>
            <w:tcMar>
              <w:top w:w="70" w:type="dxa"/>
              <w:bottom w:w="70" w:type="dxa"/>
              <w:left w:w="100" w:type="dxa"/>
              <w:right w:w="100" w:type="dxa"/>
            </w:tcMar>
          </w:tcPr>
          <w:p>
            <w:r>
              <w:rPr>
                <w:color w:val="333333"/>
                <w:sz w:val="18"/>
              </w:rPr>
              <w:t>Proportionate expense — head office</w:t>
            </w:r>
          </w:p>
        </w:tc>
        <w:tc>
          <w:tcPr>
            <w:tcW w:type="dxa" w:w="1417"/>
            <w:tcMar>
              <w:top w:w="70" w:type="dxa"/>
              <w:bottom w:w="70" w:type="dxa"/>
              <w:left w:w="100" w:type="dxa"/>
              <w:right w:w="100" w:type="dxa"/>
            </w:tcMar>
          </w:tcPr>
          <w:p>
            <w:r>
              <w:rPr>
                <w:color w:val="333333"/>
                <w:sz w:val="18"/>
              </w:rPr>
              <w:t>₹4,80,000</w:t>
            </w:r>
          </w:p>
        </w:tc>
      </w:tr>
      <w:tr>
        <w:tc>
          <w:tcPr>
            <w:tcW w:type="dxa" w:w="567"/>
            <w:tcMar>
              <w:top w:w="70" w:type="dxa"/>
              <w:bottom w:w="70" w:type="dxa"/>
              <w:left w:w="100" w:type="dxa"/>
              <w:right w:w="100" w:type="dxa"/>
            </w:tcMar>
          </w:tcPr>
          <w:p>
            <w:r>
              <w:rPr>
                <w:color w:val="333333"/>
                <w:sz w:val="18"/>
              </w:rPr>
              <w:t>F2</w:t>
            </w:r>
          </w:p>
        </w:tc>
        <w:tc>
          <w:tcPr>
            <w:tcW w:type="dxa" w:w="3685"/>
            <w:tcMar>
              <w:top w:w="70" w:type="dxa"/>
              <w:bottom w:w="70" w:type="dxa"/>
              <w:left w:w="100" w:type="dxa"/>
              <w:right w:w="100" w:type="dxa"/>
            </w:tcMar>
          </w:tcPr>
          <w:p>
            <w:r>
              <w:rPr>
                <w:color w:val="333333"/>
                <w:sz w:val="18"/>
              </w:rPr>
              <w:t>Office Utilities</w:t>
            </w:r>
          </w:p>
        </w:tc>
        <w:tc>
          <w:tcPr>
            <w:tcW w:type="dxa" w:w="3969"/>
            <w:tcMar>
              <w:top w:w="70" w:type="dxa"/>
              <w:bottom w:w="70" w:type="dxa"/>
              <w:left w:w="100" w:type="dxa"/>
              <w:right w:w="100" w:type="dxa"/>
            </w:tcMar>
          </w:tcPr>
          <w:p>
            <w:r>
              <w:rPr>
                <w:color w:val="333333"/>
                <w:sz w:val="18"/>
              </w:rPr>
              <w:t>Electricity, water, power — proportionate</w:t>
            </w:r>
          </w:p>
        </w:tc>
        <w:tc>
          <w:tcPr>
            <w:tcW w:type="dxa" w:w="1417"/>
            <w:tcMar>
              <w:top w:w="70" w:type="dxa"/>
              <w:bottom w:w="70" w:type="dxa"/>
              <w:left w:w="100" w:type="dxa"/>
              <w:right w:w="100" w:type="dxa"/>
            </w:tcMar>
          </w:tcPr>
          <w:p>
            <w:r>
              <w:rPr>
                <w:color w:val="333333"/>
                <w:sz w:val="18"/>
              </w:rPr>
              <w:t>₹96,000</w:t>
            </w:r>
          </w:p>
        </w:tc>
      </w:tr>
      <w:tr>
        <w:tc>
          <w:tcPr>
            <w:tcW w:type="dxa" w:w="567"/>
            <w:tcMar>
              <w:top w:w="70" w:type="dxa"/>
              <w:bottom w:w="70" w:type="dxa"/>
              <w:left w:w="100" w:type="dxa"/>
              <w:right w:w="100" w:type="dxa"/>
            </w:tcMar>
          </w:tcPr>
          <w:p>
            <w:r>
              <w:rPr>
                <w:color w:val="333333"/>
                <w:sz w:val="18"/>
              </w:rPr>
              <w:t>F3</w:t>
            </w:r>
          </w:p>
        </w:tc>
        <w:tc>
          <w:tcPr>
            <w:tcW w:type="dxa" w:w="3685"/>
            <w:tcMar>
              <w:top w:w="70" w:type="dxa"/>
              <w:bottom w:w="70" w:type="dxa"/>
              <w:left w:w="100" w:type="dxa"/>
              <w:right w:w="100" w:type="dxa"/>
            </w:tcMar>
          </w:tcPr>
          <w:p>
            <w:r>
              <w:rPr>
                <w:color w:val="333333"/>
                <w:sz w:val="18"/>
              </w:rPr>
              <w:t>Office Maintenance</w:t>
            </w:r>
          </w:p>
        </w:tc>
        <w:tc>
          <w:tcPr>
            <w:tcW w:type="dxa" w:w="3969"/>
            <w:tcMar>
              <w:top w:w="70" w:type="dxa"/>
              <w:bottom w:w="70" w:type="dxa"/>
              <w:left w:w="100" w:type="dxa"/>
              <w:right w:w="100" w:type="dxa"/>
            </w:tcMar>
          </w:tcPr>
          <w:p>
            <w:r>
              <w:rPr>
                <w:color w:val="333333"/>
                <w:sz w:val="18"/>
              </w:rPr>
              <w:t>Service and maintenance — proportionate</w:t>
            </w:r>
          </w:p>
        </w:tc>
        <w:tc>
          <w:tcPr>
            <w:tcW w:type="dxa" w:w="1417"/>
            <w:tcMar>
              <w:top w:w="70" w:type="dxa"/>
              <w:bottom w:w="70" w:type="dxa"/>
              <w:left w:w="100" w:type="dxa"/>
              <w:right w:w="100" w:type="dxa"/>
            </w:tcMar>
          </w:tcPr>
          <w:p>
            <w:r>
              <w:rPr>
                <w:color w:val="333333"/>
                <w:sz w:val="18"/>
              </w:rPr>
              <w:t>₹84,000</w:t>
            </w:r>
          </w:p>
        </w:tc>
      </w:tr>
      <w:tr>
        <w:tc>
          <w:tcPr>
            <w:tcW w:type="dxa" w:w="567"/>
            <w:tcMar>
              <w:top w:w="70" w:type="dxa"/>
              <w:bottom w:w="70" w:type="dxa"/>
              <w:left w:w="100" w:type="dxa"/>
              <w:right w:w="100" w:type="dxa"/>
            </w:tcMar>
          </w:tcPr>
          <w:p>
            <w:r>
              <w:rPr>
                <w:color w:val="333333"/>
                <w:sz w:val="18"/>
              </w:rPr>
              <w:t>F4</w:t>
            </w:r>
          </w:p>
        </w:tc>
        <w:tc>
          <w:tcPr>
            <w:tcW w:type="dxa" w:w="3685"/>
            <w:tcMar>
              <w:top w:w="70" w:type="dxa"/>
              <w:bottom w:w="70" w:type="dxa"/>
              <w:left w:w="100" w:type="dxa"/>
              <w:right w:w="100" w:type="dxa"/>
            </w:tcMar>
          </w:tcPr>
          <w:p>
            <w:r>
              <w:rPr>
                <w:color w:val="333333"/>
                <w:sz w:val="18"/>
              </w:rPr>
              <w:t>Audit Fee</w:t>
            </w:r>
          </w:p>
        </w:tc>
        <w:tc>
          <w:tcPr>
            <w:tcW w:type="dxa" w:w="3969"/>
            <w:tcMar>
              <w:top w:w="70" w:type="dxa"/>
              <w:bottom w:w="70" w:type="dxa"/>
              <w:left w:w="100" w:type="dxa"/>
              <w:right w:w="100" w:type="dxa"/>
            </w:tcMar>
          </w:tcPr>
          <w:p>
            <w:r>
              <w:rPr>
                <w:color w:val="333333"/>
                <w:sz w:val="18"/>
              </w:rPr>
              <w:t>Statutory annual audit by registered CA firm</w:t>
            </w:r>
          </w:p>
        </w:tc>
        <w:tc>
          <w:tcPr>
            <w:tcW w:type="dxa" w:w="1417"/>
            <w:tcMar>
              <w:top w:w="70" w:type="dxa"/>
              <w:bottom w:w="70" w:type="dxa"/>
              <w:left w:w="100" w:type="dxa"/>
              <w:right w:w="100" w:type="dxa"/>
            </w:tcMar>
          </w:tcPr>
          <w:p>
            <w:r>
              <w:rPr>
                <w:color w:val="333333"/>
                <w:sz w:val="18"/>
              </w:rPr>
              <w:t>₹1,20,000</w:t>
            </w:r>
          </w:p>
        </w:tc>
      </w:tr>
      <w:tr>
        <w:tc>
          <w:tcPr>
            <w:tcW w:type="dxa" w:w="567"/>
            <w:tcMar>
              <w:top w:w="70" w:type="dxa"/>
              <w:bottom w:w="70" w:type="dxa"/>
              <w:left w:w="100" w:type="dxa"/>
              <w:right w:w="100" w:type="dxa"/>
            </w:tcMar>
          </w:tcPr>
          <w:p>
            <w:r>
              <w:rPr>
                <w:color w:val="333333"/>
                <w:sz w:val="18"/>
              </w:rPr>
              <w:t>F5</w:t>
            </w:r>
          </w:p>
        </w:tc>
        <w:tc>
          <w:tcPr>
            <w:tcW w:type="dxa" w:w="3685"/>
            <w:tcMar>
              <w:top w:w="70" w:type="dxa"/>
              <w:bottom w:w="70" w:type="dxa"/>
              <w:left w:w="100" w:type="dxa"/>
              <w:right w:w="100" w:type="dxa"/>
            </w:tcMar>
          </w:tcPr>
          <w:p>
            <w:r>
              <w:rPr>
                <w:color w:val="333333"/>
                <w:sz w:val="18"/>
              </w:rPr>
              <w:t>Finance, HR &amp; Compliance Support</w:t>
            </w:r>
          </w:p>
        </w:tc>
        <w:tc>
          <w:tcPr>
            <w:tcW w:type="dxa" w:w="3969"/>
            <w:tcMar>
              <w:top w:w="70" w:type="dxa"/>
              <w:bottom w:w="70" w:type="dxa"/>
              <w:left w:w="100" w:type="dxa"/>
              <w:right w:w="100" w:type="dxa"/>
            </w:tcMar>
          </w:tcPr>
          <w:p>
            <w:r>
              <w:rPr>
                <w:color w:val="333333"/>
                <w:sz w:val="18"/>
              </w:rPr>
              <w:t>Proportionate support-function salaries</w:t>
            </w:r>
          </w:p>
        </w:tc>
        <w:tc>
          <w:tcPr>
            <w:tcW w:type="dxa" w:w="1417"/>
            <w:tcMar>
              <w:top w:w="70" w:type="dxa"/>
              <w:bottom w:w="70" w:type="dxa"/>
              <w:left w:w="100" w:type="dxa"/>
              <w:right w:w="100" w:type="dxa"/>
            </w:tcMar>
          </w:tcPr>
          <w:p>
            <w:r>
              <w:rPr>
                <w:color w:val="333333"/>
                <w:sz w:val="18"/>
              </w:rPr>
              <w:t>₹6,00,000</w:t>
            </w:r>
          </w:p>
        </w:tc>
      </w:tr>
      <w:tr>
        <w:tc>
          <w:tcPr>
            <w:tcW w:type="dxa" w:w="567"/>
            <w:tcMar>
              <w:top w:w="70" w:type="dxa"/>
              <w:bottom w:w="70" w:type="dxa"/>
              <w:left w:w="100" w:type="dxa"/>
              <w:right w:w="100" w:type="dxa"/>
            </w:tcMar>
          </w:tcPr>
          <w:p>
            <w:r>
              <w:rPr>
                <w:color w:val="333333"/>
                <w:sz w:val="18"/>
              </w:rPr>
              <w:t>F6</w:t>
            </w:r>
          </w:p>
        </w:tc>
        <w:tc>
          <w:tcPr>
            <w:tcW w:type="dxa" w:w="3685"/>
            <w:tcMar>
              <w:top w:w="70" w:type="dxa"/>
              <w:bottom w:w="70" w:type="dxa"/>
              <w:left w:w="100" w:type="dxa"/>
              <w:right w:w="100" w:type="dxa"/>
            </w:tcMar>
          </w:tcPr>
          <w:p>
            <w:r>
              <w:rPr>
                <w:color w:val="333333"/>
                <w:sz w:val="18"/>
              </w:rPr>
              <w:t>IT &amp; Software Subscriptions</w:t>
            </w:r>
          </w:p>
        </w:tc>
        <w:tc>
          <w:tcPr>
            <w:tcW w:type="dxa" w:w="3969"/>
            <w:tcMar>
              <w:top w:w="70" w:type="dxa"/>
              <w:bottom w:w="70" w:type="dxa"/>
              <w:left w:w="100" w:type="dxa"/>
              <w:right w:w="100" w:type="dxa"/>
            </w:tcMar>
          </w:tcPr>
          <w:p>
            <w:r>
              <w:rPr>
                <w:color w:val="333333"/>
                <w:sz w:val="18"/>
              </w:rPr>
              <w:t>Digital tools and organisational connectivity</w:t>
            </w:r>
          </w:p>
        </w:tc>
        <w:tc>
          <w:tcPr>
            <w:tcW w:type="dxa" w:w="1417"/>
            <w:tcMar>
              <w:top w:w="70" w:type="dxa"/>
              <w:bottom w:w="70" w:type="dxa"/>
              <w:left w:w="100" w:type="dxa"/>
              <w:right w:w="100" w:type="dxa"/>
            </w:tcMar>
          </w:tcPr>
          <w:p>
            <w:r>
              <w:rPr>
                <w:color w:val="333333"/>
                <w:sz w:val="18"/>
              </w:rPr>
              <w:t>₹3,00,000</w:t>
            </w:r>
          </w:p>
        </w:tc>
      </w:tr>
      <w:tr>
        <w:tc>
          <w:tcPr>
            <w:tcW w:type="dxa" w:w="567"/>
            <w:tcMar>
              <w:top w:w="70" w:type="dxa"/>
              <w:bottom w:w="70" w:type="dxa"/>
              <w:left w:w="100" w:type="dxa"/>
              <w:right w:w="100" w:type="dxa"/>
            </w:tcMar>
          </w:tcPr>
          <w:p>
            <w:r>
              <w:rPr>
                <w:color w:val="333333"/>
                <w:sz w:val="18"/>
              </w:rPr>
              <w:t>F7</w:t>
            </w:r>
          </w:p>
        </w:tc>
        <w:tc>
          <w:tcPr>
            <w:tcW w:type="dxa" w:w="3685"/>
            <w:tcMar>
              <w:top w:w="70" w:type="dxa"/>
              <w:bottom w:w="70" w:type="dxa"/>
              <w:left w:w="100" w:type="dxa"/>
              <w:right w:w="100" w:type="dxa"/>
            </w:tcMar>
          </w:tcPr>
          <w:p>
            <w:r>
              <w:rPr>
                <w:color w:val="333333"/>
                <w:sz w:val="18"/>
              </w:rPr>
              <w:t>Statutory Filings &amp; Insurance</w:t>
            </w:r>
          </w:p>
        </w:tc>
        <w:tc>
          <w:tcPr>
            <w:tcW w:type="dxa" w:w="3969"/>
            <w:tcMar>
              <w:top w:w="70" w:type="dxa"/>
              <w:bottom w:w="70" w:type="dxa"/>
              <w:left w:w="100" w:type="dxa"/>
              <w:right w:w="100" w:type="dxa"/>
            </w:tcMar>
          </w:tcPr>
          <w:p>
            <w:r>
              <w:rPr>
                <w:color w:val="333333"/>
                <w:sz w:val="18"/>
              </w:rPr>
              <w:t>Compliance, legal and organisational insurance</w:t>
            </w:r>
          </w:p>
        </w:tc>
        <w:tc>
          <w:tcPr>
            <w:tcW w:type="dxa" w:w="1417"/>
            <w:tcMar>
              <w:top w:w="70" w:type="dxa"/>
              <w:bottom w:w="70" w:type="dxa"/>
              <w:left w:w="100" w:type="dxa"/>
              <w:right w:w="100" w:type="dxa"/>
            </w:tcMar>
          </w:tcPr>
          <w:p>
            <w:r>
              <w:rPr>
                <w:color w:val="333333"/>
                <w:sz w:val="18"/>
              </w:rPr>
              <w:t>₹2,40,000</w:t>
            </w:r>
          </w:p>
        </w:tc>
      </w:tr>
      <w:tr>
        <w:tc>
          <w:tcPr>
            <w:tcW w:type="dxa" w:w="567"/>
            <w:tcMar>
              <w:top w:w="70" w:type="dxa"/>
              <w:bottom w:w="70" w:type="dxa"/>
              <w:left w:w="100" w:type="dxa"/>
              <w:right w:w="100" w:type="dxa"/>
            </w:tcMar>
          </w:tcPr>
          <w:p>
            <w:r>
              <w:rPr>
                <w:color w:val="333333"/>
                <w:sz w:val="18"/>
              </w:rPr>
              <w:t>F8</w:t>
            </w:r>
          </w:p>
        </w:tc>
        <w:tc>
          <w:tcPr>
            <w:tcW w:type="dxa" w:w="3685"/>
            <w:tcMar>
              <w:top w:w="70" w:type="dxa"/>
              <w:bottom w:w="70" w:type="dxa"/>
              <w:left w:w="100" w:type="dxa"/>
              <w:right w:w="100" w:type="dxa"/>
            </w:tcMar>
          </w:tcPr>
          <w:p>
            <w:r>
              <w:rPr>
                <w:color w:val="333333"/>
                <w:sz w:val="18"/>
              </w:rPr>
              <w:t>Travel, Banking &amp; General Admin</w:t>
            </w:r>
          </w:p>
        </w:tc>
        <w:tc>
          <w:tcPr>
            <w:tcW w:type="dxa" w:w="3969"/>
            <w:tcMar>
              <w:top w:w="70" w:type="dxa"/>
              <w:bottom w:w="70" w:type="dxa"/>
              <w:left w:w="100" w:type="dxa"/>
              <w:right w:w="100" w:type="dxa"/>
            </w:tcMar>
          </w:tcPr>
          <w:p>
            <w:r>
              <w:rPr>
                <w:color w:val="333333"/>
                <w:sz w:val="18"/>
              </w:rPr>
              <w:t>Proportionate administrative overhead</w:t>
            </w:r>
          </w:p>
        </w:tc>
        <w:tc>
          <w:tcPr>
            <w:tcW w:type="dxa" w:w="1417"/>
            <w:tcMar>
              <w:top w:w="70" w:type="dxa"/>
              <w:bottom w:w="70" w:type="dxa"/>
              <w:left w:w="100" w:type="dxa"/>
              <w:right w:w="100" w:type="dxa"/>
            </w:tcMar>
          </w:tcPr>
          <w:p>
            <w:r>
              <w:rPr>
                <w:color w:val="333333"/>
                <w:sz w:val="18"/>
              </w:rPr>
              <w:t>₹1,80,000</w:t>
            </w:r>
          </w:p>
        </w:tc>
      </w:tr>
      <w:tr>
        <w:tc>
          <w:tcPr>
            <w:tcW w:type="dxa" w:w="567"/>
            <w:shd w:val="clear" w:color="auto" w:fill="E0F0EE"/>
            <w:tcMar>
              <w:top w:w="70" w:type="dxa"/>
              <w:bottom w:w="70" w:type="dxa"/>
              <w:left w:w="100" w:type="dxa"/>
              <w:right w:w="100" w:type="dxa"/>
            </w:tcMar>
          </w:tcPr>
          <w:p>
            <w:r>
              <w:rPr>
                <w:b/>
                <w:color w:val="333333"/>
                <w:sz w:val="20"/>
              </w:rPr>
            </w:r>
          </w:p>
        </w:tc>
        <w:tc>
          <w:tcPr>
            <w:tcW w:type="dxa" w:w="3685"/>
            <w:shd w:val="clear" w:color="auto" w:fill="E0F0EE"/>
            <w:tcMar>
              <w:top w:w="70" w:type="dxa"/>
              <w:bottom w:w="70" w:type="dxa"/>
              <w:left w:w="100" w:type="dxa"/>
              <w:right w:w="100" w:type="dxa"/>
            </w:tcMar>
          </w:tcPr>
          <w:p>
            <w:r>
              <w:rPr>
                <w:b/>
                <w:color w:val="333333"/>
                <w:sz w:val="20"/>
              </w:rPr>
              <w:t>Total — Admin &amp; Overhead</w:t>
            </w:r>
          </w:p>
        </w:tc>
        <w:tc>
          <w:tcPr>
            <w:tcW w:type="dxa" w:w="3969"/>
            <w:shd w:val="clear" w:color="auto" w:fill="E0F0EE"/>
            <w:tcMar>
              <w:top w:w="70" w:type="dxa"/>
              <w:bottom w:w="70" w:type="dxa"/>
              <w:left w:w="100" w:type="dxa"/>
              <w:right w:w="100" w:type="dxa"/>
            </w:tcMar>
          </w:tcPr>
          <w:p>
            <w:r>
              <w:rPr>
                <w:b/>
                <w:color w:val="333333"/>
                <w:sz w:val="20"/>
              </w:rPr>
            </w:r>
          </w:p>
        </w:tc>
        <w:tc>
          <w:tcPr>
            <w:tcW w:type="dxa" w:w="1417"/>
            <w:shd w:val="clear" w:color="auto" w:fill="E0F0EE"/>
            <w:tcMar>
              <w:top w:w="70" w:type="dxa"/>
              <w:bottom w:w="70" w:type="dxa"/>
              <w:left w:w="100" w:type="dxa"/>
              <w:right w:w="100" w:type="dxa"/>
            </w:tcMar>
          </w:tcPr>
          <w:p>
            <w:r>
              <w:rPr>
                <w:b/>
                <w:color w:val="1B2A4A"/>
                <w:sz w:val="20"/>
              </w:rPr>
              <w:t>₹21,00,000</w:t>
            </w:r>
          </w:p>
        </w:tc>
      </w:tr>
      <w:tr>
        <w:tc>
          <w:tcPr>
            <w:tcW w:type="dxa" w:w="567"/>
            <w:shd w:val="clear" w:color="auto" w:fill="1B2A4A"/>
            <w:tcMar>
              <w:top w:w="80" w:type="dxa"/>
              <w:bottom w:w="80" w:type="dxa"/>
              <w:left w:w="100" w:type="dxa"/>
              <w:right w:w="100" w:type="dxa"/>
            </w:tcMar>
          </w:tcPr>
          <w:p>
            <w:r>
              <w:rPr>
                <w:b/>
                <w:color w:val="FFFFFF"/>
                <w:sz w:val="20"/>
              </w:rPr>
            </w:r>
          </w:p>
        </w:tc>
        <w:tc>
          <w:tcPr>
            <w:tcW w:type="dxa" w:w="3685"/>
            <w:shd w:val="clear" w:color="auto" w:fill="1B2A4A"/>
            <w:tcMar>
              <w:top w:w="80" w:type="dxa"/>
              <w:bottom w:w="80" w:type="dxa"/>
              <w:left w:w="100" w:type="dxa"/>
              <w:right w:w="100" w:type="dxa"/>
            </w:tcMar>
          </w:tcPr>
          <w:p>
            <w:r>
              <w:rPr>
                <w:b/>
                <w:color w:val="FFFFFF"/>
                <w:sz w:val="20"/>
              </w:rPr>
              <w:t>GRAND TOTAL</w:t>
            </w:r>
          </w:p>
        </w:tc>
        <w:tc>
          <w:tcPr>
            <w:tcW w:type="dxa" w:w="3969"/>
            <w:shd w:val="clear" w:color="auto" w:fill="1B2A4A"/>
            <w:tcMar>
              <w:top w:w="80" w:type="dxa"/>
              <w:bottom w:w="80" w:type="dxa"/>
              <w:left w:w="100" w:type="dxa"/>
              <w:right w:w="100" w:type="dxa"/>
            </w:tcMar>
          </w:tcPr>
          <w:p>
            <w:r>
              <w:rPr>
                <w:b/>
                <w:color w:val="FFFFFF"/>
                <w:sz w:val="20"/>
              </w:rPr>
              <w:t>INR Two Crore Ten Lakh Only</w:t>
            </w:r>
          </w:p>
        </w:tc>
        <w:tc>
          <w:tcPr>
            <w:tcW w:type="dxa" w:w="1417"/>
            <w:shd w:val="clear" w:color="auto" w:fill="1B2A4A"/>
            <w:tcMar>
              <w:top w:w="80" w:type="dxa"/>
              <w:bottom w:w="80" w:type="dxa"/>
              <w:left w:w="100" w:type="dxa"/>
              <w:right w:w="100" w:type="dxa"/>
            </w:tcMar>
          </w:tcPr>
          <w:p>
            <w:r>
              <w:rPr>
                <w:b/>
                <w:color w:val="FFFFFF"/>
                <w:sz w:val="20"/>
              </w:rPr>
              <w:t>₹2,10,00,000</w:t>
            </w:r>
          </w:p>
        </w:tc>
      </w:tr>
    </w:tbl>
    <w:p>
      <w:pPr>
        <w:spacing w:after="160"/>
      </w:pPr>
    </w:p>
    <w:p>
      <w:pPr>
        <w:spacing w:before="40" w:after="120"/>
        <w:jc w:val="both"/>
      </w:pPr>
      <w:r>
        <w:rPr>
          <w:b w:val="0"/>
          <w:color w:val="333333"/>
          <w:sz w:val="20"/>
        </w:rPr>
        <w:t>Note: Admin overhead (F) is 10% of the total programme budget. All 47 line items have been independently verified. The detailed line-item budget with unit costs, quantities, and annotated comments is available in Annexure 1 (WasteWarriors_CocaCola_Annual_Budget_FY.xlsx).</w:t>
      </w:r>
    </w:p>
    <w:p>
      <w:r>
        <w:br w:type="page"/>
      </w:r>
    </w:p>
    <w:p>
      <w:pPr>
        <w:pStyle w:val="Heading1"/>
        <w:spacing w:before="360" w:after="120"/>
        <w:jc w:val="both"/>
      </w:pPr>
      <w:r>
        <w:rPr>
          <w:color w:val="000000"/>
        </w:rPr>
        <w:t>Organisational Due Diligence — Waste Warriors Society</w:t>
      </w:r>
    </w:p>
    <w:p>
      <w:pPr>
        <w:spacing w:after="80"/>
      </w:pP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B2A4A"/>
            <w:tcMar>
              <w:top w:w="70" w:type="dxa"/>
              <w:bottom w:w="70" w:type="dxa"/>
              <w:left w:w="80" w:type="dxa"/>
              <w:right w:w="80" w:type="dxa"/>
            </w:tcMar>
          </w:tcPr>
          <w:p>
            <w:r>
              <w:rPr>
                <w:b/>
                <w:color w:val="FFFFFF"/>
                <w:sz w:val="18"/>
              </w:rPr>
              <w:t>S. No.</w:t>
            </w:r>
          </w:p>
        </w:tc>
        <w:tc>
          <w:tcPr>
            <w:tcW w:type="dxa" w:w="1872"/>
            <w:shd w:val="clear" w:color="auto" w:fill="1B2A4A"/>
            <w:tcMar>
              <w:top w:w="70" w:type="dxa"/>
              <w:bottom w:w="70" w:type="dxa"/>
              <w:left w:w="80" w:type="dxa"/>
              <w:right w:w="80" w:type="dxa"/>
            </w:tcMar>
          </w:tcPr>
          <w:p>
            <w:r>
              <w:rPr>
                <w:b/>
                <w:color w:val="FFFFFF"/>
                <w:sz w:val="18"/>
              </w:rPr>
              <w:t>Particulars</w:t>
            </w:r>
          </w:p>
        </w:tc>
        <w:tc>
          <w:tcPr>
            <w:tcW w:type="dxa" w:w="1872"/>
            <w:shd w:val="clear" w:color="auto" w:fill="1B2A4A"/>
            <w:tcMar>
              <w:top w:w="70" w:type="dxa"/>
              <w:bottom w:w="70" w:type="dxa"/>
              <w:left w:w="80" w:type="dxa"/>
              <w:right w:w="80" w:type="dxa"/>
            </w:tcMar>
          </w:tcPr>
          <w:p>
            <w:r>
              <w:rPr>
                <w:b/>
                <w:color w:val="FFFFFF"/>
                <w:sz w:val="18"/>
              </w:rPr>
              <w:t>Applicable</w:t>
            </w:r>
          </w:p>
        </w:tc>
        <w:tc>
          <w:tcPr>
            <w:tcW w:type="dxa" w:w="1872"/>
            <w:shd w:val="clear" w:color="auto" w:fill="1B2A4A"/>
            <w:tcMar>
              <w:top w:w="70" w:type="dxa"/>
              <w:bottom w:w="70" w:type="dxa"/>
              <w:left w:w="80" w:type="dxa"/>
              <w:right w:w="80" w:type="dxa"/>
            </w:tcMar>
          </w:tcPr>
          <w:p>
            <w:r>
              <w:rPr>
                <w:b/>
                <w:color w:val="FFFFFF"/>
                <w:sz w:val="18"/>
              </w:rPr>
              <w:t>Registration Date</w:t>
            </w:r>
          </w:p>
        </w:tc>
        <w:tc>
          <w:tcPr>
            <w:tcW w:type="dxa" w:w="1872"/>
            <w:shd w:val="clear" w:color="auto" w:fill="1B2A4A"/>
            <w:tcMar>
              <w:top w:w="70" w:type="dxa"/>
              <w:bottom w:w="70" w:type="dxa"/>
              <w:left w:w="80" w:type="dxa"/>
              <w:right w:w="80" w:type="dxa"/>
            </w:tcMar>
          </w:tcPr>
          <w:p>
            <w:r>
              <w:rPr>
                <w:b/>
                <w:color w:val="FFFFFF"/>
                <w:sz w:val="18"/>
              </w:rPr>
              <w:t>Valid Until</w:t>
            </w:r>
          </w:p>
        </w:tc>
      </w:tr>
      <w:tr>
        <w:tc>
          <w:tcPr>
            <w:tcW w:type="dxa" w:w="454"/>
            <w:tcMar>
              <w:top w:w="60" w:type="dxa"/>
              <w:bottom w:w="60" w:type="dxa"/>
              <w:left w:w="80" w:type="dxa"/>
              <w:right w:w="80" w:type="dxa"/>
            </w:tcMar>
          </w:tcPr>
          <w:p>
            <w:r>
              <w:rPr>
                <w:b/>
                <w:color w:val="1B2A4A"/>
                <w:sz w:val="16"/>
              </w:rPr>
              <w:t>1</w:t>
            </w:r>
          </w:p>
        </w:tc>
        <w:tc>
          <w:tcPr>
            <w:tcW w:type="dxa" w:w="3685"/>
            <w:tcMar>
              <w:top w:w="60" w:type="dxa"/>
              <w:bottom w:w="60" w:type="dxa"/>
              <w:left w:w="80" w:type="dxa"/>
              <w:right w:w="80" w:type="dxa"/>
            </w:tcMar>
          </w:tcPr>
          <w:p>
            <w:r>
              <w:rPr>
                <w:color w:val="333333"/>
                <w:sz w:val="16"/>
              </w:rPr>
              <w:t>NGO Registration (Societies Act 1860 – No. 243/2012-13)</w:t>
            </w:r>
          </w:p>
        </w:tc>
        <w:tc>
          <w:tcPr>
            <w:tcW w:type="dxa" w:w="1701"/>
            <w:tcMar>
              <w:top w:w="60" w:type="dxa"/>
              <w:bottom w:w="60" w:type="dxa"/>
              <w:left w:w="80" w:type="dxa"/>
              <w:right w:w="80" w:type="dxa"/>
            </w:tcMar>
          </w:tcPr>
          <w:p>
            <w:r>
              <w:rPr>
                <w:color w:val="333333"/>
                <w:sz w:val="16"/>
              </w:rPr>
              <w:t>Yes</w:t>
            </w:r>
          </w:p>
        </w:tc>
        <w:tc>
          <w:tcPr>
            <w:tcW w:type="dxa" w:w="1417"/>
            <w:tcMar>
              <w:top w:w="60" w:type="dxa"/>
              <w:bottom w:w="60" w:type="dxa"/>
              <w:left w:w="80" w:type="dxa"/>
              <w:right w:w="80" w:type="dxa"/>
            </w:tcMar>
          </w:tcPr>
          <w:p>
            <w:r>
              <w:rPr>
                <w:color w:val="333333"/>
                <w:sz w:val="16"/>
              </w:rPr>
              <w:t>17 Nov 2012</w:t>
            </w:r>
          </w:p>
        </w:tc>
        <w:tc>
          <w:tcPr>
            <w:tcW w:type="dxa" w:w="1417"/>
            <w:tcMar>
              <w:top w:w="60" w:type="dxa"/>
              <w:bottom w:w="60" w:type="dxa"/>
              <w:left w:w="80" w:type="dxa"/>
              <w:right w:w="80" w:type="dxa"/>
            </w:tcMar>
          </w:tcPr>
          <w:p>
            <w:r>
              <w:rPr>
                <w:color w:val="333333"/>
                <w:sz w:val="16"/>
              </w:rPr>
              <w:t>17 Nov 2027</w:t>
            </w:r>
          </w:p>
        </w:tc>
      </w:tr>
      <w:tr>
        <w:tc>
          <w:tcPr>
            <w:tcW w:type="dxa" w:w="454"/>
            <w:tcMar>
              <w:top w:w="60" w:type="dxa"/>
              <w:bottom w:w="60" w:type="dxa"/>
              <w:left w:w="80" w:type="dxa"/>
              <w:right w:w="80" w:type="dxa"/>
            </w:tcMar>
          </w:tcPr>
          <w:p>
            <w:r>
              <w:rPr>
                <w:b/>
                <w:color w:val="1B2A4A"/>
                <w:sz w:val="16"/>
              </w:rPr>
              <w:t>2</w:t>
            </w:r>
          </w:p>
        </w:tc>
        <w:tc>
          <w:tcPr>
            <w:tcW w:type="dxa" w:w="3685"/>
            <w:tcMar>
              <w:top w:w="60" w:type="dxa"/>
              <w:bottom w:w="60" w:type="dxa"/>
              <w:left w:w="80" w:type="dxa"/>
              <w:right w:w="80" w:type="dxa"/>
            </w:tcMar>
          </w:tcPr>
          <w:p>
            <w:r>
              <w:rPr>
                <w:color w:val="333333"/>
                <w:sz w:val="16"/>
              </w:rPr>
              <w:t>Permanent Account Number (PAN)</w:t>
            </w:r>
          </w:p>
        </w:tc>
        <w:tc>
          <w:tcPr>
            <w:tcW w:type="dxa" w:w="1701"/>
            <w:tcMar>
              <w:top w:w="60" w:type="dxa"/>
              <w:bottom w:w="60" w:type="dxa"/>
              <w:left w:w="80" w:type="dxa"/>
              <w:right w:w="80" w:type="dxa"/>
            </w:tcMar>
          </w:tcPr>
          <w:p>
            <w:r>
              <w:rPr>
                <w:color w:val="333333"/>
                <w:sz w:val="16"/>
              </w:rPr>
              <w:t>Yes</w:t>
            </w:r>
          </w:p>
        </w:tc>
        <w:tc>
          <w:tcPr>
            <w:tcW w:type="dxa" w:w="1417"/>
            <w:tcMar>
              <w:top w:w="60" w:type="dxa"/>
              <w:bottom w:w="60" w:type="dxa"/>
              <w:left w:w="80" w:type="dxa"/>
              <w:right w:w="80" w:type="dxa"/>
            </w:tcMar>
          </w:tcPr>
          <w:p>
            <w:r>
              <w:rPr>
                <w:color w:val="333333"/>
                <w:sz w:val="16"/>
              </w:rPr>
              <w:t>17 Nov 2012</w:t>
            </w:r>
          </w:p>
        </w:tc>
        <w:tc>
          <w:tcPr>
            <w:tcW w:type="dxa" w:w="1417"/>
            <w:tcMar>
              <w:top w:w="60" w:type="dxa"/>
              <w:bottom w:w="60" w:type="dxa"/>
              <w:left w:w="80" w:type="dxa"/>
              <w:right w:w="80" w:type="dxa"/>
            </w:tcMar>
          </w:tcPr>
          <w:p>
            <w:r>
              <w:rPr>
                <w:color w:val="333333"/>
                <w:sz w:val="16"/>
              </w:rPr>
              <w:t>Perpetual</w:t>
            </w:r>
          </w:p>
        </w:tc>
      </w:tr>
      <w:tr>
        <w:tc>
          <w:tcPr>
            <w:tcW w:type="dxa" w:w="454"/>
            <w:tcMar>
              <w:top w:w="60" w:type="dxa"/>
              <w:bottom w:w="60" w:type="dxa"/>
              <w:left w:w="80" w:type="dxa"/>
              <w:right w:w="80" w:type="dxa"/>
            </w:tcMar>
          </w:tcPr>
          <w:p>
            <w:r>
              <w:rPr>
                <w:b/>
                <w:color w:val="1B2A4A"/>
                <w:sz w:val="16"/>
              </w:rPr>
              <w:t>3</w:t>
            </w:r>
          </w:p>
        </w:tc>
        <w:tc>
          <w:tcPr>
            <w:tcW w:type="dxa" w:w="3685"/>
            <w:tcMar>
              <w:top w:w="60" w:type="dxa"/>
              <w:bottom w:w="60" w:type="dxa"/>
              <w:left w:w="80" w:type="dxa"/>
              <w:right w:w="80" w:type="dxa"/>
            </w:tcMar>
          </w:tcPr>
          <w:p>
            <w:r>
              <w:rPr>
                <w:color w:val="333333"/>
                <w:sz w:val="16"/>
              </w:rPr>
              <w:t>Certificate under Section 12A (Income Tax)</w:t>
            </w:r>
          </w:p>
        </w:tc>
        <w:tc>
          <w:tcPr>
            <w:tcW w:type="dxa" w:w="1701"/>
            <w:tcMar>
              <w:top w:w="60" w:type="dxa"/>
              <w:bottom w:w="60" w:type="dxa"/>
              <w:left w:w="80" w:type="dxa"/>
              <w:right w:w="80" w:type="dxa"/>
            </w:tcMar>
          </w:tcPr>
          <w:p>
            <w:r>
              <w:rPr>
                <w:color w:val="333333"/>
                <w:sz w:val="16"/>
              </w:rPr>
              <w:t>Yes</w:t>
            </w:r>
          </w:p>
        </w:tc>
        <w:tc>
          <w:tcPr>
            <w:tcW w:type="dxa" w:w="1417"/>
            <w:tcMar>
              <w:top w:w="60" w:type="dxa"/>
              <w:bottom w:w="60" w:type="dxa"/>
              <w:left w:w="80" w:type="dxa"/>
              <w:right w:w="80" w:type="dxa"/>
            </w:tcMar>
          </w:tcPr>
          <w:p>
            <w:r>
              <w:rPr>
                <w:color w:val="333333"/>
                <w:sz w:val="16"/>
              </w:rPr>
              <w:t>02 Mar 2026</w:t>
            </w:r>
          </w:p>
        </w:tc>
        <w:tc>
          <w:tcPr>
            <w:tcW w:type="dxa" w:w="1417"/>
            <w:tcMar>
              <w:top w:w="60" w:type="dxa"/>
              <w:bottom w:w="60" w:type="dxa"/>
              <w:left w:w="80" w:type="dxa"/>
              <w:right w:w="80" w:type="dxa"/>
            </w:tcMar>
          </w:tcPr>
          <w:p>
            <w:r>
              <w:rPr>
                <w:color w:val="333333"/>
                <w:sz w:val="16"/>
              </w:rPr>
              <w:t>31 Mar 2036</w:t>
            </w:r>
          </w:p>
        </w:tc>
      </w:tr>
      <w:tr>
        <w:tc>
          <w:tcPr>
            <w:tcW w:type="dxa" w:w="454"/>
            <w:tcMar>
              <w:top w:w="60" w:type="dxa"/>
              <w:bottom w:w="60" w:type="dxa"/>
              <w:left w:w="80" w:type="dxa"/>
              <w:right w:w="80" w:type="dxa"/>
            </w:tcMar>
          </w:tcPr>
          <w:p>
            <w:r>
              <w:rPr>
                <w:b/>
                <w:color w:val="1B2A4A"/>
                <w:sz w:val="16"/>
              </w:rPr>
              <w:t>4</w:t>
            </w:r>
          </w:p>
        </w:tc>
        <w:tc>
          <w:tcPr>
            <w:tcW w:type="dxa" w:w="3685"/>
            <w:tcMar>
              <w:top w:w="60" w:type="dxa"/>
              <w:bottom w:w="60" w:type="dxa"/>
              <w:left w:w="80" w:type="dxa"/>
              <w:right w:w="80" w:type="dxa"/>
            </w:tcMar>
          </w:tcPr>
          <w:p>
            <w:r>
              <w:rPr>
                <w:color w:val="333333"/>
                <w:sz w:val="16"/>
              </w:rPr>
              <w:t>Certificate under Section 80G (Tax Exemption for Donors)</w:t>
            </w:r>
          </w:p>
        </w:tc>
        <w:tc>
          <w:tcPr>
            <w:tcW w:type="dxa" w:w="1701"/>
            <w:tcMar>
              <w:top w:w="60" w:type="dxa"/>
              <w:bottom w:w="60" w:type="dxa"/>
              <w:left w:w="80" w:type="dxa"/>
              <w:right w:w="80" w:type="dxa"/>
            </w:tcMar>
          </w:tcPr>
          <w:p>
            <w:r>
              <w:rPr>
                <w:color w:val="333333"/>
                <w:sz w:val="16"/>
              </w:rPr>
              <w:t>Yes</w:t>
            </w:r>
          </w:p>
        </w:tc>
        <w:tc>
          <w:tcPr>
            <w:tcW w:type="dxa" w:w="1417"/>
            <w:tcMar>
              <w:top w:w="60" w:type="dxa"/>
              <w:bottom w:w="60" w:type="dxa"/>
              <w:left w:w="80" w:type="dxa"/>
              <w:right w:w="80" w:type="dxa"/>
            </w:tcMar>
          </w:tcPr>
          <w:p>
            <w:r>
              <w:rPr>
                <w:color w:val="333333"/>
                <w:sz w:val="16"/>
              </w:rPr>
              <w:t>02 Mar 2026</w:t>
            </w:r>
          </w:p>
        </w:tc>
        <w:tc>
          <w:tcPr>
            <w:tcW w:type="dxa" w:w="1417"/>
            <w:tcMar>
              <w:top w:w="60" w:type="dxa"/>
              <w:bottom w:w="60" w:type="dxa"/>
              <w:left w:w="80" w:type="dxa"/>
              <w:right w:w="80" w:type="dxa"/>
            </w:tcMar>
          </w:tcPr>
          <w:p>
            <w:r>
              <w:rPr>
                <w:color w:val="333333"/>
                <w:sz w:val="16"/>
              </w:rPr>
              <w:t>31 Mar 2031</w:t>
            </w:r>
          </w:p>
        </w:tc>
      </w:tr>
      <w:tr>
        <w:tc>
          <w:tcPr>
            <w:tcW w:type="dxa" w:w="454"/>
            <w:tcMar>
              <w:top w:w="60" w:type="dxa"/>
              <w:bottom w:w="60" w:type="dxa"/>
              <w:left w:w="80" w:type="dxa"/>
              <w:right w:w="80" w:type="dxa"/>
            </w:tcMar>
          </w:tcPr>
          <w:p>
            <w:r>
              <w:rPr>
                <w:b/>
                <w:color w:val="1B2A4A"/>
                <w:sz w:val="16"/>
              </w:rPr>
              <w:t>5</w:t>
            </w:r>
          </w:p>
        </w:tc>
        <w:tc>
          <w:tcPr>
            <w:tcW w:type="dxa" w:w="3685"/>
            <w:tcMar>
              <w:top w:w="60" w:type="dxa"/>
              <w:bottom w:w="60" w:type="dxa"/>
              <w:left w:w="80" w:type="dxa"/>
              <w:right w:w="80" w:type="dxa"/>
            </w:tcMar>
          </w:tcPr>
          <w:p>
            <w:r>
              <w:rPr>
                <w:color w:val="333333"/>
                <w:sz w:val="16"/>
              </w:rPr>
              <w:t>CSR-1 Registration (MCA Portal)</w:t>
            </w:r>
          </w:p>
        </w:tc>
        <w:tc>
          <w:tcPr>
            <w:tcW w:type="dxa" w:w="1701"/>
            <w:tcMar>
              <w:top w:w="60" w:type="dxa"/>
              <w:bottom w:w="60" w:type="dxa"/>
              <w:left w:w="80" w:type="dxa"/>
              <w:right w:w="80" w:type="dxa"/>
            </w:tcMar>
          </w:tcPr>
          <w:p>
            <w:r>
              <w:rPr>
                <w:color w:val="333333"/>
                <w:sz w:val="16"/>
              </w:rPr>
              <w:t>Yes</w:t>
            </w:r>
          </w:p>
        </w:tc>
        <w:tc>
          <w:tcPr>
            <w:tcW w:type="dxa" w:w="1417"/>
            <w:tcMar>
              <w:top w:w="60" w:type="dxa"/>
              <w:bottom w:w="60" w:type="dxa"/>
              <w:left w:w="80" w:type="dxa"/>
              <w:right w:w="80" w:type="dxa"/>
            </w:tcMar>
          </w:tcPr>
          <w:p>
            <w:r>
              <w:rPr>
                <w:color w:val="333333"/>
                <w:sz w:val="16"/>
              </w:rPr>
              <w:t>19 Apr 2021</w:t>
            </w:r>
          </w:p>
        </w:tc>
        <w:tc>
          <w:tcPr>
            <w:tcW w:type="dxa" w:w="1417"/>
            <w:tcMar>
              <w:top w:w="60" w:type="dxa"/>
              <w:bottom w:w="60" w:type="dxa"/>
              <w:left w:w="80" w:type="dxa"/>
              <w:right w:w="80" w:type="dxa"/>
            </w:tcMar>
          </w:tcPr>
          <w:p>
            <w:r>
              <w:rPr>
                <w:color w:val="333333"/>
                <w:sz w:val="16"/>
              </w:rPr>
              <w:t>Perpetual</w:t>
            </w:r>
          </w:p>
        </w:tc>
      </w:tr>
      <w:tr>
        <w:tc>
          <w:tcPr>
            <w:tcW w:type="dxa" w:w="454"/>
            <w:tcMar>
              <w:top w:w="60" w:type="dxa"/>
              <w:bottom w:w="60" w:type="dxa"/>
              <w:left w:w="80" w:type="dxa"/>
              <w:right w:w="80" w:type="dxa"/>
            </w:tcMar>
          </w:tcPr>
          <w:p>
            <w:r>
              <w:rPr>
                <w:b/>
                <w:color w:val="1B2A4A"/>
                <w:sz w:val="16"/>
              </w:rPr>
              <w:t>6</w:t>
            </w:r>
          </w:p>
        </w:tc>
        <w:tc>
          <w:tcPr>
            <w:tcW w:type="dxa" w:w="3685"/>
            <w:tcMar>
              <w:top w:w="60" w:type="dxa"/>
              <w:bottom w:w="60" w:type="dxa"/>
              <w:left w:w="80" w:type="dxa"/>
              <w:right w:w="80" w:type="dxa"/>
            </w:tcMar>
          </w:tcPr>
          <w:p>
            <w:r>
              <w:rPr>
                <w:color w:val="333333"/>
                <w:sz w:val="16"/>
              </w:rPr>
              <w:t>FCRA Registration &amp; Renewal</w:t>
            </w:r>
          </w:p>
        </w:tc>
        <w:tc>
          <w:tcPr>
            <w:tcW w:type="dxa" w:w="1701"/>
            <w:tcMar>
              <w:top w:w="60" w:type="dxa"/>
              <w:bottom w:w="60" w:type="dxa"/>
              <w:left w:w="80" w:type="dxa"/>
              <w:right w:w="80" w:type="dxa"/>
            </w:tcMar>
          </w:tcPr>
          <w:p>
            <w:r>
              <w:rPr>
                <w:color w:val="333333"/>
                <w:sz w:val="16"/>
              </w:rPr>
              <w:t>Yes</w:t>
            </w:r>
          </w:p>
        </w:tc>
        <w:tc>
          <w:tcPr>
            <w:tcW w:type="dxa" w:w="1417"/>
            <w:tcMar>
              <w:top w:w="60" w:type="dxa"/>
              <w:bottom w:w="60" w:type="dxa"/>
              <w:left w:w="80" w:type="dxa"/>
              <w:right w:w="80" w:type="dxa"/>
            </w:tcMar>
          </w:tcPr>
          <w:p>
            <w:r>
              <w:rPr>
                <w:color w:val="333333"/>
                <w:sz w:val="16"/>
              </w:rPr>
              <w:t>15 Nov 2017</w:t>
            </w:r>
          </w:p>
        </w:tc>
        <w:tc>
          <w:tcPr>
            <w:tcW w:type="dxa" w:w="1417"/>
            <w:tcMar>
              <w:top w:w="60" w:type="dxa"/>
              <w:bottom w:w="60" w:type="dxa"/>
              <w:left w:w="80" w:type="dxa"/>
              <w:right w:w="80" w:type="dxa"/>
            </w:tcMar>
          </w:tcPr>
          <w:p>
            <w:r>
              <w:rPr>
                <w:color w:val="333333"/>
                <w:sz w:val="16"/>
              </w:rPr>
              <w:t>01 Apr 2028</w:t>
            </w:r>
          </w:p>
        </w:tc>
      </w:tr>
      <w:tr>
        <w:tc>
          <w:tcPr>
            <w:tcW w:type="dxa" w:w="454"/>
            <w:tcMar>
              <w:top w:w="60" w:type="dxa"/>
              <w:bottom w:w="60" w:type="dxa"/>
              <w:left w:w="80" w:type="dxa"/>
              <w:right w:w="80" w:type="dxa"/>
            </w:tcMar>
          </w:tcPr>
          <w:p>
            <w:r>
              <w:rPr>
                <w:b/>
                <w:color w:val="1B2A4A"/>
                <w:sz w:val="16"/>
              </w:rPr>
              <w:t>7</w:t>
            </w:r>
          </w:p>
        </w:tc>
        <w:tc>
          <w:tcPr>
            <w:tcW w:type="dxa" w:w="3685"/>
            <w:tcMar>
              <w:top w:w="60" w:type="dxa"/>
              <w:bottom w:w="60" w:type="dxa"/>
              <w:left w:w="80" w:type="dxa"/>
              <w:right w:w="80" w:type="dxa"/>
            </w:tcMar>
          </w:tcPr>
          <w:p>
            <w:r>
              <w:rPr>
                <w:color w:val="333333"/>
                <w:sz w:val="16"/>
              </w:rPr>
              <w:t>Employee Provident Fund (EPF)</w:t>
            </w:r>
          </w:p>
        </w:tc>
        <w:tc>
          <w:tcPr>
            <w:tcW w:type="dxa" w:w="1701"/>
            <w:tcMar>
              <w:top w:w="60" w:type="dxa"/>
              <w:bottom w:w="60" w:type="dxa"/>
              <w:left w:w="80" w:type="dxa"/>
              <w:right w:w="80" w:type="dxa"/>
            </w:tcMar>
          </w:tcPr>
          <w:p>
            <w:r>
              <w:rPr>
                <w:color w:val="333333"/>
                <w:sz w:val="16"/>
              </w:rPr>
              <w:t>Yes</w:t>
            </w:r>
          </w:p>
        </w:tc>
        <w:tc>
          <w:tcPr>
            <w:tcW w:type="dxa" w:w="1417"/>
            <w:tcMar>
              <w:top w:w="60" w:type="dxa"/>
              <w:bottom w:w="60" w:type="dxa"/>
              <w:left w:w="80" w:type="dxa"/>
              <w:right w:w="80" w:type="dxa"/>
            </w:tcMar>
          </w:tcPr>
          <w:p>
            <w:r>
              <w:rPr>
                <w:color w:val="333333"/>
                <w:sz w:val="16"/>
              </w:rPr>
              <w:t>27 Nov 2015</w:t>
            </w:r>
          </w:p>
        </w:tc>
        <w:tc>
          <w:tcPr>
            <w:tcW w:type="dxa" w:w="1417"/>
            <w:tcMar>
              <w:top w:w="60" w:type="dxa"/>
              <w:bottom w:w="60" w:type="dxa"/>
              <w:left w:w="80" w:type="dxa"/>
              <w:right w:w="80" w:type="dxa"/>
            </w:tcMar>
          </w:tcPr>
          <w:p>
            <w:r>
              <w:rPr>
                <w:color w:val="333333"/>
                <w:sz w:val="16"/>
              </w:rPr>
              <w:t>Perpetual</w:t>
            </w:r>
          </w:p>
        </w:tc>
      </w:tr>
      <w:tr>
        <w:tc>
          <w:tcPr>
            <w:tcW w:type="dxa" w:w="454"/>
            <w:tcMar>
              <w:top w:w="60" w:type="dxa"/>
              <w:bottom w:w="60" w:type="dxa"/>
              <w:left w:w="80" w:type="dxa"/>
              <w:right w:w="80" w:type="dxa"/>
            </w:tcMar>
          </w:tcPr>
          <w:p>
            <w:r>
              <w:rPr>
                <w:b/>
                <w:color w:val="1B2A4A"/>
                <w:sz w:val="16"/>
              </w:rPr>
              <w:t>8</w:t>
            </w:r>
          </w:p>
        </w:tc>
        <w:tc>
          <w:tcPr>
            <w:tcW w:type="dxa" w:w="3685"/>
            <w:tcMar>
              <w:top w:w="60" w:type="dxa"/>
              <w:bottom w:w="60" w:type="dxa"/>
              <w:left w:w="80" w:type="dxa"/>
              <w:right w:w="80" w:type="dxa"/>
            </w:tcMar>
          </w:tcPr>
          <w:p>
            <w:r>
              <w:rPr>
                <w:color w:val="333333"/>
                <w:sz w:val="16"/>
              </w:rPr>
              <w:t>Audited Balance Sheet (last 3 financial years)</w:t>
            </w:r>
          </w:p>
        </w:tc>
        <w:tc>
          <w:tcPr>
            <w:tcW w:type="dxa" w:w="1701"/>
            <w:tcMar>
              <w:top w:w="60" w:type="dxa"/>
              <w:bottom w:w="60" w:type="dxa"/>
              <w:left w:w="80" w:type="dxa"/>
              <w:right w:w="80" w:type="dxa"/>
            </w:tcMar>
          </w:tcPr>
          <w:p>
            <w:r>
              <w:rPr>
                <w:color w:val="333333"/>
                <w:sz w:val="16"/>
              </w:rPr>
              <w:t>Yes</w:t>
            </w:r>
          </w:p>
        </w:tc>
        <w:tc>
          <w:tcPr>
            <w:tcW w:type="dxa" w:w="1417"/>
            <w:tcMar>
              <w:top w:w="60" w:type="dxa"/>
              <w:bottom w:w="60" w:type="dxa"/>
              <w:left w:w="80" w:type="dxa"/>
              <w:right w:w="80" w:type="dxa"/>
            </w:tcMar>
          </w:tcPr>
          <w:p>
            <w:r>
              <w:rPr>
                <w:color w:val="333333"/>
                <w:sz w:val="16"/>
              </w:rPr>
              <w:t>—</w:t>
            </w:r>
          </w:p>
        </w:tc>
        <w:tc>
          <w:tcPr>
            <w:tcW w:type="dxa" w:w="1417"/>
            <w:tcMar>
              <w:top w:w="60" w:type="dxa"/>
              <w:bottom w:w="60" w:type="dxa"/>
              <w:left w:w="80" w:type="dxa"/>
              <w:right w:w="80" w:type="dxa"/>
            </w:tcMar>
          </w:tcPr>
          <w:p>
            <w:r>
              <w:rPr>
                <w:color w:val="333333"/>
                <w:sz w:val="16"/>
              </w:rPr>
              <w:t>—</w:t>
            </w:r>
          </w:p>
        </w:tc>
      </w:tr>
      <w:tr>
        <w:tc>
          <w:tcPr>
            <w:tcW w:type="dxa" w:w="454"/>
            <w:tcMar>
              <w:top w:w="60" w:type="dxa"/>
              <w:bottom w:w="60" w:type="dxa"/>
              <w:left w:w="80" w:type="dxa"/>
              <w:right w:w="80" w:type="dxa"/>
            </w:tcMar>
          </w:tcPr>
          <w:p>
            <w:r>
              <w:rPr>
                <w:b/>
                <w:color w:val="1B2A4A"/>
                <w:sz w:val="16"/>
              </w:rPr>
              <w:t>9</w:t>
            </w:r>
          </w:p>
        </w:tc>
        <w:tc>
          <w:tcPr>
            <w:tcW w:type="dxa" w:w="3685"/>
            <w:tcMar>
              <w:top w:w="60" w:type="dxa"/>
              <w:bottom w:w="60" w:type="dxa"/>
              <w:left w:w="80" w:type="dxa"/>
              <w:right w:w="80" w:type="dxa"/>
            </w:tcMar>
          </w:tcPr>
          <w:p>
            <w:r>
              <w:rPr>
                <w:color w:val="333333"/>
                <w:sz w:val="16"/>
              </w:rPr>
              <w:t>Key Donors &amp; Partners</w:t>
            </w:r>
          </w:p>
        </w:tc>
        <w:tc>
          <w:tcPr>
            <w:tcW w:type="dxa" w:w="1701"/>
            <w:tcMar>
              <w:top w:w="60" w:type="dxa"/>
              <w:bottom w:w="60" w:type="dxa"/>
              <w:left w:w="80" w:type="dxa"/>
              <w:right w:w="80" w:type="dxa"/>
            </w:tcMar>
          </w:tcPr>
          <w:p>
            <w:r>
              <w:rPr>
                <w:color w:val="333333"/>
                <w:sz w:val="16"/>
              </w:rPr>
              <w:t>Airbnb · MacArthur Foundation · HDFC Bank · Rohini Nilekani Philanthropies · Godrej Consumer Products · SBI Foundation · Parle Biscuits · HT Parekh Foundation · Lal Family Foundation · Make My Trip Foundation · Edelgive Foundation · Give India Foundation · Rain Matter Foundation · Ashraya Hastha Trust</w:t>
            </w:r>
          </w:p>
        </w:tc>
        <w:tc>
          <w:tcPr>
            <w:tcW w:type="dxa" w:w="1417"/>
            <w:tcMar>
              <w:top w:w="60" w:type="dxa"/>
              <w:bottom w:w="60" w:type="dxa"/>
              <w:left w:w="80" w:type="dxa"/>
              <w:right w:w="80" w:type="dxa"/>
            </w:tcMar>
          </w:tcPr>
          <w:p>
            <w:r>
              <w:rPr>
                <w:color w:val="333333"/>
                <w:sz w:val="16"/>
              </w:rPr>
            </w:r>
          </w:p>
        </w:tc>
        <w:tc>
          <w:tcPr>
            <w:tcW w:type="dxa" w:w="1417"/>
            <w:tcMar>
              <w:top w:w="60" w:type="dxa"/>
              <w:bottom w:w="60" w:type="dxa"/>
              <w:left w:w="80" w:type="dxa"/>
              <w:right w:w="80" w:type="dxa"/>
            </w:tcMar>
          </w:tcPr>
          <w:p>
            <w:r>
              <w:rPr>
                <w:color w:val="333333"/>
                <w:sz w:val="16"/>
              </w:rPr>
            </w:r>
          </w:p>
        </w:tc>
      </w:tr>
      <w:tr>
        <w:tc>
          <w:tcPr>
            <w:tcW w:type="dxa" w:w="454"/>
            <w:tcMar>
              <w:top w:w="60" w:type="dxa"/>
              <w:bottom w:w="60" w:type="dxa"/>
              <w:left w:w="80" w:type="dxa"/>
              <w:right w:w="80" w:type="dxa"/>
            </w:tcMar>
          </w:tcPr>
          <w:p>
            <w:r>
              <w:rPr>
                <w:b/>
                <w:color w:val="1B2A4A"/>
                <w:sz w:val="16"/>
              </w:rPr>
              <w:t>10</w:t>
            </w:r>
          </w:p>
        </w:tc>
        <w:tc>
          <w:tcPr>
            <w:tcW w:type="dxa" w:w="3685"/>
            <w:tcMar>
              <w:top w:w="60" w:type="dxa"/>
              <w:bottom w:w="60" w:type="dxa"/>
              <w:left w:w="80" w:type="dxa"/>
              <w:right w:w="80" w:type="dxa"/>
            </w:tcMar>
          </w:tcPr>
          <w:p>
            <w:r>
              <w:rPr>
                <w:color w:val="333333"/>
                <w:sz w:val="16"/>
              </w:rPr>
              <w:t>Registered Office</w:t>
            </w:r>
          </w:p>
        </w:tc>
        <w:tc>
          <w:tcPr>
            <w:tcW w:type="dxa" w:w="1701"/>
            <w:tcMar>
              <w:top w:w="60" w:type="dxa"/>
              <w:bottom w:w="60" w:type="dxa"/>
              <w:left w:w="80" w:type="dxa"/>
              <w:right w:w="80" w:type="dxa"/>
            </w:tcMar>
          </w:tcPr>
          <w:p>
            <w:r>
              <w:rPr>
                <w:color w:val="333333"/>
                <w:sz w:val="16"/>
              </w:rPr>
              <w:t>136/2/2 Shivam Vihar, Jakhan, Rajpur Road, Dehradun, Uttarakhand – 248001</w:t>
            </w:r>
          </w:p>
        </w:tc>
        <w:tc>
          <w:tcPr>
            <w:tcW w:type="dxa" w:w="1417"/>
            <w:tcMar>
              <w:top w:w="60" w:type="dxa"/>
              <w:bottom w:w="60" w:type="dxa"/>
              <w:left w:w="80" w:type="dxa"/>
              <w:right w:w="80" w:type="dxa"/>
            </w:tcMar>
          </w:tcPr>
          <w:p>
            <w:r>
              <w:rPr>
                <w:color w:val="333333"/>
                <w:sz w:val="16"/>
              </w:rPr>
            </w:r>
          </w:p>
        </w:tc>
        <w:tc>
          <w:tcPr>
            <w:tcW w:type="dxa" w:w="1417"/>
            <w:tcMar>
              <w:top w:w="60" w:type="dxa"/>
              <w:bottom w:w="60" w:type="dxa"/>
              <w:left w:w="80" w:type="dxa"/>
              <w:right w:w="80" w:type="dxa"/>
            </w:tcMar>
          </w:tcPr>
          <w:p>
            <w:r>
              <w:rPr>
                <w:color w:val="333333"/>
                <w:sz w:val="16"/>
              </w:rPr>
            </w:r>
          </w:p>
        </w:tc>
      </w:tr>
    </w:tbl>
    <w:p>
      <w:pPr>
        <w:spacing w:after="160"/>
      </w:pPr>
    </w:p>
    <w:p>
      <w:pPr>
        <w:spacing w:before="40" w:after="120"/>
        <w:jc w:val="both"/>
      </w:pPr>
      <w:r>
        <w:rPr>
          <w:b w:val="0"/>
          <w:color w:val="333333"/>
          <w:sz w:val="20"/>
        </w:rPr>
        <w:t>Complete audited financial statements for the last three financial years, board composition, annual reports, and programme evaluation reports are available on request.</w:t>
      </w:r>
    </w:p>
    <w:p>
      <w:r>
        <w:br w:type="page"/>
      </w:r>
    </w:p>
    <w:p>
      <w:pPr>
        <w:spacing w:after="600"/>
      </w:pPr>
    </w:p>
    <w:p>
      <w:pPr>
        <w:spacing w:before="0" w:after="120"/>
        <w:jc w:val="center"/>
      </w:pPr>
      <w:r>
        <w:rPr>
          <w:b/>
          <w:sz w:val="30"/>
        </w:rPr>
        <w:t>OUR SINCERE GRATITUDE</w:t>
      </w:r>
    </w:p>
    <w:p>
      <w:pPr>
        <w:spacing w:before="0" w:after="240"/>
        <w:jc w:val="center"/>
      </w:pPr>
      <w:r>
        <w:rPr>
          <w:sz w:val="24"/>
        </w:rPr>
        <w:t>for considering this proposal.</w:t>
      </w:r>
    </w:p>
    <w:p>
      <w:pPr>
        <w:spacing w:before="0" w:after="800"/>
        <w:jc w:val="center"/>
      </w:pPr>
      <w:r>
        <w:rPr>
          <w:i/>
          <w:color w:val="00877A"/>
          <w:sz w:val="24"/>
        </w:rPr>
        <w:t>Dharamshala's mountains deserve better than being measured by the waste at their base. Together, we can change that.</w:t>
      </w:r>
    </w:p>
    <w:p>
      <w:pPr>
        <w:pStyle w:val="Heading1"/>
        <w:spacing w:before="360" w:after="120"/>
        <w:jc w:val="both"/>
      </w:pPr>
      <w:r>
        <w:rPr>
          <w:color w:val="2D6A4F"/>
        </w:rPr>
        <w:t>For Queries &amp; Next Steps</w:t>
      </w:r>
    </w:p>
    <w:p>
      <w:pPr>
        <w:spacing w:after="120"/>
      </w:pPr>
    </w:p>
    <w:tbl>
      <w:tblPr>
        <w:tblW w:type="auto" w:w="0"/>
        <w:jc w:val="center"/>
        <w:tblLook w:firstColumn="1" w:firstRow="1" w:lastColumn="0" w:lastRow="0" w:noHBand="0" w:noVBand="1" w:val="04A0"/>
      </w:tblPr>
      <w:tblGrid>
        <w:gridCol w:w="4680"/>
        <w:gridCol w:w="4680"/>
      </w:tblGrid>
      <w:tr>
        <w:tc>
          <w:tcPr>
            <w:tcW w:type="dxa" w:w="4680"/>
            <w:shd w:val="clear" w:color="auto" w:fill="FFF2CC"/>
            <w:tcMar>
              <w:top w:w="120" w:type="dxa"/>
              <w:bottom w:w="120" w:type="dxa"/>
              <w:left w:w="140" w:type="dxa"/>
              <w:right w:w="140" w:type="dxa"/>
            </w:tcMar>
          </w:tcPr>
          <w:p>
            <w:r>
              <w:rPr>
                <w:b/>
                <w:color w:val="1B2A4A"/>
                <w:sz w:val="20"/>
              </w:rPr>
              <w:t>Suraj Agarwal</w:t>
              <w:br/>
            </w:r>
            <w:r>
              <w:rPr>
                <w:color w:val="333333"/>
                <w:sz w:val="18"/>
              </w:rPr>
              <w:t>Associate Director, Partnerships &amp; Growth</w:t>
              <w:br/>
              <w:t>Waste Warriors Society</w:t>
              <w:br/>
            </w:r>
            <w:r>
              <w:rPr>
                <w:color w:val="00877A"/>
                <w:sz w:val="18"/>
              </w:rPr>
              <w:t>suraj.agarwal@wastewarriors.org</w:t>
            </w:r>
          </w:p>
        </w:tc>
        <w:tc>
          <w:tcPr>
            <w:tcW w:type="dxa" w:w="4680"/>
            <w:shd w:val="clear" w:color="auto" w:fill="FFF2CC"/>
            <w:tcMar>
              <w:top w:w="120" w:type="dxa"/>
              <w:bottom w:w="120" w:type="dxa"/>
              <w:left w:w="140" w:type="dxa"/>
              <w:right w:w="140" w:type="dxa"/>
            </w:tcMar>
          </w:tcPr>
          <w:p>
            <w:r>
              <w:rPr>
                <w:b/>
                <w:color w:val="1B2A4A"/>
                <w:sz w:val="20"/>
              </w:rPr>
              <w:t>Lehar Arora</w:t>
              <w:br/>
            </w:r>
            <w:r>
              <w:rPr>
                <w:color w:val="333333"/>
                <w:sz w:val="18"/>
              </w:rPr>
              <w:t>Manager, Partnerships</w:t>
              <w:br/>
              <w:t>Waste Warriors Society</w:t>
              <w:br/>
            </w:r>
            <w:r>
              <w:rPr>
                <w:color w:val="00877A"/>
                <w:sz w:val="18"/>
              </w:rPr>
              <w:t>lehar.arora@wastewarriors.org</w:t>
            </w:r>
          </w:p>
        </w:tc>
      </w:tr>
    </w:tbl>
    <w:p>
      <w:pPr>
        <w:spacing w:after="280"/>
      </w:pPr>
    </w:p>
    <w:p>
      <w:pPr>
        <w:spacing w:before="40" w:after="40"/>
        <w:jc w:val="center"/>
      </w:pPr>
      <w:r>
        <w:rPr>
          <w:b w:val="0"/>
          <w:color w:val="4B5563"/>
          <w:sz w:val="20"/>
        </w:rPr>
        <w:t>136/2/2 Shivam Vihar, Jakhan, Rajpur Road, Dehradun, Uttarakhand – 248001</w:t>
      </w:r>
    </w:p>
    <w:p>
      <w:pPr>
        <w:spacing w:before="40" w:after="80"/>
        <w:jc w:val="center"/>
      </w:pPr>
      <w:r>
        <w:rPr>
          <w:b w:val="0"/>
          <w:color w:val="4B5563"/>
          <w:sz w:val="20"/>
        </w:rPr>
        <w:t>+91 75057 63049  ·  partnerships@wastewarriors.org  ·  www.wastewarriors.org</w:t>
      </w:r>
    </w:p>
    <w:p>
      <w:pPr>
        <w:spacing w:before="40" w:after="40"/>
        <w:jc w:val="center"/>
      </w:pPr>
      <w:r>
        <w:rPr>
          <w:b w:val="0"/>
          <w:color w:val="4B5563"/>
          <w:sz w:val="16"/>
        </w:rPr>
        <w:t>Registered under Societies Registration Act 1860, No. 243/2012-2013</w:t>
      </w:r>
    </w:p>
    <w:sectPr w:rsidR="00FC693F" w:rsidRPr="0006063C" w:rsidSect="00034616">
      <w:pgSz w:w="12240" w:h="15840"/>
      <w:pgMar w:top="1157" w:right="1440" w:bottom="115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