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Forecast Flags &amp; Alerts — Reference</w:t>
      </w:r>
    </w:p>
    <w:p>
      <w:r>
        <w:rPr>
          <w:b w:val="0"/>
          <w:i/>
        </w:rPr>
        <w:t>Plusco Forecaster · how every flag and alert works: what triggers it, how it updates, its threshold, and where it appears.</w:t>
      </w:r>
    </w:p>
    <w:p>
      <w:r>
        <w:rPr>
          <w:b w:val="0"/>
          <w:i/>
        </w:rPr>
        <w:t>Amounts are in the client's own currency unless noted. QA Admin checks are the exception — they run cross-client and are normalized to CAD.</w:t>
      </w:r>
    </w:p>
    <w:p/>
    <w:p>
      <w:pPr>
        <w:pStyle w:val="Heading1"/>
      </w:pPr>
      <w:r>
        <w:t>1. The four categories at a glance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What it flags</w:t>
            </w:r>
          </w:p>
        </w:tc>
        <w:tc>
          <w:tcPr>
            <w:tcW w:type="dxa" w:w="1728"/>
          </w:tcPr>
          <w:p>
            <w:r>
              <w:rPr>
                <w:b/>
              </w:rPr>
              <w:t>Saved?</w:t>
            </w:r>
          </w:p>
        </w:tc>
        <w:tc>
          <w:tcPr>
            <w:tcW w:type="dxa" w:w="1728"/>
          </w:tcPr>
          <w:p>
            <w:r>
              <w:rPr>
                <w:b/>
              </w:rPr>
              <w:t>Where you see it</w:t>
            </w:r>
          </w:p>
        </w:tc>
        <w:tc>
          <w:tcPr>
            <w:tcW w:type="dxa" w:w="1728"/>
          </w:tcPr>
          <w:p>
            <w:r>
              <w:rPr>
                <w:b/>
              </w:rPr>
              <w:t>Who</w:t>
            </w:r>
          </w:p>
        </w:tc>
      </w:tr>
      <w:tr>
        <w:tc>
          <w:tcPr>
            <w:tcW w:type="dxa" w:w="1728"/>
          </w:tcPr>
          <w:p>
            <w:r>
              <w:t>1 · QA Admin checks</w:t>
            </w:r>
          </w:p>
        </w:tc>
        <w:tc>
          <w:tcPr>
            <w:tcW w:type="dxa" w:w="1728"/>
          </w:tcPr>
          <w:p>
            <w:r>
              <w:t>Internal data consistency (commission, GAIA)</w:t>
            </w:r>
          </w:p>
        </w:tc>
        <w:tc>
          <w:tcPr>
            <w:tcW w:type="dxa" w:w="1728"/>
          </w:tcPr>
          <w:p>
            <w:r>
              <w:t>No (live)</w:t>
            </w:r>
          </w:p>
        </w:tc>
        <w:tc>
          <w:tcPr>
            <w:tcW w:type="dxa" w:w="1728"/>
          </w:tcPr>
          <w:p>
            <w:r>
              <w:t>Admin → QA</w:t>
            </w:r>
          </w:p>
        </w:tc>
        <w:tc>
          <w:tcPr>
            <w:tcW w:type="dxa" w:w="1728"/>
          </w:tcPr>
          <w:p>
            <w:r>
              <w:t>Admins</w:t>
            </w:r>
          </w:p>
        </w:tc>
      </w:tr>
      <w:tr>
        <w:tc>
          <w:tcPr>
            <w:tcW w:type="dxa" w:w="1728"/>
          </w:tcPr>
          <w:p>
            <w:r>
              <w:t>2 · QA BL alerts</w:t>
            </w:r>
          </w:p>
        </w:tc>
        <w:tc>
          <w:tcPr>
            <w:tcW w:type="dxa" w:w="1728"/>
          </w:tcPr>
          <w:p>
            <w:r>
              <w:t>Labs &gt; media, MediaOcean &gt; forecast (per month)</w:t>
            </w:r>
          </w:p>
        </w:tc>
        <w:tc>
          <w:tcPr>
            <w:tcW w:type="dxa" w:w="1728"/>
          </w:tcPr>
          <w:p>
            <w:r>
              <w:t>No (live)</w:t>
            </w:r>
          </w:p>
        </w:tc>
        <w:tc>
          <w:tcPr>
            <w:tcW w:type="dxa" w:w="1728"/>
          </w:tcPr>
          <w:p>
            <w:r>
              <w:t>Forecast banners + Flags page §1</w:t>
            </w:r>
          </w:p>
        </w:tc>
        <w:tc>
          <w:tcPr>
            <w:tcW w:type="dxa" w:w="1728"/>
          </w:tcPr>
          <w:p>
            <w:r>
              <w:t>Everyone</w:t>
            </w:r>
          </w:p>
        </w:tc>
      </w:tr>
      <w:tr>
        <w:tc>
          <w:tcPr>
            <w:tcW w:type="dxa" w:w="1728"/>
          </w:tcPr>
          <w:p>
            <w:r>
              <w:t>3 · Big swings</w:t>
            </w:r>
          </w:p>
        </w:tc>
        <w:tc>
          <w:tcPr>
            <w:tcW w:type="dxa" w:w="1728"/>
          </w:tcPr>
          <w:p>
            <w:r>
              <w:t>Annual move vs the previous RFQ</w:t>
            </w:r>
          </w:p>
        </w:tc>
        <w:tc>
          <w:tcPr>
            <w:tcW w:type="dxa" w:w="1728"/>
          </w:tcPr>
          <w:p>
            <w:r>
              <w:t>Yes (Firestore)</w:t>
            </w:r>
          </w:p>
        </w:tc>
        <w:tc>
          <w:tcPr>
            <w:tcW w:type="dxa" w:w="1728"/>
          </w:tcPr>
          <w:p>
            <w:r>
              <w:t>Flags page §2</w:t>
            </w:r>
          </w:p>
        </w:tc>
        <w:tc>
          <w:tcPr>
            <w:tcW w:type="dxa" w:w="1728"/>
          </w:tcPr>
          <w:p>
            <w:r>
              <w:t>Everyone</w:t>
            </w:r>
          </w:p>
        </w:tc>
      </w:tr>
      <w:tr>
        <w:tc>
          <w:tcPr>
            <w:tcW w:type="dxa" w:w="1728"/>
          </w:tcPr>
          <w:p>
            <w:r>
              <w:t>4 · Under target</w:t>
            </w:r>
          </w:p>
        </w:tc>
        <w:tc>
          <w:tcPr>
            <w:tcW w:type="dxa" w:w="1728"/>
          </w:tcPr>
          <w:p>
            <w:r>
              <w:t>MediaOcean below forecast over a window</w:t>
            </w:r>
          </w:p>
        </w:tc>
        <w:tc>
          <w:tcPr>
            <w:tcW w:type="dxa" w:w="1728"/>
          </w:tcPr>
          <w:p>
            <w:r>
              <w:t>Yes (Firestore)</w:t>
            </w:r>
          </w:p>
        </w:tc>
        <w:tc>
          <w:tcPr>
            <w:tcW w:type="dxa" w:w="1728"/>
          </w:tcPr>
          <w:p>
            <w:r>
              <w:t>Flags page §3</w:t>
            </w:r>
          </w:p>
        </w:tc>
        <w:tc>
          <w:tcPr>
            <w:tcW w:type="dxa" w:w="1728"/>
          </w:tcPr>
          <w:p>
            <w:r>
              <w:t>Everyone</w:t>
            </w:r>
          </w:p>
        </w:tc>
      </w:tr>
    </w:tbl>
    <w:p/>
    <w:p>
      <w:r>
        <w:rPr>
          <w:b w:val="0"/>
          <w:i w:val="0"/>
        </w:rPr>
        <w:t>Categories 1 and 2 are recomputed live and never stored. Categories 3 and 4 are persisted flags: they are created, updated or deleted only when a Business Lead runs a validation from the Milestones control — never on a plain edit.</w:t>
      </w:r>
    </w:p>
    <w:p>
      <w:pPr>
        <w:pStyle w:val="Heading1"/>
      </w:pPr>
      <w:r>
        <w:t>2. Validation lifecycle (drives categories 3 &amp; 4)</w:t>
      </w:r>
    </w:p>
    <w:p>
      <w:pPr>
        <w:pStyle w:val="Heading2"/>
      </w:pPr>
      <w:r>
        <w:t>2.1 Milestones and their target RFQ</w:t>
      </w:r>
    </w:p>
    <w:p>
      <w:r>
        <w:rPr>
          <w:b w:val="0"/>
          <w:i w:val="0"/>
        </w:rPr>
        <w:t>Validation is triggered per milestone. The four RFQ milestones validate their own RFQ. The four Prelim milestones are preliminary checks that come BEFORE an RFQ and validate that upcoming RFQ (not a review of the previous 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Month</w:t>
            </w:r>
          </w:p>
        </w:tc>
        <w:tc>
          <w:tcPr>
            <w:tcW w:type="dxa" w:w="2880"/>
          </w:tcPr>
          <w:p>
            <w:r>
              <w:rPr>
                <w:b/>
              </w:rPr>
              <w:t>Validates (target RFQ)</w:t>
            </w:r>
          </w:p>
        </w:tc>
      </w:tr>
      <w:tr>
        <w:tc>
          <w:tcPr>
            <w:tcW w:type="dxa" w:w="2880"/>
          </w:tcPr>
          <w:p>
            <w:r>
              <w:t>RFQ0</w:t>
            </w:r>
          </w:p>
        </w:tc>
        <w:tc>
          <w:tcPr>
            <w:tcW w:type="dxa" w:w="2880"/>
          </w:tcPr>
          <w:p>
            <w:r>
              <w:t>Sept</w:t>
            </w:r>
          </w:p>
        </w:tc>
        <w:tc>
          <w:tcPr>
            <w:tcW w:type="dxa" w:w="2880"/>
          </w:tcPr>
          <w:p>
            <w:r>
              <w:t>RFQ0</w:t>
            </w:r>
          </w:p>
        </w:tc>
      </w:tr>
      <w:tr>
        <w:tc>
          <w:tcPr>
            <w:tcW w:type="dxa" w:w="2880"/>
          </w:tcPr>
          <w:p>
            <w:r>
              <w:t>Prelim RFQ1</w:t>
            </w:r>
          </w:p>
        </w:tc>
        <w:tc>
          <w:tcPr>
            <w:tcW w:type="dxa" w:w="2880"/>
          </w:tcPr>
          <w:p>
            <w:r>
              <w:t>Jan</w:t>
            </w:r>
          </w:p>
        </w:tc>
        <w:tc>
          <w:tcPr>
            <w:tcW w:type="dxa" w:w="2880"/>
          </w:tcPr>
          <w:p>
            <w:r>
              <w:t>RFQ1</w:t>
            </w:r>
          </w:p>
        </w:tc>
      </w:tr>
      <w:tr>
        <w:tc>
          <w:tcPr>
            <w:tcW w:type="dxa" w:w="2880"/>
          </w:tcPr>
          <w:p>
            <w:r>
              <w:t>RFQ1</w:t>
            </w:r>
          </w:p>
        </w:tc>
        <w:tc>
          <w:tcPr>
            <w:tcW w:type="dxa" w:w="2880"/>
          </w:tcPr>
          <w:p>
            <w:r>
              <w:t>March</w:t>
            </w:r>
          </w:p>
        </w:tc>
        <w:tc>
          <w:tcPr>
            <w:tcW w:type="dxa" w:w="2880"/>
          </w:tcPr>
          <w:p>
            <w:r>
              <w:t>RFQ1</w:t>
            </w:r>
          </w:p>
        </w:tc>
      </w:tr>
      <w:tr>
        <w:tc>
          <w:tcPr>
            <w:tcW w:type="dxa" w:w="2880"/>
          </w:tcPr>
          <w:p>
            <w:r>
              <w:t>Prelim RFQ2</w:t>
            </w:r>
          </w:p>
        </w:tc>
        <w:tc>
          <w:tcPr>
            <w:tcW w:type="dxa" w:w="2880"/>
          </w:tcPr>
          <w:p>
            <w:r>
              <w:t>May</w:t>
            </w:r>
          </w:p>
        </w:tc>
        <w:tc>
          <w:tcPr>
            <w:tcW w:type="dxa" w:w="2880"/>
          </w:tcPr>
          <w:p>
            <w:r>
              <w:t>RFQ2</w:t>
            </w:r>
          </w:p>
        </w:tc>
      </w:tr>
      <w:tr>
        <w:tc>
          <w:tcPr>
            <w:tcW w:type="dxa" w:w="2880"/>
          </w:tcPr>
          <w:p>
            <w:r>
              <w:t>RFQ2</w:t>
            </w:r>
          </w:p>
        </w:tc>
        <w:tc>
          <w:tcPr>
            <w:tcW w:type="dxa" w:w="2880"/>
          </w:tcPr>
          <w:p>
            <w:r>
              <w:t>June</w:t>
            </w:r>
          </w:p>
        </w:tc>
        <w:tc>
          <w:tcPr>
            <w:tcW w:type="dxa" w:w="2880"/>
          </w:tcPr>
          <w:p>
            <w:r>
              <w:t>RFQ2</w:t>
            </w:r>
          </w:p>
        </w:tc>
      </w:tr>
      <w:tr>
        <w:tc>
          <w:tcPr>
            <w:tcW w:type="dxa" w:w="2880"/>
          </w:tcPr>
          <w:p>
            <w:r>
              <w:t>Prelim RFQ3</w:t>
            </w:r>
          </w:p>
        </w:tc>
        <w:tc>
          <w:tcPr>
            <w:tcW w:type="dxa" w:w="2880"/>
          </w:tcPr>
          <w:p>
            <w:r>
              <w:t>Aug</w:t>
            </w:r>
          </w:p>
        </w:tc>
        <w:tc>
          <w:tcPr>
            <w:tcW w:type="dxa" w:w="2880"/>
          </w:tcPr>
          <w:p>
            <w:r>
              <w:t>RFQ3</w:t>
            </w:r>
          </w:p>
        </w:tc>
      </w:tr>
      <w:tr>
        <w:tc>
          <w:tcPr>
            <w:tcW w:type="dxa" w:w="2880"/>
          </w:tcPr>
          <w:p>
            <w:r>
              <w:t>RFQ3</w:t>
            </w:r>
          </w:p>
        </w:tc>
        <w:tc>
          <w:tcPr>
            <w:tcW w:type="dxa" w:w="2880"/>
          </w:tcPr>
          <w:p>
            <w:r>
              <w:t>Sept</w:t>
            </w:r>
          </w:p>
        </w:tc>
        <w:tc>
          <w:tcPr>
            <w:tcW w:type="dxa" w:w="2880"/>
          </w:tcPr>
          <w:p>
            <w:r>
              <w:t>RFQ3</w:t>
            </w:r>
          </w:p>
        </w:tc>
      </w:tr>
      <w:tr>
        <w:tc>
          <w:tcPr>
            <w:tcW w:type="dxa" w:w="2880"/>
          </w:tcPr>
          <w:p>
            <w:r>
              <w:t>Prelim FINAL</w:t>
            </w:r>
          </w:p>
        </w:tc>
        <w:tc>
          <w:tcPr>
            <w:tcW w:type="dxa" w:w="2880"/>
          </w:tcPr>
          <w:p>
            <w:r>
              <w:t>Nov</w:t>
            </w:r>
          </w:p>
        </w:tc>
        <w:tc>
          <w:tcPr>
            <w:tcW w:type="dxa" w:w="2880"/>
          </w:tcPr>
          <w:p>
            <w:r>
              <w:t>FINAL</w:t>
            </w:r>
          </w:p>
        </w:tc>
      </w:tr>
    </w:tbl>
    <w:p/>
    <w:p>
      <w:r>
        <w:rPr>
          <w:b w:val="0"/>
          <w:i w:val="0"/>
        </w:rPr>
        <w:t>So RFQ1/RFQ2/RFQ3 each have two validating milestones (a Prelim before, then their own), RFQ0 has one, and FINAL is validated only by its Prelim. The flags belong to the RFQ; a later milestone re-runs them with its own analyzed-month window (last validation wins).</w:t>
      </w:r>
    </w:p>
    <w:p>
      <w:pPr>
        <w:pStyle w:val="Heading2"/>
      </w:pPr>
      <w:r>
        <w:t>2.2 What a validation run does</w:t>
      </w:r>
    </w:p>
    <w:p>
      <w:r>
        <w:rPr>
          <w:b w:val="0"/>
          <w:i w:val="0"/>
        </w:rPr>
        <w:t>Clicking Validate on a milestone (BL Forecast Validation control, top bar of the forecast page):</w:t>
      </w:r>
    </w:p>
    <w:p>
      <w:pPr>
        <w:pStyle w:val="ListBullet"/>
      </w:pPr>
      <w:r>
        <w:t>1. Force-saves any unsaved forecast edits so the analysis reads the saved truth (no-op on a locked RFQ — nothing to save).</w:t>
      </w:r>
    </w:p>
    <w:p>
      <w:pPr>
        <w:pStyle w:val="ListBullet"/>
      </w:pPr>
      <w:r>
        <w:t>2. Computes the swing flags (annual, vs the previous RFQ) and the under-target flags (over the milestone's admin-configured month window).</w:t>
      </w:r>
    </w:p>
    <w:p>
      <w:pPr>
        <w:pStyle w:val="ListBullet"/>
      </w:pPr>
      <w:r>
        <w:t>3. Reconciles against the stored flags: a new flag is created (unjustified); an existing flag keeps its justification but refreshes its numbers; a flag that no longer applies is deleted.</w:t>
      </w:r>
    </w:p>
    <w:p>
      <w:pPr>
        <w:pStyle w:val="ListBullet"/>
      </w:pPr>
      <w:r>
        <w:t>4. Records the milestone status: Validated when every flag is justified, otherwise Failed.</w:t>
      </w:r>
    </w:p>
    <w:p>
      <w:pPr>
        <w:pStyle w:val="Heading2"/>
      </w:pPr>
      <w:r>
        <w:t>2.3 Milestone statuses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Status</w:t>
            </w:r>
          </w:p>
        </w:tc>
        <w:tc>
          <w:tcPr>
            <w:tcW w:type="dxa" w:w="2880"/>
          </w:tcPr>
          <w:p>
            <w:r>
              <w:rPr>
                <w:b/>
              </w:rPr>
              <w:t>Meaning</w:t>
            </w:r>
          </w:p>
        </w:tc>
        <w:tc>
          <w:tcPr>
            <w:tcW w:type="dxa" w:w="2880"/>
          </w:tcPr>
          <w:p>
            <w:r>
              <w:rPr>
                <w:b/>
              </w:rPr>
              <w:t>Colour</w:t>
            </w:r>
          </w:p>
        </w:tc>
      </w:tr>
      <w:tr>
        <w:tc>
          <w:tcPr>
            <w:tcW w:type="dxa" w:w="2880"/>
          </w:tcPr>
          <w:p>
            <w:r>
              <w:t>Not validated</w:t>
            </w:r>
          </w:p>
        </w:tc>
        <w:tc>
          <w:tcPr>
            <w:tcW w:type="dxa" w:w="2880"/>
          </w:tcPr>
          <w:p>
            <w:r>
              <w:t>No validation run yet for this milestone</w:t>
            </w:r>
          </w:p>
        </w:tc>
        <w:tc>
          <w:tcPr>
            <w:tcW w:type="dxa" w:w="2880"/>
          </w:tcPr>
          <w:p>
            <w:r>
              <w:t>Grey</w:t>
            </w:r>
          </w:p>
        </w:tc>
      </w:tr>
      <w:tr>
        <w:tc>
          <w:tcPr>
            <w:tcW w:type="dxa" w:w="2880"/>
          </w:tcPr>
          <w:p>
            <w:r>
              <w:t>Validated</w:t>
            </w:r>
          </w:p>
        </w:tc>
        <w:tc>
          <w:tcPr>
            <w:tcW w:type="dxa" w:w="2880"/>
          </w:tcPr>
          <w:p>
            <w:r>
              <w:t>Validated and every flag justified; data unchanged since</w:t>
            </w:r>
          </w:p>
        </w:tc>
        <w:tc>
          <w:tcPr>
            <w:tcW w:type="dxa" w:w="2880"/>
          </w:tcPr>
          <w:p>
            <w:r>
              <w:t>Green</w:t>
            </w:r>
          </w:p>
        </w:tc>
      </w:tr>
      <w:tr>
        <w:tc>
          <w:tcPr>
            <w:tcW w:type="dxa" w:w="2880"/>
          </w:tcPr>
          <w:p>
            <w:r>
              <w:t>Failed</w:t>
            </w:r>
          </w:p>
        </w:tc>
        <w:tc>
          <w:tcPr>
            <w:tcW w:type="dxa" w:w="2880"/>
          </w:tcPr>
          <w:p>
            <w:r>
              <w:t>Validated but at least one flag is still unjustified</w:t>
            </w:r>
          </w:p>
        </w:tc>
        <w:tc>
          <w:tcPr>
            <w:tcW w:type="dxa" w:w="2880"/>
          </w:tcPr>
          <w:p>
            <w:r>
              <w:t>Yellow</w:t>
            </w:r>
          </w:p>
        </w:tc>
      </w:tr>
      <w:tr>
        <w:tc>
          <w:tcPr>
            <w:tcW w:type="dxa" w:w="2880"/>
          </w:tcPr>
          <w:p>
            <w:r>
              <w:t>BL data changed</w:t>
            </w:r>
          </w:p>
        </w:tc>
        <w:tc>
          <w:tcPr>
            <w:tcW w:type="dxa" w:w="2880"/>
          </w:tcPr>
          <w:p>
            <w:r>
              <w:t>Was validated, but the BL forecast was edited/saved since</w:t>
            </w:r>
          </w:p>
        </w:tc>
        <w:tc>
          <w:tcPr>
            <w:tcW w:type="dxa" w:w="2880"/>
          </w:tcPr>
          <w:p>
            <w:r>
              <w:t>Yellow</w:t>
            </w:r>
          </w:p>
        </w:tc>
      </w:tr>
      <w:tr>
        <w:tc>
          <w:tcPr>
            <w:tcW w:type="dxa" w:w="2880"/>
          </w:tcPr>
          <w:p>
            <w:r>
              <w:t>MediaOcean changed</w:t>
            </w:r>
          </w:p>
        </w:tc>
        <w:tc>
          <w:tcPr>
            <w:tcW w:type="dxa" w:w="2880"/>
          </w:tcPr>
          <w:p>
            <w:r>
              <w:t>Was validated, but a MediaOcean total behind an under-target flag moved</w:t>
            </w:r>
          </w:p>
        </w:tc>
        <w:tc>
          <w:tcPr>
            <w:tcW w:type="dxa" w:w="2880"/>
          </w:tcPr>
          <w:p>
            <w:r>
              <w:t>Yellow</w:t>
            </w:r>
          </w:p>
        </w:tc>
      </w:tr>
    </w:tbl>
    <w:p/>
    <w:p>
      <w:r>
        <w:rPr>
          <w:b w:val="0"/>
          <w:i w:val="0"/>
        </w:rPr>
        <w:t>‘Not validated’ and the two ‘changed’ states are derived live; only ‘Validated’ and ‘Failed’ are stored. A BL change takes priority over a MediaOcean change when both moved. Un-validate (Reset) clears a milestone's record back to ‘Not validated’ — the stored flags on the RFQ are kept.</w:t>
      </w:r>
    </w:p>
    <w:p>
      <w:pPr>
        <w:pStyle w:val="Heading1"/>
      </w:pPr>
      <w:r>
        <w:t>3. Category 1 — QA Admin checks</w:t>
      </w:r>
    </w:p>
    <w:tbl>
      <w:tblPr>
        <w:tblStyle w:val="TableGrid"/>
        <w:tblW w:type="auto" w:w="0"/>
        <w:tblLook w:firstColumn="1" w:firstRow="1" w:lastColumn="0" w:lastRow="0" w:noHBand="0" w:noVBand="1" w:val="04A0"/>
      </w:tblPr>
      <w:tblGrid>
        <w:gridCol w:w="4320"/>
        <w:gridCol w:w="4320"/>
      </w:tblGrid>
      <w:tr>
        <w:tc>
          <w:tcPr>
            <w:tcW w:type="dxa" w:w="2736"/>
          </w:tcPr>
          <w:p>
            <w:r>
              <w:rPr>
                <w:b/>
              </w:rPr>
              <w:t>Where</w:t>
            </w:r>
          </w:p>
        </w:tc>
        <w:tc>
          <w:tcPr>
            <w:tcW w:type="dxa" w:w="6624"/>
          </w:tcPr>
          <w:p>
            <w:r>
              <w:t>Admin → QA page</w:t>
            </w:r>
          </w:p>
        </w:tc>
      </w:tr>
      <w:tr>
        <w:tc>
          <w:tcPr>
            <w:tcW w:type="dxa" w:w="2736"/>
          </w:tcPr>
          <w:p>
            <w:r>
              <w:rPr>
                <w:b/>
              </w:rPr>
              <w:t>Scope</w:t>
            </w:r>
          </w:p>
        </w:tc>
        <w:tc>
          <w:tcPr>
            <w:tcW w:type="dxa" w:w="6624"/>
          </w:tcPr>
          <w:p>
            <w:r>
              <w:t>All in-scope clients for the selected Year + RFQ, normalized to CAD</w:t>
            </w:r>
          </w:p>
        </w:tc>
      </w:tr>
      <w:tr>
        <w:tc>
          <w:tcPr>
            <w:tcW w:type="dxa" w:w="2736"/>
          </w:tcPr>
          <w:p>
            <w:r>
              <w:rPr>
                <w:b/>
              </w:rPr>
              <w:t>Saved?</w:t>
            </w:r>
          </w:p>
        </w:tc>
        <w:tc>
          <w:tcPr>
            <w:tcW w:type="dxa" w:w="6624"/>
          </w:tcPr>
          <w:p>
            <w:r>
              <w:t>No — recomputed live, nothing written</w:t>
            </w:r>
          </w:p>
        </w:tc>
      </w:tr>
      <w:tr>
        <w:tc>
          <w:tcPr>
            <w:tcW w:type="dxa" w:w="2736"/>
          </w:tcPr>
          <w:p>
            <w:r>
              <w:rPr>
                <w:b/>
              </w:rPr>
              <w:t>Justifiable?</w:t>
            </w:r>
          </w:p>
        </w:tc>
        <w:tc>
          <w:tcPr>
            <w:tcW w:type="dxa" w:w="6624"/>
          </w:tcPr>
          <w:p>
            <w:r>
              <w:t>No</w:t>
            </w:r>
          </w:p>
        </w:tc>
      </w:tr>
      <w:tr>
        <w:tc>
          <w:tcPr>
            <w:tcW w:type="dxa" w:w="2736"/>
          </w:tcPr>
          <w:p>
            <w:r>
              <w:rPr>
                <w:b/>
              </w:rPr>
              <w:t>Tolerance</w:t>
            </w:r>
          </w:p>
        </w:tc>
        <w:tc>
          <w:tcPr>
            <w:tcW w:type="dxa" w:w="6624"/>
          </w:tcPr>
          <w:p>
            <w:r>
              <w:t>Per-check slider, default 5% (session-only). A row fails only when it deviates by more than max(reference × tolerance, floor).</w:t>
            </w:r>
          </w:p>
        </w:tc>
      </w:tr>
    </w:tbl>
    <w:p/>
    <w:p>
      <w:pPr>
        <w:pStyle w:val="Heading3"/>
      </w:pPr>
      <w:r>
        <w:t>3.1 Commission matches media forecast</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The Commission stored on a Revenue submission ≠ the commission recomputed from the media spend forecast × the client's commission rates, for a client/month.</w:t>
            </w:r>
          </w:p>
        </w:tc>
      </w:tr>
      <w:tr>
        <w:tc>
          <w:tcPr>
            <w:tcW w:type="dxa" w:w="2736"/>
          </w:tcPr>
          <w:p>
            <w:r>
              <w:rPr>
                <w:b/>
              </w:rPr>
              <w:t>Threshold (floor)</w:t>
            </w:r>
          </w:p>
        </w:tc>
        <w:tc>
          <w:tcPr>
            <w:tcW w:type="dxa" w:w="6624"/>
          </w:tcPr>
          <w:p>
            <w:r>
              <w:t>$10 (COMMISSION_EPSILON), or 5% of the recomputed value if larger</w:t>
            </w:r>
          </w:p>
        </w:tc>
      </w:tr>
      <w:tr>
        <w:tc>
          <w:tcPr>
            <w:tcW w:type="dxa" w:w="2736"/>
          </w:tcPr>
          <w:p>
            <w:r>
              <w:rPr>
                <w:b/>
              </w:rPr>
              <w:t>Skipped</w:t>
            </w:r>
          </w:p>
        </w:tc>
        <w:tc>
          <w:tcPr>
            <w:tcW w:type="dxa" w:w="6624"/>
          </w:tcPr>
          <w:p>
            <w:r>
              <w:t>Months carrying a Commission Overwrite; months where both sides are 0</w:t>
            </w:r>
          </w:p>
        </w:tc>
      </w:tr>
      <w:tr>
        <w:tc>
          <w:tcPr>
            <w:tcW w:type="dxa" w:w="2736"/>
          </w:tcPr>
          <w:p>
            <w:r>
              <w:rPr>
                <w:b/>
              </w:rPr>
              <w:t>How to resolve</w:t>
            </w:r>
          </w:p>
        </w:tc>
        <w:tc>
          <w:tcPr>
            <w:tcW w:type="dxa" w:w="6624"/>
          </w:tcPr>
          <w:p>
            <w:r>
              <w:t>Re-save the client's commission rates (re-runs the sync)</w:t>
            </w:r>
          </w:p>
        </w:tc>
      </w:tr>
    </w:tbl>
    <w:p/>
    <w:p>
      <w:pPr>
        <w:pStyle w:val="Heading3"/>
      </w:pPr>
      <w:r>
        <w:t>3.2 GAIA lines match Official Revenue</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The sum of the GAIA admin detail lines ≠ the Official Revenue, for a client/month where both are entered</w:t>
            </w:r>
          </w:p>
        </w:tc>
      </w:tr>
      <w:tr>
        <w:tc>
          <w:tcPr>
            <w:tcW w:type="dxa" w:w="2736"/>
          </w:tcPr>
          <w:p>
            <w:r>
              <w:rPr>
                <w:b/>
              </w:rPr>
              <w:t>Threshold (floor)</w:t>
            </w:r>
          </w:p>
        </w:tc>
        <w:tc>
          <w:tcPr>
            <w:tcW w:type="dxa" w:w="6624"/>
          </w:tcPr>
          <w:p>
            <w:r>
              <w:t>$0.50, or 5% of the Official Revenue if larger</w:t>
            </w:r>
          </w:p>
        </w:tc>
      </w:tr>
      <w:tr>
        <w:tc>
          <w:tcPr>
            <w:tcW w:type="dxa" w:w="2736"/>
          </w:tcPr>
          <w:p>
            <w:r>
              <w:rPr>
                <w:b/>
              </w:rPr>
              <w:t>Skipped</w:t>
            </w:r>
          </w:p>
        </w:tc>
        <w:tc>
          <w:tcPr>
            <w:tcW w:type="dxa" w:w="6624"/>
          </w:tcPr>
          <w:p>
            <w:r>
              <w:t>Months where either side is 0</w:t>
            </w:r>
          </w:p>
        </w:tc>
      </w:tr>
      <w:tr>
        <w:tc>
          <w:tcPr>
            <w:tcW w:type="dxa" w:w="2736"/>
          </w:tcPr>
          <w:p>
            <w:r>
              <w:rPr>
                <w:b/>
              </w:rPr>
              <w:t>How to resolve</w:t>
            </w:r>
          </w:p>
        </w:tc>
        <w:tc>
          <w:tcPr>
            <w:tcW w:type="dxa" w:w="6624"/>
          </w:tcPr>
          <w:p>
            <w:r>
              <w:t>Correct the GAIA detail lines or the Official Revenue</w:t>
            </w:r>
          </w:p>
        </w:tc>
      </w:tr>
    </w:tbl>
    <w:p/>
    <w:p>
      <w:pPr>
        <w:pStyle w:val="Heading1"/>
      </w:pPr>
      <w:r>
        <w:t>4. Category 2 — QA BL alerts</w:t>
      </w:r>
    </w:p>
    <w:tbl>
      <w:tblPr>
        <w:tblStyle w:val="TableGrid"/>
        <w:tblW w:type="auto" w:w="0"/>
        <w:tblLook w:firstColumn="1" w:firstRow="1" w:lastColumn="0" w:lastRow="0" w:noHBand="0" w:noVBand="1" w:val="04A0"/>
      </w:tblPr>
      <w:tblGrid>
        <w:gridCol w:w="4320"/>
        <w:gridCol w:w="4320"/>
      </w:tblGrid>
      <w:tr>
        <w:tc>
          <w:tcPr>
            <w:tcW w:type="dxa" w:w="2736"/>
          </w:tcPr>
          <w:p>
            <w:r>
              <w:rPr>
                <w:b/>
              </w:rPr>
              <w:t>Where</w:t>
            </w:r>
          </w:p>
        </w:tc>
        <w:tc>
          <w:tcPr>
            <w:tcW w:type="dxa" w:w="6624"/>
          </w:tcPr>
          <w:p>
            <w:r>
              <w:t>Banners on the forecast grid (per tab) + Flags page, section 1</w:t>
            </w:r>
          </w:p>
        </w:tc>
      </w:tr>
      <w:tr>
        <w:tc>
          <w:tcPr>
            <w:tcW w:type="dxa" w:w="2736"/>
          </w:tcPr>
          <w:p>
            <w:r>
              <w:rPr>
                <w:b/>
              </w:rPr>
              <w:t>Scope</w:t>
            </w:r>
          </w:p>
        </w:tc>
        <w:tc>
          <w:tcPr>
            <w:tcW w:type="dxa" w:w="6624"/>
          </w:tcPr>
          <w:p>
            <w:r>
              <w:t>The selected client, in its own currency</w:t>
            </w:r>
          </w:p>
        </w:tc>
      </w:tr>
      <w:tr>
        <w:tc>
          <w:tcPr>
            <w:tcW w:type="dxa" w:w="2736"/>
          </w:tcPr>
          <w:p>
            <w:r>
              <w:rPr>
                <w:b/>
              </w:rPr>
              <w:t>Saved?</w:t>
            </w:r>
          </w:p>
        </w:tc>
        <w:tc>
          <w:tcPr>
            <w:tcW w:type="dxa" w:w="6624"/>
          </w:tcPr>
          <w:p>
            <w:r>
              <w:t>No — recomputed live from the working copy</w:t>
            </w:r>
          </w:p>
        </w:tc>
      </w:tr>
      <w:tr>
        <w:tc>
          <w:tcPr>
            <w:tcW w:type="dxa" w:w="2736"/>
          </w:tcPr>
          <w:p>
            <w:r>
              <w:rPr>
                <w:b/>
              </w:rPr>
              <w:t>Justifiable?</w:t>
            </w:r>
          </w:p>
        </w:tc>
        <w:tc>
          <w:tcPr>
            <w:tcW w:type="dxa" w:w="6624"/>
          </w:tcPr>
          <w:p>
            <w:r>
              <w:t>No — they clear on their own once the figures are corrected</w:t>
            </w:r>
          </w:p>
        </w:tc>
      </w:tr>
      <w:tr>
        <w:tc>
          <w:tcPr>
            <w:tcW w:type="dxa" w:w="2736"/>
          </w:tcPr>
          <w:p>
            <w:r>
              <w:rPr>
                <w:b/>
              </w:rPr>
              <w:t>Granularity</w:t>
            </w:r>
          </w:p>
        </w:tc>
        <w:tc>
          <w:tcPr>
            <w:tcW w:type="dxa" w:w="6624"/>
          </w:tcPr>
          <w:p>
            <w:r>
              <w:t>Per month</w:t>
            </w:r>
          </w:p>
        </w:tc>
      </w:tr>
      <w:tr>
        <w:tc>
          <w:tcPr>
            <w:tcW w:type="dxa" w:w="2736"/>
          </w:tcPr>
          <w:p>
            <w:r>
              <w:rPr>
                <w:b/>
              </w:rPr>
              <w:t>Colour code</w:t>
            </w:r>
          </w:p>
        </w:tc>
        <w:tc>
          <w:tcPr>
            <w:tcW w:type="dxa" w:w="6624"/>
          </w:tcPr>
          <w:p>
            <w:r>
              <w:t>Yellow warning surface + axis stripe/chip (blue = Media, purple = Labs)</w:t>
            </w:r>
          </w:p>
        </w:tc>
      </w:tr>
    </w:tbl>
    <w:p/>
    <w:p>
      <w:pPr>
        <w:pStyle w:val="Heading3"/>
      </w:pPr>
      <w:r>
        <w:t>4.1 Labs over media</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A media type's Labs spend exceeds the forecasted media spend for that same type, in a given month</w:t>
            </w:r>
          </w:p>
        </w:tc>
      </w:tr>
      <w:tr>
        <w:tc>
          <w:tcPr>
            <w:tcW w:type="dxa" w:w="2736"/>
          </w:tcPr>
          <w:p>
            <w:r>
              <w:rPr>
                <w:b/>
              </w:rPr>
              <w:t>Threshold</w:t>
            </w:r>
          </w:p>
        </w:tc>
        <w:tc>
          <w:tcPr>
            <w:tcW w:type="dxa" w:w="6624"/>
          </w:tcPr>
          <w:p>
            <w:r>
              <w:t>$0.50 float-noise floor (effectively any positive excess)</w:t>
            </w:r>
          </w:p>
        </w:tc>
      </w:tr>
      <w:tr>
        <w:tc>
          <w:tcPr>
            <w:tcW w:type="dxa" w:w="2736"/>
          </w:tcPr>
          <w:p>
            <w:r>
              <w:rPr>
                <w:b/>
              </w:rPr>
              <w:t>Axis</w:t>
            </w:r>
          </w:p>
        </w:tc>
        <w:tc>
          <w:tcPr>
            <w:tcW w:type="dxa" w:w="6624"/>
          </w:tcPr>
          <w:p>
            <w:r>
              <w:t>Labs</w:t>
            </w:r>
          </w:p>
        </w:tc>
      </w:tr>
      <w:tr>
        <w:tc>
          <w:tcPr>
            <w:tcW w:type="dxa" w:w="2736"/>
          </w:tcPr>
          <w:p>
            <w:r>
              <w:rPr>
                <w:b/>
              </w:rPr>
              <w:t>Shown on</w:t>
            </w:r>
          </w:p>
        </w:tc>
        <w:tc>
          <w:tcPr>
            <w:tcW w:type="dxa" w:w="6624"/>
          </w:tcPr>
          <w:p>
            <w:r>
              <w:t>Labs tab banner + Flags §1</w:t>
            </w:r>
          </w:p>
        </w:tc>
      </w:tr>
    </w:tbl>
    <w:p/>
    <w:p>
      <w:pPr>
        <w:pStyle w:val="Heading3"/>
      </w:pPr>
      <w:r>
        <w:t>4.2 Under forecast — Media</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Booked MediaOcean media spend exceeds the BL media forecast for a month (the forecast was set too low)</w:t>
            </w:r>
          </w:p>
        </w:tc>
      </w:tr>
      <w:tr>
        <w:tc>
          <w:tcPr>
            <w:tcW w:type="dxa" w:w="2736"/>
          </w:tcPr>
          <w:p>
            <w:r>
              <w:rPr>
                <w:b/>
              </w:rPr>
              <w:t>Threshold</w:t>
            </w:r>
          </w:p>
        </w:tc>
        <w:tc>
          <w:tcPr>
            <w:tcW w:type="dxa" w:w="6624"/>
          </w:tcPr>
          <w:p>
            <w:r>
              <w:t>$1,000</w:t>
            </w:r>
          </w:p>
        </w:tc>
      </w:tr>
      <w:tr>
        <w:tc>
          <w:tcPr>
            <w:tcW w:type="dxa" w:w="2736"/>
          </w:tcPr>
          <w:p>
            <w:r>
              <w:rPr>
                <w:b/>
              </w:rPr>
              <w:t>Axis</w:t>
            </w:r>
          </w:p>
        </w:tc>
        <w:tc>
          <w:tcPr>
            <w:tcW w:type="dxa" w:w="6624"/>
          </w:tcPr>
          <w:p>
            <w:r>
              <w:t>Media</w:t>
            </w:r>
          </w:p>
        </w:tc>
      </w:tr>
      <w:tr>
        <w:tc>
          <w:tcPr>
            <w:tcW w:type="dxa" w:w="2736"/>
          </w:tcPr>
          <w:p>
            <w:r>
              <w:rPr>
                <w:b/>
              </w:rPr>
              <w:t>Shown on</w:t>
            </w:r>
          </w:p>
        </w:tc>
        <w:tc>
          <w:tcPr>
            <w:tcW w:type="dxa" w:w="6624"/>
          </w:tcPr>
          <w:p>
            <w:r>
              <w:t>Media tab banner + Flags §1</w:t>
            </w:r>
          </w:p>
        </w:tc>
      </w:tr>
    </w:tbl>
    <w:p/>
    <w:p>
      <w:pPr>
        <w:pStyle w:val="Heading3"/>
      </w:pPr>
      <w:r>
        <w:t>4.3 Under forecast — Labs</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Booked MediaOcean Labs spend exceeds the BL Labs forecast for a month</w:t>
            </w:r>
          </w:p>
        </w:tc>
      </w:tr>
      <w:tr>
        <w:tc>
          <w:tcPr>
            <w:tcW w:type="dxa" w:w="2736"/>
          </w:tcPr>
          <w:p>
            <w:r>
              <w:rPr>
                <w:b/>
              </w:rPr>
              <w:t>Threshold</w:t>
            </w:r>
          </w:p>
        </w:tc>
        <w:tc>
          <w:tcPr>
            <w:tcW w:type="dxa" w:w="6624"/>
          </w:tcPr>
          <w:p>
            <w:r>
              <w:t>$1,000</w:t>
            </w:r>
          </w:p>
        </w:tc>
      </w:tr>
      <w:tr>
        <w:tc>
          <w:tcPr>
            <w:tcW w:type="dxa" w:w="2736"/>
          </w:tcPr>
          <w:p>
            <w:r>
              <w:rPr>
                <w:b/>
              </w:rPr>
              <w:t>Axis</w:t>
            </w:r>
          </w:p>
        </w:tc>
        <w:tc>
          <w:tcPr>
            <w:tcW w:type="dxa" w:w="6624"/>
          </w:tcPr>
          <w:p>
            <w:r>
              <w:t>Labs</w:t>
            </w:r>
          </w:p>
        </w:tc>
      </w:tr>
      <w:tr>
        <w:tc>
          <w:tcPr>
            <w:tcW w:type="dxa" w:w="2736"/>
          </w:tcPr>
          <w:p>
            <w:r>
              <w:rPr>
                <w:b/>
              </w:rPr>
              <w:t>Shown on</w:t>
            </w:r>
          </w:p>
        </w:tc>
        <w:tc>
          <w:tcPr>
            <w:tcW w:type="dxa" w:w="6624"/>
          </w:tcPr>
          <w:p>
            <w:r>
              <w:t>Labs tab banner + Flags §1</w:t>
            </w:r>
          </w:p>
        </w:tc>
      </w:tr>
    </w:tbl>
    <w:p/>
    <w:p>
      <w:pPr>
        <w:pStyle w:val="Heading1"/>
      </w:pPr>
      <w:r>
        <w:t>5. Category 3 — Big swings</w:t>
      </w:r>
    </w:p>
    <w:tbl>
      <w:tblPr>
        <w:tblStyle w:val="TableGrid"/>
        <w:tblW w:type="auto" w:w="0"/>
        <w:tblLook w:firstColumn="1" w:firstRow="1" w:lastColumn="0" w:lastRow="0" w:noHBand="0" w:noVBand="1" w:val="04A0"/>
      </w:tblPr>
      <w:tblGrid>
        <w:gridCol w:w="4320"/>
        <w:gridCol w:w="4320"/>
      </w:tblGrid>
      <w:tr>
        <w:tc>
          <w:tcPr>
            <w:tcW w:type="dxa" w:w="2736"/>
          </w:tcPr>
          <w:p>
            <w:r>
              <w:rPr>
                <w:b/>
              </w:rPr>
              <w:t>Where</w:t>
            </w:r>
          </w:p>
        </w:tc>
        <w:tc>
          <w:tcPr>
            <w:tcW w:type="dxa" w:w="6624"/>
          </w:tcPr>
          <w:p>
            <w:r>
              <w:t>Flags page, section 2</w:t>
            </w:r>
          </w:p>
        </w:tc>
      </w:tr>
      <w:tr>
        <w:tc>
          <w:tcPr>
            <w:tcW w:type="dxa" w:w="2736"/>
          </w:tcPr>
          <w:p>
            <w:r>
              <w:rPr>
                <w:b/>
              </w:rPr>
              <w:t>Scope</w:t>
            </w:r>
          </w:p>
        </w:tc>
        <w:tc>
          <w:tcPr>
            <w:tcW w:type="dxa" w:w="6624"/>
          </w:tcPr>
          <w:p>
            <w:r>
              <w:t>The selected submission (RFQ), in the client's currency</w:t>
            </w:r>
          </w:p>
        </w:tc>
      </w:tr>
      <w:tr>
        <w:tc>
          <w:tcPr>
            <w:tcW w:type="dxa" w:w="2736"/>
          </w:tcPr>
          <w:p>
            <w:r>
              <w:rPr>
                <w:b/>
              </w:rPr>
              <w:t>Saved?</w:t>
            </w:r>
          </w:p>
        </w:tc>
        <w:tc>
          <w:tcPr>
            <w:tcW w:type="dxa" w:w="6624"/>
          </w:tcPr>
          <w:p>
            <w:r>
              <w:t>Yes — persisted on the data_entries doc, per RFQ</w:t>
            </w:r>
          </w:p>
        </w:tc>
      </w:tr>
      <w:tr>
        <w:tc>
          <w:tcPr>
            <w:tcW w:type="dxa" w:w="2736"/>
          </w:tcPr>
          <w:p>
            <w:r>
              <w:rPr>
                <w:b/>
              </w:rPr>
              <w:t>Comparison</w:t>
            </w:r>
          </w:p>
        </w:tc>
        <w:tc>
          <w:tcPr>
            <w:tcW w:type="dxa" w:w="6624"/>
          </w:tcPr>
          <w:p>
            <w:r>
              <w:t>Annual total vs the immediately-previous RFQ (same client)</w:t>
            </w:r>
          </w:p>
        </w:tc>
      </w:tr>
      <w:tr>
        <w:tc>
          <w:tcPr>
            <w:tcW w:type="dxa" w:w="2736"/>
          </w:tcPr>
          <w:p>
            <w:r>
              <w:rPr>
                <w:b/>
              </w:rPr>
              <w:t>Baseline rule</w:t>
            </w:r>
          </w:p>
        </w:tc>
        <w:tc>
          <w:tcPr>
            <w:tcW w:type="dxa" w:w="6624"/>
          </w:tcPr>
          <w:p>
            <w:r>
              <w:t>Skipped when there is no previous RFQ or the previous value is 0</w:t>
            </w:r>
          </w:p>
        </w:tc>
      </w:tr>
      <w:tr>
        <w:tc>
          <w:tcPr>
            <w:tcW w:type="dxa" w:w="2736"/>
          </w:tcPr>
          <w:p>
            <w:r>
              <w:rPr>
                <w:b/>
              </w:rPr>
              <w:t>Created / updated</w:t>
            </w:r>
          </w:p>
        </w:tc>
        <w:tc>
          <w:tcPr>
            <w:tcW w:type="dxa" w:w="6624"/>
          </w:tcPr>
          <w:p>
            <w:r>
              <w:t>Only by a validation run (reconciliation)</w:t>
            </w:r>
          </w:p>
        </w:tc>
      </w:tr>
      <w:tr>
        <w:tc>
          <w:tcPr>
            <w:tcW w:type="dxa" w:w="2736"/>
          </w:tcPr>
          <w:p>
            <w:r>
              <w:rPr>
                <w:b/>
              </w:rPr>
              <w:t>Justifiable?</w:t>
            </w:r>
          </w:p>
        </w:tc>
        <w:tc>
          <w:tcPr>
            <w:tcW w:type="dxa" w:w="6624"/>
          </w:tcPr>
          <w:p>
            <w:r>
              <w:t>Yes — context + comment required</w:t>
            </w:r>
          </w:p>
        </w:tc>
      </w:tr>
    </w:tbl>
    <w:p/>
    <w:p>
      <w:pPr>
        <w:pStyle w:val="Heading3"/>
      </w:pPr>
      <w:r>
        <w:t>5.1 Revenue swing</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|BL Submission (year) − previous RFQ Official Revenue (year)| ≥ threshold</w:t>
            </w:r>
          </w:p>
        </w:tc>
      </w:tr>
      <w:tr>
        <w:tc>
          <w:tcPr>
            <w:tcW w:type="dxa" w:w="2736"/>
          </w:tcPr>
          <w:p>
            <w:r>
              <w:rPr>
                <w:b/>
              </w:rPr>
              <w:t>Threshold</w:t>
            </w:r>
          </w:p>
        </w:tc>
        <w:tc>
          <w:tcPr>
            <w:tcW w:type="dxa" w:w="6624"/>
          </w:tcPr>
          <w:p>
            <w:r>
              <w:t>$50,000 (absolute, ±)</w:t>
            </w:r>
          </w:p>
        </w:tc>
      </w:tr>
      <w:tr>
        <w:tc>
          <w:tcPr>
            <w:tcW w:type="dxa" w:w="2736"/>
          </w:tcPr>
          <w:p>
            <w:r>
              <w:rPr>
                <w:b/>
              </w:rPr>
              <w:t>Granularity</w:t>
            </w:r>
          </w:p>
        </w:tc>
        <w:tc>
          <w:tcPr>
            <w:tcW w:type="dxa" w:w="6624"/>
          </w:tcPr>
          <w:p>
            <w:r>
              <w:t>One flag for the annual total</w:t>
            </w:r>
          </w:p>
        </w:tc>
      </w:tr>
      <w:tr>
        <w:tc>
          <w:tcPr>
            <w:tcW w:type="dxa" w:w="2736"/>
          </w:tcPr>
          <w:p>
            <w:r>
              <w:rPr>
                <w:b/>
              </w:rPr>
              <w:t>Axis / colour</w:t>
            </w:r>
          </w:p>
        </w:tc>
        <w:tc>
          <w:tcPr>
            <w:tcW w:type="dxa" w:w="6624"/>
          </w:tcPr>
          <w:p>
            <w:r>
              <w:t>Revenue (pink)</w:t>
            </w:r>
          </w:p>
        </w:tc>
      </w:tr>
    </w:tbl>
    <w:p/>
    <w:p>
      <w:pPr>
        <w:pStyle w:val="Heading3"/>
      </w:pPr>
      <w:r>
        <w:t>5.2 Media swing</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Per media channel: |annual BL Input − previous RFQ annual BL Input| ≥ threshold</w:t>
            </w:r>
          </w:p>
        </w:tc>
      </w:tr>
      <w:tr>
        <w:tc>
          <w:tcPr>
            <w:tcW w:type="dxa" w:w="2736"/>
          </w:tcPr>
          <w:p>
            <w:r>
              <w:rPr>
                <w:b/>
              </w:rPr>
              <w:t>Threshold</w:t>
            </w:r>
          </w:p>
        </w:tc>
        <w:tc>
          <w:tcPr>
            <w:tcW w:type="dxa" w:w="6624"/>
          </w:tcPr>
          <w:p>
            <w:r>
              <w:t>$100,000 (absolute, ±)</w:t>
            </w:r>
          </w:p>
        </w:tc>
      </w:tr>
      <w:tr>
        <w:tc>
          <w:tcPr>
            <w:tcW w:type="dxa" w:w="2736"/>
          </w:tcPr>
          <w:p>
            <w:r>
              <w:rPr>
                <w:b/>
              </w:rPr>
              <w:t>Granularity</w:t>
            </w:r>
          </w:p>
        </w:tc>
        <w:tc>
          <w:tcPr>
            <w:tcW w:type="dxa" w:w="6624"/>
          </w:tcPr>
          <w:p>
            <w:r>
              <w:t>One flag per media channel (named by the channel)</w:t>
            </w:r>
          </w:p>
        </w:tc>
      </w:tr>
      <w:tr>
        <w:tc>
          <w:tcPr>
            <w:tcW w:type="dxa" w:w="2736"/>
          </w:tcPr>
          <w:p>
            <w:r>
              <w:rPr>
                <w:b/>
              </w:rPr>
              <w:t>Axis / colour</w:t>
            </w:r>
          </w:p>
        </w:tc>
        <w:tc>
          <w:tcPr>
            <w:tcW w:type="dxa" w:w="6624"/>
          </w:tcPr>
          <w:p>
            <w:r>
              <w:t>Media (blue)</w:t>
            </w:r>
          </w:p>
        </w:tc>
      </w:tr>
    </w:tbl>
    <w:p/>
    <w:p>
      <w:pPr>
        <w:pStyle w:val="Heading3"/>
      </w:pPr>
      <w:r>
        <w:t>5.3 Labs swing</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Per Labs partner: |annual BL Input − previous RFQ annual BL Input| ≥ threshold</w:t>
            </w:r>
          </w:p>
        </w:tc>
      </w:tr>
      <w:tr>
        <w:tc>
          <w:tcPr>
            <w:tcW w:type="dxa" w:w="2736"/>
          </w:tcPr>
          <w:p>
            <w:r>
              <w:rPr>
                <w:b/>
              </w:rPr>
              <w:t>Threshold</w:t>
            </w:r>
          </w:p>
        </w:tc>
        <w:tc>
          <w:tcPr>
            <w:tcW w:type="dxa" w:w="6624"/>
          </w:tcPr>
          <w:p>
            <w:r>
              <w:t>$100,000 (absolute, ±)</w:t>
            </w:r>
          </w:p>
        </w:tc>
      </w:tr>
      <w:tr>
        <w:tc>
          <w:tcPr>
            <w:tcW w:type="dxa" w:w="2736"/>
          </w:tcPr>
          <w:p>
            <w:r>
              <w:rPr>
                <w:b/>
              </w:rPr>
              <w:t>Granularity</w:t>
            </w:r>
          </w:p>
        </w:tc>
        <w:tc>
          <w:tcPr>
            <w:tcW w:type="dxa" w:w="6624"/>
          </w:tcPr>
          <w:p>
            <w:r>
              <w:t>One flag per partner (named by the partner)</w:t>
            </w:r>
          </w:p>
        </w:tc>
      </w:tr>
      <w:tr>
        <w:tc>
          <w:tcPr>
            <w:tcW w:type="dxa" w:w="2736"/>
          </w:tcPr>
          <w:p>
            <w:r>
              <w:rPr>
                <w:b/>
              </w:rPr>
              <w:t>Axis / colour</w:t>
            </w:r>
          </w:p>
        </w:tc>
        <w:tc>
          <w:tcPr>
            <w:tcW w:type="dxa" w:w="6624"/>
          </w:tcPr>
          <w:p>
            <w:r>
              <w:t>Labs (purple)</w:t>
            </w:r>
          </w:p>
        </w:tc>
      </w:tr>
    </w:tbl>
    <w:p/>
    <w:p>
      <w:pPr>
        <w:pStyle w:val="Heading1"/>
      </w:pPr>
      <w:r>
        <w:t>6. Category 4 — Under target</w:t>
      </w:r>
    </w:p>
    <w:tbl>
      <w:tblPr>
        <w:tblStyle w:val="TableGrid"/>
        <w:tblW w:type="auto" w:w="0"/>
        <w:tblLook w:firstColumn="1" w:firstRow="1" w:lastColumn="0" w:lastRow="0" w:noHBand="0" w:noVBand="1" w:val="04A0"/>
      </w:tblPr>
      <w:tblGrid>
        <w:gridCol w:w="4320"/>
        <w:gridCol w:w="4320"/>
      </w:tblGrid>
      <w:tr>
        <w:tc>
          <w:tcPr>
            <w:tcW w:type="dxa" w:w="2736"/>
          </w:tcPr>
          <w:p>
            <w:r>
              <w:rPr>
                <w:b/>
              </w:rPr>
              <w:t>Where</w:t>
            </w:r>
          </w:p>
        </w:tc>
        <w:tc>
          <w:tcPr>
            <w:tcW w:type="dxa" w:w="6624"/>
          </w:tcPr>
          <w:p>
            <w:r>
              <w:t>Flags page, section 3</w:t>
            </w:r>
          </w:p>
        </w:tc>
      </w:tr>
      <w:tr>
        <w:tc>
          <w:tcPr>
            <w:tcW w:type="dxa" w:w="2736"/>
          </w:tcPr>
          <w:p>
            <w:r>
              <w:rPr>
                <w:b/>
              </w:rPr>
              <w:t>Scope</w:t>
            </w:r>
          </w:p>
        </w:tc>
        <w:tc>
          <w:tcPr>
            <w:tcW w:type="dxa" w:w="6624"/>
          </w:tcPr>
          <w:p>
            <w:r>
              <w:t>The selected submission (RFQ), in the client's currency</w:t>
            </w:r>
          </w:p>
        </w:tc>
      </w:tr>
      <w:tr>
        <w:tc>
          <w:tcPr>
            <w:tcW w:type="dxa" w:w="2736"/>
          </w:tcPr>
          <w:p>
            <w:r>
              <w:rPr>
                <w:b/>
              </w:rPr>
              <w:t>Saved?</w:t>
            </w:r>
          </w:p>
        </w:tc>
        <w:tc>
          <w:tcPr>
            <w:tcW w:type="dxa" w:w="6624"/>
          </w:tcPr>
          <w:p>
            <w:r>
              <w:t>Yes — persisted on the data_entries doc, per RFQ</w:t>
            </w:r>
          </w:p>
        </w:tc>
      </w:tr>
      <w:tr>
        <w:tc>
          <w:tcPr>
            <w:tcW w:type="dxa" w:w="2736"/>
          </w:tcPr>
          <w:p>
            <w:r>
              <w:rPr>
                <w:b/>
              </w:rPr>
              <w:t>Comparison</w:t>
            </w:r>
          </w:p>
        </w:tc>
        <w:tc>
          <w:tcPr>
            <w:tcW w:type="dxa" w:w="6624"/>
          </w:tcPr>
          <w:p>
            <w:r>
              <w:t>MediaOcean actuals vs the BL forecast, both summed over the analyzed months</w:t>
            </w:r>
          </w:p>
        </w:tc>
      </w:tr>
      <w:tr>
        <w:tc>
          <w:tcPr>
            <w:tcW w:type="dxa" w:w="2736"/>
          </w:tcPr>
          <w:p>
            <w:r>
              <w:rPr>
                <w:b/>
              </w:rPr>
              <w:t>Created / updated</w:t>
            </w:r>
          </w:p>
        </w:tc>
        <w:tc>
          <w:tcPr>
            <w:tcW w:type="dxa" w:w="6624"/>
          </w:tcPr>
          <w:p>
            <w:r>
              <w:t>Only by a validation run (reconciliation)</w:t>
            </w:r>
          </w:p>
        </w:tc>
      </w:tr>
      <w:tr>
        <w:tc>
          <w:tcPr>
            <w:tcW w:type="dxa" w:w="2736"/>
          </w:tcPr>
          <w:p>
            <w:r>
              <w:rPr>
                <w:b/>
              </w:rPr>
              <w:t>Justifiable?</w:t>
            </w:r>
          </w:p>
        </w:tc>
        <w:tc>
          <w:tcPr>
            <w:tcW w:type="dxa" w:w="6624"/>
          </w:tcPr>
          <w:p>
            <w:r>
              <w:t>Yes — context + comment required</w:t>
            </w:r>
          </w:p>
        </w:tc>
      </w:tr>
    </w:tbl>
    <w:p/>
    <w:p>
      <w:pPr>
        <w:pStyle w:val="Heading2"/>
      </w:pPr>
      <w:r>
        <w:t>6.1 The analyzed-month window (period sensitivity)</w:t>
      </w:r>
    </w:p>
    <w:p>
      <w:r>
        <w:rPr>
          <w:b w:val="0"/>
          <w:i w:val="0"/>
        </w:rPr>
        <w:t>MediaOcean fills in progressively, so comparing full-year actuals to a full-year forecast would always read as ‘under’. Each milestone therefore analyzes a specific set of months, configured by an admin in Admin → Flags config (global, not per client). Both sides are summed over exactly those months. An empty window means the milestone raises no under-target flag (it validates swings only). A ‘delay’ is expressed by leaving recent months out (e.g. the May Prelim RFQ2 might analyze only Jan–Mar because MediaOcean reports late). Each flag shows the months it was analyzed over.</w:t>
      </w:r>
    </w:p>
    <w:p>
      <w:pPr>
        <w:pStyle w:val="Heading3"/>
      </w:pPr>
      <w:r>
        <w:t>6.2 Media under target</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forecast(window) − MediaOcean(window) shortfall ≥ $50k OR ≥ 10% of forecast(window)</w:t>
            </w:r>
          </w:p>
        </w:tc>
      </w:tr>
      <w:tr>
        <w:tc>
          <w:tcPr>
            <w:tcW w:type="dxa" w:w="2736"/>
          </w:tcPr>
          <w:p>
            <w:r>
              <w:rPr>
                <w:b/>
              </w:rPr>
              <w:t>Threshold</w:t>
            </w:r>
          </w:p>
        </w:tc>
        <w:tc>
          <w:tcPr>
            <w:tcW w:type="dxa" w:w="6624"/>
          </w:tcPr>
          <w:p>
            <w:r>
              <w:t>$50,000 absolute OR 10% relative (whichever is met)</w:t>
            </w:r>
          </w:p>
        </w:tc>
      </w:tr>
      <w:tr>
        <w:tc>
          <w:tcPr>
            <w:tcW w:type="dxa" w:w="2736"/>
          </w:tcPr>
          <w:p>
            <w:r>
              <w:rPr>
                <w:b/>
              </w:rPr>
              <w:t>Axis / colour</w:t>
            </w:r>
          </w:p>
        </w:tc>
        <w:tc>
          <w:tcPr>
            <w:tcW w:type="dxa" w:w="6624"/>
          </w:tcPr>
          <w:p>
            <w:r>
              <w:t>Media (blue)</w:t>
            </w:r>
          </w:p>
        </w:tc>
      </w:tr>
      <w:tr>
        <w:tc>
          <w:tcPr>
            <w:tcW w:type="dxa" w:w="2736"/>
          </w:tcPr>
          <w:p>
            <w:r>
              <w:rPr>
                <w:b/>
              </w:rPr>
              <w:t>Change tracking</w:t>
            </w:r>
          </w:p>
        </w:tc>
        <w:tc>
          <w:tcPr>
            <w:tcW w:type="dxa" w:w="6624"/>
          </w:tcPr>
          <w:p>
            <w:r>
              <w:t>Stores the MediaOcean total at validation; a later change flips the milestone to ‘MediaOcean changed’</w:t>
            </w:r>
          </w:p>
        </w:tc>
      </w:tr>
    </w:tbl>
    <w:p/>
    <w:p>
      <w:pPr>
        <w:pStyle w:val="Heading3"/>
      </w:pPr>
      <w:r>
        <w:t>6.3 Labs under target</w:t>
      </w:r>
    </w:p>
    <w:tbl>
      <w:tblPr>
        <w:tblStyle w:val="TableGrid"/>
        <w:tblW w:type="auto" w:w="0"/>
        <w:tblLook w:firstColumn="1" w:firstRow="1" w:lastColumn="0" w:lastRow="0" w:noHBand="0" w:noVBand="1" w:val="04A0"/>
      </w:tblPr>
      <w:tblGrid>
        <w:gridCol w:w="4320"/>
        <w:gridCol w:w="4320"/>
      </w:tblGrid>
      <w:tr>
        <w:tc>
          <w:tcPr>
            <w:tcW w:type="dxa" w:w="2736"/>
          </w:tcPr>
          <w:p>
            <w:r>
              <w:rPr>
                <w:b/>
              </w:rPr>
              <w:t>Triggers when</w:t>
            </w:r>
          </w:p>
        </w:tc>
        <w:tc>
          <w:tcPr>
            <w:tcW w:type="dxa" w:w="6624"/>
          </w:tcPr>
          <w:p>
            <w:r>
              <w:t>forecast(window) − MediaOcean(window) shortfall ≥ $50k OR ≥ 10% of forecast(window)</w:t>
            </w:r>
          </w:p>
        </w:tc>
      </w:tr>
      <w:tr>
        <w:tc>
          <w:tcPr>
            <w:tcW w:type="dxa" w:w="2736"/>
          </w:tcPr>
          <w:p>
            <w:r>
              <w:rPr>
                <w:b/>
              </w:rPr>
              <w:t>Threshold</w:t>
            </w:r>
          </w:p>
        </w:tc>
        <w:tc>
          <w:tcPr>
            <w:tcW w:type="dxa" w:w="6624"/>
          </w:tcPr>
          <w:p>
            <w:r>
              <w:t>$50,000 absolute OR 10% relative (whichever is met)</w:t>
            </w:r>
          </w:p>
        </w:tc>
      </w:tr>
      <w:tr>
        <w:tc>
          <w:tcPr>
            <w:tcW w:type="dxa" w:w="2736"/>
          </w:tcPr>
          <w:p>
            <w:r>
              <w:rPr>
                <w:b/>
              </w:rPr>
              <w:t>Axis / colour</w:t>
            </w:r>
          </w:p>
        </w:tc>
        <w:tc>
          <w:tcPr>
            <w:tcW w:type="dxa" w:w="6624"/>
          </w:tcPr>
          <w:p>
            <w:r>
              <w:t>Labs (purple)</w:t>
            </w:r>
          </w:p>
        </w:tc>
      </w:tr>
      <w:tr>
        <w:tc>
          <w:tcPr>
            <w:tcW w:type="dxa" w:w="2736"/>
          </w:tcPr>
          <w:p>
            <w:r>
              <w:rPr>
                <w:b/>
              </w:rPr>
              <w:t>Change tracking</w:t>
            </w:r>
          </w:p>
        </w:tc>
        <w:tc>
          <w:tcPr>
            <w:tcW w:type="dxa" w:w="6624"/>
          </w:tcPr>
          <w:p>
            <w:r>
              <w:t>Stores the MediaOcean total at validation; a later change flips the milestone to ‘MediaOcean changed’</w:t>
            </w:r>
          </w:p>
        </w:tc>
      </w:tr>
    </w:tbl>
    <w:p/>
    <w:p>
      <w:pPr>
        <w:pStyle w:val="Heading1"/>
      </w:pPr>
      <w:r>
        <w:t>7. Justifying a flag (categories 3 &amp; 4)</w:t>
      </w:r>
    </w:p>
    <w:p>
      <w:r>
        <w:rPr>
          <w:b w:val="0"/>
          <w:i w:val="0"/>
        </w:rPr>
        <w:t>A flag counts as justified only when it carries BOTH a context and a non-empty comment. Justification is editable even on a locked RFQ (it is an annotation, not forecast data).</w:t>
      </w:r>
    </w:p>
    <w:p>
      <w:pPr>
        <w:pStyle w:val="Heading3"/>
      </w:pPr>
      <w:r>
        <w:t>7.1 Context options</w:t>
      </w:r>
    </w:p>
    <w:p>
      <w:pPr>
        <w:pStyle w:val="ListBullet"/>
      </w:pPr>
      <w:r>
        <w:t>Performance / Pricing</w:t>
      </w:r>
    </w:p>
    <w:p>
      <w:pPr>
        <w:pStyle w:val="ListBullet"/>
      </w:pPr>
      <w:r>
        <w:t>Budget Cuts</w:t>
      </w:r>
    </w:p>
    <w:p>
      <w:pPr>
        <w:pStyle w:val="ListBullet"/>
      </w:pPr>
      <w:r>
        <w:t>Cancelled</w:t>
      </w:r>
    </w:p>
    <w:p>
      <w:pPr>
        <w:pStyle w:val="ListBullet"/>
      </w:pPr>
      <w:r>
        <w:t>Timing Shift</w:t>
      </w:r>
    </w:p>
    <w:p>
      <w:pPr>
        <w:pStyle w:val="ListBullet"/>
      </w:pPr>
      <w:r>
        <w:t>Incomplete Input</w:t>
      </w:r>
    </w:p>
    <w:p>
      <w:pPr>
        <w:pStyle w:val="Heading3"/>
      </w:pPr>
      <w:r>
        <w:t>7.2 Drift log</w:t>
      </w:r>
    </w:p>
    <w:p>
      <w:r>
        <w:rPr>
          <w:b w:val="0"/>
          <w:i w:val="0"/>
        </w:rPr>
        <w:t>When a flag is justified, its numbers are snapshotted. If a later validation refreshes the numbers, the justification is kept but the card shows ‘Justified when it was $X — now $Y’, prompting a review. The flag never auto-unjustifies from a number change alone.</w:t>
      </w:r>
    </w:p>
    <w:p>
      <w:pPr>
        <w:pStyle w:val="Heading1"/>
      </w:pPr>
      <w:r>
        <w:t>8. Thresholds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Flag / alert</w:t>
            </w:r>
          </w:p>
        </w:tc>
        <w:tc>
          <w:tcPr>
            <w:tcW w:type="dxa" w:w="2160"/>
          </w:tcPr>
          <w:p>
            <w:r>
              <w:rPr>
                <w:b/>
              </w:rPr>
              <w:t>Category</w:t>
            </w:r>
          </w:p>
        </w:tc>
        <w:tc>
          <w:tcPr>
            <w:tcW w:type="dxa" w:w="2160"/>
          </w:tcPr>
          <w:p>
            <w:r>
              <w:rPr>
                <w:b/>
              </w:rPr>
              <w:t>Threshold</w:t>
            </w:r>
          </w:p>
        </w:tc>
        <w:tc>
          <w:tcPr>
            <w:tcW w:type="dxa" w:w="2160"/>
          </w:tcPr>
          <w:p>
            <w:r>
              <w:rPr>
                <w:b/>
              </w:rPr>
              <w:t>Granularity</w:t>
            </w:r>
          </w:p>
        </w:tc>
      </w:tr>
      <w:tr>
        <w:tc>
          <w:tcPr>
            <w:tcW w:type="dxa" w:w="2160"/>
          </w:tcPr>
          <w:p>
            <w:r>
              <w:t>Commission matches media</w:t>
            </w:r>
          </w:p>
        </w:tc>
        <w:tc>
          <w:tcPr>
            <w:tcW w:type="dxa" w:w="2160"/>
          </w:tcPr>
          <w:p>
            <w:r>
              <w:t>1 QA Admin</w:t>
            </w:r>
          </w:p>
        </w:tc>
        <w:tc>
          <w:tcPr>
            <w:tcW w:type="dxa" w:w="2160"/>
          </w:tcPr>
          <w:p>
            <w:r>
              <w:t>$10 or 5% (slider)</w:t>
            </w:r>
          </w:p>
        </w:tc>
        <w:tc>
          <w:tcPr>
            <w:tcW w:type="dxa" w:w="2160"/>
          </w:tcPr>
          <w:p>
            <w:r>
              <w:t>client × month</w:t>
            </w:r>
          </w:p>
        </w:tc>
      </w:tr>
      <w:tr>
        <w:tc>
          <w:tcPr>
            <w:tcW w:type="dxa" w:w="2160"/>
          </w:tcPr>
          <w:p>
            <w:r>
              <w:t>GAIA lines match Official Revenue</w:t>
            </w:r>
          </w:p>
        </w:tc>
        <w:tc>
          <w:tcPr>
            <w:tcW w:type="dxa" w:w="2160"/>
          </w:tcPr>
          <w:p>
            <w:r>
              <w:t>1 QA Admin</w:t>
            </w:r>
          </w:p>
        </w:tc>
        <w:tc>
          <w:tcPr>
            <w:tcW w:type="dxa" w:w="2160"/>
          </w:tcPr>
          <w:p>
            <w:r>
              <w:t>$0.50 or 5% (slider)</w:t>
            </w:r>
          </w:p>
        </w:tc>
        <w:tc>
          <w:tcPr>
            <w:tcW w:type="dxa" w:w="2160"/>
          </w:tcPr>
          <w:p>
            <w:r>
              <w:t>client × month</w:t>
            </w:r>
          </w:p>
        </w:tc>
      </w:tr>
      <w:tr>
        <w:tc>
          <w:tcPr>
            <w:tcW w:type="dxa" w:w="2160"/>
          </w:tcPr>
          <w:p>
            <w:r>
              <w:t>Labs over media</w:t>
            </w:r>
          </w:p>
        </w:tc>
        <w:tc>
          <w:tcPr>
            <w:tcW w:type="dxa" w:w="2160"/>
          </w:tcPr>
          <w:p>
            <w:r>
              <w:t>2 QA BL</w:t>
            </w:r>
          </w:p>
        </w:tc>
        <w:tc>
          <w:tcPr>
            <w:tcW w:type="dxa" w:w="2160"/>
          </w:tcPr>
          <w:p>
            <w:r>
              <w:t>$0.50</w:t>
            </w:r>
          </w:p>
        </w:tc>
        <w:tc>
          <w:tcPr>
            <w:tcW w:type="dxa" w:w="2160"/>
          </w:tcPr>
          <w:p>
            <w:r>
              <w:t>month × media type</w:t>
            </w:r>
          </w:p>
        </w:tc>
      </w:tr>
      <w:tr>
        <w:tc>
          <w:tcPr>
            <w:tcW w:type="dxa" w:w="2160"/>
          </w:tcPr>
          <w:p>
            <w:r>
              <w:t>Under forecast (Media)</w:t>
            </w:r>
          </w:p>
        </w:tc>
        <w:tc>
          <w:tcPr>
            <w:tcW w:type="dxa" w:w="2160"/>
          </w:tcPr>
          <w:p>
            <w:r>
              <w:t>2 QA BL</w:t>
            </w:r>
          </w:p>
        </w:tc>
        <w:tc>
          <w:tcPr>
            <w:tcW w:type="dxa" w:w="2160"/>
          </w:tcPr>
          <w:p>
            <w:r>
              <w:t>$1,000</w:t>
            </w:r>
          </w:p>
        </w:tc>
        <w:tc>
          <w:tcPr>
            <w:tcW w:type="dxa" w:w="2160"/>
          </w:tcPr>
          <w:p>
            <w:r>
              <w:t>month</w:t>
            </w:r>
          </w:p>
        </w:tc>
      </w:tr>
      <w:tr>
        <w:tc>
          <w:tcPr>
            <w:tcW w:type="dxa" w:w="2160"/>
          </w:tcPr>
          <w:p>
            <w:r>
              <w:t>Under forecast (Labs)</w:t>
            </w:r>
          </w:p>
        </w:tc>
        <w:tc>
          <w:tcPr>
            <w:tcW w:type="dxa" w:w="2160"/>
          </w:tcPr>
          <w:p>
            <w:r>
              <w:t>2 QA BL</w:t>
            </w:r>
          </w:p>
        </w:tc>
        <w:tc>
          <w:tcPr>
            <w:tcW w:type="dxa" w:w="2160"/>
          </w:tcPr>
          <w:p>
            <w:r>
              <w:t>$1,000</w:t>
            </w:r>
          </w:p>
        </w:tc>
        <w:tc>
          <w:tcPr>
            <w:tcW w:type="dxa" w:w="2160"/>
          </w:tcPr>
          <w:p>
            <w:r>
              <w:t>month</w:t>
            </w:r>
          </w:p>
        </w:tc>
      </w:tr>
      <w:tr>
        <w:tc>
          <w:tcPr>
            <w:tcW w:type="dxa" w:w="2160"/>
          </w:tcPr>
          <w:p>
            <w:r>
              <w:t>Revenue swing</w:t>
            </w:r>
          </w:p>
        </w:tc>
        <w:tc>
          <w:tcPr>
            <w:tcW w:type="dxa" w:w="2160"/>
          </w:tcPr>
          <w:p>
            <w:r>
              <w:t>3 Swing</w:t>
            </w:r>
          </w:p>
        </w:tc>
        <w:tc>
          <w:tcPr>
            <w:tcW w:type="dxa" w:w="2160"/>
          </w:tcPr>
          <w:p>
            <w:r>
              <w:t>$50,000 ±</w:t>
            </w:r>
          </w:p>
        </w:tc>
        <w:tc>
          <w:tcPr>
            <w:tcW w:type="dxa" w:w="2160"/>
          </w:tcPr>
          <w:p>
            <w:r>
              <w:t>annual</w:t>
            </w:r>
          </w:p>
        </w:tc>
      </w:tr>
      <w:tr>
        <w:tc>
          <w:tcPr>
            <w:tcW w:type="dxa" w:w="2160"/>
          </w:tcPr>
          <w:p>
            <w:r>
              <w:t>Media swing</w:t>
            </w:r>
          </w:p>
        </w:tc>
        <w:tc>
          <w:tcPr>
            <w:tcW w:type="dxa" w:w="2160"/>
          </w:tcPr>
          <w:p>
            <w:r>
              <w:t>3 Swing</w:t>
            </w:r>
          </w:p>
        </w:tc>
        <w:tc>
          <w:tcPr>
            <w:tcW w:type="dxa" w:w="2160"/>
          </w:tcPr>
          <w:p>
            <w:r>
              <w:t>$100,000 ±</w:t>
            </w:r>
          </w:p>
        </w:tc>
        <w:tc>
          <w:tcPr>
            <w:tcW w:type="dxa" w:w="2160"/>
          </w:tcPr>
          <w:p>
            <w:r>
              <w:t>annual × channel</w:t>
            </w:r>
          </w:p>
        </w:tc>
      </w:tr>
      <w:tr>
        <w:tc>
          <w:tcPr>
            <w:tcW w:type="dxa" w:w="2160"/>
          </w:tcPr>
          <w:p>
            <w:r>
              <w:t>Labs swing</w:t>
            </w:r>
          </w:p>
        </w:tc>
        <w:tc>
          <w:tcPr>
            <w:tcW w:type="dxa" w:w="2160"/>
          </w:tcPr>
          <w:p>
            <w:r>
              <w:t>3 Swing</w:t>
            </w:r>
          </w:p>
        </w:tc>
        <w:tc>
          <w:tcPr>
            <w:tcW w:type="dxa" w:w="2160"/>
          </w:tcPr>
          <w:p>
            <w:r>
              <w:t>$100,000 ±</w:t>
            </w:r>
          </w:p>
        </w:tc>
        <w:tc>
          <w:tcPr>
            <w:tcW w:type="dxa" w:w="2160"/>
          </w:tcPr>
          <w:p>
            <w:r>
              <w:t>annual × partner</w:t>
            </w:r>
          </w:p>
        </w:tc>
      </w:tr>
      <w:tr>
        <w:tc>
          <w:tcPr>
            <w:tcW w:type="dxa" w:w="2160"/>
          </w:tcPr>
          <w:p>
            <w:r>
              <w:t>Media under target</w:t>
            </w:r>
          </w:p>
        </w:tc>
        <w:tc>
          <w:tcPr>
            <w:tcW w:type="dxa" w:w="2160"/>
          </w:tcPr>
          <w:p>
            <w:r>
              <w:t>4 Under target</w:t>
            </w:r>
          </w:p>
        </w:tc>
        <w:tc>
          <w:tcPr>
            <w:tcW w:type="dxa" w:w="2160"/>
          </w:tcPr>
          <w:p>
            <w:r>
              <w:t>$50,000 or 10%</w:t>
            </w:r>
          </w:p>
        </w:tc>
        <w:tc>
          <w:tcPr>
            <w:tcW w:type="dxa" w:w="2160"/>
          </w:tcPr>
          <w:p>
            <w:r>
              <w:t>window</w:t>
            </w:r>
          </w:p>
        </w:tc>
      </w:tr>
      <w:tr>
        <w:tc>
          <w:tcPr>
            <w:tcW w:type="dxa" w:w="2160"/>
          </w:tcPr>
          <w:p>
            <w:r>
              <w:t>Labs under target</w:t>
            </w:r>
          </w:p>
        </w:tc>
        <w:tc>
          <w:tcPr>
            <w:tcW w:type="dxa" w:w="2160"/>
          </w:tcPr>
          <w:p>
            <w:r>
              <w:t>4 Under target</w:t>
            </w:r>
          </w:p>
        </w:tc>
        <w:tc>
          <w:tcPr>
            <w:tcW w:type="dxa" w:w="2160"/>
          </w:tcPr>
          <w:p>
            <w:r>
              <w:t>$50,000 or 10%</w:t>
            </w:r>
          </w:p>
        </w:tc>
        <w:tc>
          <w:tcPr>
            <w:tcW w:type="dxa" w:w="2160"/>
          </w:tcPr>
          <w:p>
            <w:r>
              <w:t>window</w:t>
            </w:r>
          </w:p>
        </w:tc>
      </w:tr>
    </w:tbl>
    <w:p/>
    <w:p>
      <w:pPr>
        <w:pStyle w:val="Heading1"/>
      </w:pPr>
      <w:r>
        <w:t>9. Colour code &amp; naming</w:t>
      </w:r>
    </w:p>
    <w:p>
      <w:r>
        <w:rPr>
          <w:b w:val="0"/>
          <w:i w:val="0"/>
        </w:rPr>
        <w:t>Axis colour code (Flags page): Media = blue, Labs = purple, Revenue = pink. Yellow is reserved for the warning surface of an open flag/alert; green marks the Validated state. A justified flag fades to a white card with a green check.</w:t>
      </w:r>
    </w:p>
    <w:tbl>
      <w:tblPr>
        <w:tblStyle w:val="TableGrid"/>
        <w:tblW w:type="auto" w:w="0"/>
        <w:tblLook w:firstColumn="1" w:firstRow="1" w:lastColumn="0" w:lastRow="0" w:noHBand="0" w:noVBand="1" w:val="04A0"/>
      </w:tblPr>
      <w:tblGrid>
        <w:gridCol w:w="4320"/>
        <w:gridCol w:w="4320"/>
      </w:tblGrid>
      <w:tr>
        <w:tc>
          <w:tcPr>
            <w:tcW w:type="dxa" w:w="4320"/>
          </w:tcPr>
          <w:p>
            <w:r>
              <w:rPr>
                <w:b/>
              </w:rPr>
              <w:t>Internal rule</w:t>
            </w:r>
          </w:p>
        </w:tc>
        <w:tc>
          <w:tcPr>
            <w:tcW w:type="dxa" w:w="4320"/>
          </w:tcPr>
          <w:p>
            <w:r>
              <w:rPr>
                <w:b/>
              </w:rPr>
              <w:t>Short name shown</w:t>
            </w:r>
          </w:p>
        </w:tc>
      </w:tr>
      <w:tr>
        <w:tc>
          <w:tcPr>
            <w:tcW w:type="dxa" w:w="4320"/>
          </w:tcPr>
          <w:p>
            <w:r>
              <w:t>mediaocean-over-media / -labs</w:t>
            </w:r>
          </w:p>
        </w:tc>
        <w:tc>
          <w:tcPr>
            <w:tcW w:type="dxa" w:w="4320"/>
          </w:tcPr>
          <w:p>
            <w:r>
              <w:t>Under forecast</w:t>
            </w:r>
          </w:p>
        </w:tc>
      </w:tr>
      <w:tr>
        <w:tc>
          <w:tcPr>
            <w:tcW w:type="dxa" w:w="4320"/>
          </w:tcPr>
          <w:p>
            <w:r>
              <w:t>labs-over-media</w:t>
            </w:r>
          </w:p>
        </w:tc>
        <w:tc>
          <w:tcPr>
            <w:tcW w:type="dxa" w:w="4320"/>
          </w:tcPr>
          <w:p>
            <w:r>
              <w:t>Labs over media</w:t>
            </w:r>
          </w:p>
        </w:tc>
      </w:tr>
      <w:tr>
        <w:tc>
          <w:tcPr>
            <w:tcW w:type="dxa" w:w="4320"/>
          </w:tcPr>
          <w:p>
            <w:r>
              <w:t>revenue-swing</w:t>
            </w:r>
          </w:p>
        </w:tc>
        <w:tc>
          <w:tcPr>
            <w:tcW w:type="dxa" w:w="4320"/>
          </w:tcPr>
          <w:p>
            <w:r>
              <w:t>Revenue swing</w:t>
            </w:r>
          </w:p>
        </w:tc>
      </w:tr>
      <w:tr>
        <w:tc>
          <w:tcPr>
            <w:tcW w:type="dxa" w:w="4320"/>
          </w:tcPr>
          <w:p>
            <w:r>
              <w:t>media-swing / labs-swing</w:t>
            </w:r>
          </w:p>
        </w:tc>
        <w:tc>
          <w:tcPr>
            <w:tcW w:type="dxa" w:w="4320"/>
          </w:tcPr>
          <w:p>
            <w:r>
              <w:t>channel / partner name</w:t>
            </w:r>
          </w:p>
        </w:tc>
      </w:tr>
      <w:tr>
        <w:tc>
          <w:tcPr>
            <w:tcW w:type="dxa" w:w="4320"/>
          </w:tcPr>
          <w:p>
            <w:r>
              <w:t>media-under-target / labs-under-target</w:t>
            </w:r>
          </w:p>
        </w:tc>
        <w:tc>
          <w:tcPr>
            <w:tcW w:type="dxa" w:w="4320"/>
          </w:tcPr>
          <w:p>
            <w:r>
              <w:t>Under target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