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Lande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r>
        <w:t>SLiM as a tool to computationally study these effects over long time scales</w:t>
      </w:r>
    </w:p>
    <w:p w14:paraId="34C5287C" w14:textId="0086DA92" w:rsidR="00E11C3E" w:rsidRDefault="00E11C3E" w:rsidP="00E11C3E">
      <w:pPr>
        <w:pStyle w:val="ListParagraph"/>
        <w:numPr>
          <w:ilvl w:val="0"/>
          <w:numId w:val="1"/>
        </w:numPr>
      </w:pPr>
      <w:r>
        <w:t>Introduction of aims – to quantify the effects of deleterious mutation and pleiotropy on neutral evolution in an intermediate-sized population &amp; to quantify the effects of del muts and pleio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r>
        <w:rPr>
          <w:lang w:val="en-US"/>
        </w:rPr>
        <w:t>SLiM</w:t>
      </w:r>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Both of my experimental models consisted of a SLiM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2A417C"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2A417C"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2A417C"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n is the number of traits, and x</w:t>
      </w:r>
      <w:r w:rsidR="00D46F7A">
        <w:rPr>
          <w:rFonts w:eastAsiaTheme="minorEastAsia"/>
          <w:vertAlign w:val="subscript"/>
          <w:lang w:val="en-US"/>
        </w:rPr>
        <w:t>n</w:t>
      </w:r>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002CB1A7"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models built for testing the null model, and 1</w:t>
      </w:r>
      <w:r w:rsidR="007D7DA5">
        <w:rPr>
          <w:lang w:val="en-US"/>
        </w:rPr>
        <w:t>28</w:t>
      </w:r>
      <w:r w:rsidR="00B43D42">
        <w:rPr>
          <w:lang w:val="en-US"/>
        </w:rPr>
        <w:t xml:space="preserve"> (</w:t>
      </w:r>
      <w:r w:rsidR="002B3D60">
        <w:rPr>
          <w:highlight w:val="yellow"/>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‘DoE.Wrapper’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Each model was repeated 100 times, using 100 seed values fed to SLiM.</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r</w:t>
      </w:r>
      <w:r w:rsidR="00742DB2">
        <w:rPr>
          <w:lang w:val="en-US"/>
        </w:rPr>
        <w:t>unif</w:t>
      </w:r>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1525A9">
        <w:rPr>
          <w:lang w:val="en-US"/>
        </w:rPr>
        <w:t xml:space="preserve"> across 960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661621">
        <w:rPr>
          <w:lang w:val="en-US"/>
        </w:rPr>
        <w:t xml:space="preserve">a </w:t>
      </w:r>
      <w:r w:rsidR="0050335C">
        <w:rPr>
          <w:lang w:val="en-US"/>
        </w:rPr>
        <w:t>SLiM</w:t>
      </w:r>
      <w:r w:rsidR="00C168CB">
        <w:rPr>
          <w:lang w:val="en-US"/>
        </w:rPr>
        <w:t xml:space="preserve"> process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lastRenderedPageBreak/>
        <w:t>Null model analysis</w:t>
      </w:r>
    </w:p>
    <w:p w14:paraId="6F8E7FC7" w14:textId="10FB135B" w:rsidR="00D33077" w:rsidRDefault="006F5D7C" w:rsidP="004F0C57">
      <w:pPr>
        <w:rPr>
          <w:lang w:val="en-US"/>
        </w:rPr>
      </w:pPr>
      <w:r>
        <w:rPr>
          <w:lang w:val="en-US"/>
        </w:rPr>
        <w:t>To compare null models generally</w:t>
      </w:r>
      <w:r w:rsidR="000A78C8">
        <w:rPr>
          <w:lang w:val="en-US"/>
        </w:rPr>
        <w:t xml:space="preserve">, I </w:t>
      </w:r>
      <w:r w:rsidR="005C3EB4">
        <w:rPr>
          <w:lang w:val="en-US"/>
        </w:rPr>
        <w:t>compared mean variances, covariances, population means, and heterozygosities at generation 150,000</w:t>
      </w:r>
      <w:r w:rsidR="0022375E">
        <w:rPr>
          <w:lang w:val="en-US"/>
        </w:rPr>
        <w:t xml:space="preserve"> using </w:t>
      </w:r>
      <w:r>
        <w:rPr>
          <w:lang w:val="en-US"/>
        </w:rPr>
        <w:t>a linear regression.</w:t>
      </w:r>
      <w:r w:rsidR="000A5207">
        <w:rPr>
          <w:lang w:val="en-US"/>
        </w:rPr>
        <w:t xml:space="preserve"> Data was not transformed owing to the large sample sizes, which via the central limit theorem ensures that coefficient estimates are approximately normally distributed, and t-values are robust to deviations of sample data from normality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p>
    <w:p w14:paraId="5D052254" w14:textId="370F480F"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I binned each parameter into eight categories equidistant factor levels</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bookmarkStart w:id="0" w:name="_GoBack"/>
      <w:bookmarkEnd w:id="0"/>
      <w:r w:rsidR="00981368">
        <w:rPr>
          <w:lang w:val="en-US"/>
        </w:rPr>
        <w:t>factor level</w:t>
      </w:r>
      <w:r w:rsidR="00B00A38">
        <w:rPr>
          <w:lang w:val="en-US"/>
        </w:rPr>
        <w:t>.</w:t>
      </w:r>
      <w:r w:rsidR="00FB0206">
        <w:rPr>
          <w:lang w:val="en-US"/>
        </w:rPr>
        <w:t xml:space="preserve"> Using </w:t>
      </w:r>
      <w:r w:rsidR="00370DEA">
        <w:rPr>
          <w:lang w:val="en-US"/>
        </w:rPr>
        <w:t>five</w:t>
      </w:r>
      <w:r w:rsidR="00254E87">
        <w:rPr>
          <w:lang w:val="en-US"/>
        </w:rPr>
        <w:t xml:space="preserve">-way </w:t>
      </w:r>
      <w:r w:rsidR="002A417C">
        <w:rPr>
          <w:lang w:val="en-US"/>
        </w:rPr>
        <w:t xml:space="preserve">type-I </w:t>
      </w:r>
      <w:r w:rsidR="00FB0206">
        <w:rPr>
          <w:lang w:val="en-US"/>
        </w:rPr>
        <w:t>ANOVA</w:t>
      </w:r>
      <w:r w:rsidR="00370DEA">
        <w:rPr>
          <w:lang w:val="en-US"/>
        </w:rPr>
        <w:t>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A417C">
        <w:rPr>
          <w:lang w:val="en-US"/>
        </w:rPr>
        <w:t xml:space="preserve"> </w:t>
      </w:r>
      <w:r w:rsidR="002A417C">
        <w:rPr>
          <w:b/>
          <w:lang w:val="en-US"/>
        </w:rPr>
        <w:t>MANOVA ?? Results were exactly the same from MANOVA vs 3 separate type-I ANOVAs</w:t>
      </w:r>
    </w:p>
    <w:p w14:paraId="52111282" w14:textId="77777777"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AE015D">
        <w:rPr>
          <w:lang w:val="en-US"/>
        </w:rPr>
        <w:t>bins of each variable</w:t>
      </w:r>
      <w:r w:rsidR="00034011">
        <w:rPr>
          <w:lang w:val="en-US"/>
        </w:rPr>
        <w:t>.</w:t>
      </w:r>
      <w:r w:rsidR="00131663">
        <w:rPr>
          <w:lang w:val="en-US"/>
        </w:rPr>
        <w:t xml:space="preserve"> </w:t>
      </w:r>
      <w:r w:rsidR="00AE015D">
        <w:rPr>
          <w:lang w:val="en-US"/>
        </w:rPr>
        <w:t xml:space="preserve">This was done using </w:t>
      </w:r>
      <w:r w:rsidR="002B286E">
        <w:rPr>
          <w:lang w:val="en-US"/>
        </w:rPr>
        <w:t xml:space="preserve">the ‘vcvComp’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two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FF0D0C">
        <w:rPr>
          <w:lang w:val="en-US"/>
        </w:rPr>
        <w:t>.</w:t>
      </w:r>
      <w:r w:rsidR="009D0D47">
        <w:rPr>
          <w:lang w:val="en-US"/>
        </w:rPr>
        <w:t xml:space="preserve"> </w:t>
      </w:r>
      <w:r w:rsidR="00110238">
        <w:rPr>
          <w:lang w:val="en-US"/>
        </w:rPr>
        <w:t xml:space="preserve">To reduce the noise in the data, I </w:t>
      </w:r>
      <w:r w:rsidR="007410E2">
        <w:rPr>
          <w:lang w:val="en-US"/>
        </w:rPr>
        <w:t>retained only relative PCAs between models with minimal difference in each parameter (i.e. they belonged to the same bin), and those with the maximum difference (models were in the most extreme bins, with the highest and lowest values for their parameter ranges).</w:t>
      </w:r>
      <w:r w:rsidR="00055CC2">
        <w:rPr>
          <w:lang w:val="en-US"/>
        </w:rPr>
        <w:t xml:space="preserve"> These two ranges </w:t>
      </w:r>
      <w:r w:rsidR="00F71B00">
        <w:rPr>
          <w:lang w:val="en-US"/>
        </w:rPr>
        <w:t>defined</w:t>
      </w:r>
      <w:r w:rsidR="00055CC2">
        <w:rPr>
          <w:lang w:val="en-US"/>
        </w:rPr>
        <w:t xml:space="preserve"> two </w:t>
      </w:r>
      <w:r w:rsidR="00F71B00">
        <w:rPr>
          <w:lang w:val="en-US"/>
        </w:rPr>
        <w:t>groups</w:t>
      </w:r>
      <w:r w:rsidR="00055CC2">
        <w:rPr>
          <w:lang w:val="en-US"/>
        </w:rPr>
        <w:t xml:space="preserve"> to perform statistical analysis on.</w:t>
      </w:r>
      <w:r w:rsidR="001C6F41">
        <w:rPr>
          <w:lang w:val="en-US"/>
        </w:rPr>
        <w:t xml:space="preserve"> </w:t>
      </w:r>
    </w:p>
    <w:p w14:paraId="306F2267" w14:textId="591809E3" w:rsidR="001E2A26" w:rsidRDefault="001C6F41" w:rsidP="00FB0206">
      <w:pPr>
        <w:rPr>
          <w:lang w:val="en-US"/>
        </w:rPr>
      </w:pPr>
      <w:r>
        <w:rPr>
          <w:lang w:val="en-US"/>
        </w:rPr>
        <w:t xml:space="preserve">I compared mean log generalized variances for each parameter with unpaired t-tests, adjusting for multiple comparisons with </w:t>
      </w:r>
      <w:r w:rsidRPr="001C6F41">
        <w:rPr>
          <w:highlight w:val="yellow"/>
          <w:lang w:val="en-US"/>
        </w:rPr>
        <w:t>Bonferroni correction</w:t>
      </w:r>
      <w:r>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867601">
        <w:rPr>
          <w:lang w:val="en-US"/>
        </w:rPr>
        <w:t xml:space="preserve">using </w:t>
      </w:r>
      <w:r w:rsidR="00867601">
        <w:rPr>
          <w:lang w:val="en-US"/>
        </w:rPr>
        <w:t>Kolmogorov-Smirnov</w:t>
      </w:r>
      <w:r w:rsidR="00867601">
        <w:rPr>
          <w:lang w:val="en-US"/>
        </w:rPr>
        <w:t xml:space="preserve"> tests, and the variance between groups with a </w:t>
      </w:r>
      <w:r w:rsidR="00AC70B0">
        <w:rPr>
          <w:lang w:val="en-US"/>
        </w:rPr>
        <w:t>five-way type I</w:t>
      </w:r>
      <w:r w:rsidR="00867601">
        <w:rPr>
          <w:lang w:val="en-US"/>
        </w:rPr>
        <w:t xml:space="preserve"> ANOVA comparing </w:t>
      </w:r>
      <w:r w:rsidR="00AC70B0">
        <w:rPr>
          <w:lang w:val="en-US"/>
        </w:rPr>
        <w:t xml:space="preserve">only </w:t>
      </w:r>
      <w:r w:rsidR="00260698">
        <w:rPr>
          <w:lang w:val="en-US"/>
        </w:rPr>
        <w:t>first-order</w:t>
      </w:r>
      <w:r w:rsidR="00AC70B0">
        <w:rPr>
          <w:lang w:val="en-US"/>
        </w:rPr>
        <w:t xml:space="preserve"> interactions between predictor variables.</w:t>
      </w:r>
      <w:r w:rsidR="00867601">
        <w:rPr>
          <w:lang w:val="en-US"/>
        </w:rPr>
        <w:t xml:space="preserve"> </w:t>
      </w:r>
      <w:r w:rsidR="00567DCF">
        <w:rPr>
          <w:lang w:val="en-US"/>
        </w:rPr>
        <w:t>To assess which interactions were significant, I performed a post-hoc Tukey honest significant differences</w:t>
      </w:r>
      <w:r w:rsidR="00B32810">
        <w:rPr>
          <w:lang w:val="en-US"/>
        </w:rPr>
        <w:t xml:space="preserve"> test. </w:t>
      </w:r>
    </w:p>
    <w:p w14:paraId="4551C588" w14:textId="77777777" w:rsidR="00994321" w:rsidRDefault="00994321" w:rsidP="00FB0206">
      <w:pPr>
        <w:rPr>
          <w:lang w:val="en-US"/>
        </w:rPr>
      </w:pPr>
    </w:p>
    <w:p w14:paraId="328799AB" w14:textId="588FFB2D" w:rsidR="001E2A26" w:rsidRDefault="00994321" w:rsidP="00994321">
      <w:pPr>
        <w:pStyle w:val="Heading2"/>
      </w:pPr>
      <w:r>
        <w:lastRenderedPageBreak/>
        <w:t>Selection model analysis</w:t>
      </w:r>
    </w:p>
    <w:p w14:paraId="171EFD34" w14:textId="23109CCA" w:rsidR="001E2A26" w:rsidRDefault="00994321" w:rsidP="00FB0206">
      <w:pPr>
        <w:rPr>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in statistical models. In addition, I computed the population mean distance from the optimum for each replicate and model, comparing these distances with another type I ANOVA</w:t>
      </w:r>
      <w:r w:rsidR="001A6709">
        <w:rPr>
          <w:rFonts w:eastAsiaTheme="minorEastAsia"/>
          <w:lang w:val="en-US"/>
        </w:rPr>
        <w:t xml:space="preserve">. </w:t>
      </w:r>
    </w:p>
    <w:p w14:paraId="3D946CEB" w14:textId="3E9EDF32"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349AA056" w:rsidR="00976FCF" w:rsidRDefault="005B7EF5" w:rsidP="004F0C57">
      <w:pPr>
        <w:rPr>
          <w:lang w:val="en-US"/>
        </w:rPr>
      </w:pPr>
      <w:r>
        <w:rPr>
          <w:lang w:val="en-US"/>
        </w:rPr>
        <w:t>I first analysed the effects of background selection, recombination rate, pleiotropic covariance, rate of pleiotropy, and additive effect size (along with their first-order interactions) on heterozygosity with a linear regression. This model expl</w:t>
      </w:r>
      <w:r w:rsidR="0075385C">
        <w:rPr>
          <w:lang w:val="en-US"/>
        </w:rPr>
        <w:t xml:space="preserve">ained 81.7% of total variation. I found that increasing </w:t>
      </w:r>
      <w:r>
        <w:rPr>
          <w:lang w:val="en-US"/>
        </w:rPr>
        <w:t xml:space="preserve">background selection </w:t>
      </w:r>
      <w:r w:rsidR="0075385C">
        <w:rPr>
          <w:lang w:val="en-US"/>
        </w:rPr>
        <w:t xml:space="preserve">reduced heterozygosity, </w:t>
      </w:r>
      <w:r>
        <w:rPr>
          <w:lang w:val="en-US"/>
        </w:rPr>
        <w:t>(</w:t>
      </w:r>
      <w:r>
        <w:rPr>
          <w:lang w:val="en-US"/>
        </w:rPr>
        <w:t>β</w:t>
      </w:r>
      <w:r>
        <w:rPr>
          <w:lang w:val="en-US"/>
        </w:rPr>
        <w:t xml:space="preserve"> = -0.137, p &lt; 0.0001), recombination rate</w:t>
      </w:r>
      <w:r w:rsidR="0075385C">
        <w:rPr>
          <w:lang w:val="en-US"/>
        </w:rPr>
        <w:t xml:space="preserve"> increased it</w:t>
      </w:r>
      <w:r>
        <w:rPr>
          <w:lang w:val="en-US"/>
        </w:rPr>
        <w:t xml:space="preserve"> (</w:t>
      </w:r>
      <w:r>
        <w:rPr>
          <w:lang w:val="en-US"/>
        </w:rPr>
        <w:t>β</w:t>
      </w:r>
      <w:r>
        <w:rPr>
          <w:lang w:val="en-US"/>
        </w:rPr>
        <w:t xml:space="preserve"> = 155.5, p &lt; 0.0001)</w:t>
      </w:r>
      <w:r w:rsidR="0075385C">
        <w:rPr>
          <w:lang w:val="en-US"/>
        </w:rPr>
        <w:t>, and recombination alleviated some of the effects of background selection on heterozygosity via interaction (</w:t>
      </w:r>
      <w:r w:rsidR="0075385C">
        <w:rPr>
          <w:lang w:val="en-US"/>
        </w:rPr>
        <w:t xml:space="preserve">β = 122.9, p &lt; 0.0001).  </w:t>
      </w:r>
    </w:p>
    <w:p w14:paraId="117DFE56" w14:textId="64B24F0E" w:rsidR="0075385C" w:rsidRDefault="00380507" w:rsidP="004F0C57">
      <w:pPr>
        <w:rPr>
          <w:lang w:val="en-US"/>
        </w:rPr>
      </w:pPr>
      <w:r>
        <w:rPr>
          <w:lang w:val="en-US"/>
        </w:rPr>
        <w:t xml:space="preserve">I then analysed the effects of the parameters on variance and covariance, again using a linear regression model, and choosing to </w:t>
      </w:r>
      <w:r w:rsidR="00BE2813">
        <w:rPr>
          <w:lang w:val="en-US"/>
        </w:rPr>
        <w:t xml:space="preserve">focus on the variance of trait 1 and covariance between traits 1 and 2 as a proxy for all of the variance and covariance terms. </w:t>
      </w:r>
      <w:r w:rsidR="000A17B9">
        <w:rPr>
          <w:lang w:val="en-US"/>
        </w:rPr>
        <w:t>I did a more complete analysis of the total variance-covariance structure with PCA and relative PCA later on.</w:t>
      </w:r>
      <w:r w:rsidR="006E0C52">
        <w:rPr>
          <w:lang w:val="en-US"/>
        </w:rPr>
        <w:t xml:space="preserve"> I found that deleterious mutation increased variance</w:t>
      </w:r>
    </w:p>
    <w:p w14:paraId="0080E3A9" w14:textId="77777777" w:rsidR="0075385C" w:rsidRDefault="0075385C" w:rsidP="004F0C57">
      <w:pPr>
        <w:rPr>
          <w:lang w:val="en-US"/>
        </w:rPr>
      </w:pPr>
    </w:p>
    <w:p w14:paraId="6BAA7986" w14:textId="77777777" w:rsidR="0075385C" w:rsidRDefault="0075385C" w:rsidP="004F0C57">
      <w:pPr>
        <w:rPr>
          <w:lang w:val="en-US"/>
        </w:rPr>
      </w:pPr>
    </w:p>
    <w:p w14:paraId="0604ED31" w14:textId="77777777" w:rsidR="0075385C" w:rsidRDefault="0075385C" w:rsidP="004F0C57">
      <w:pPr>
        <w:rPr>
          <w:lang w:val="en-US"/>
        </w:rPr>
      </w:pP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72C8EF76" w14:textId="67A70190" w:rsidR="00EA1E67" w:rsidRDefault="00EA1E67" w:rsidP="004F0C57">
      <w:pPr>
        <w:rPr>
          <w:lang w:val="en-US"/>
        </w:rPr>
        <w:sectPr w:rsidR="00EA1E67">
          <w:pgSz w:w="12240" w:h="15840"/>
          <w:pgMar w:top="1440" w:right="1440" w:bottom="1440" w:left="1440" w:header="720" w:footer="720" w:gutter="0"/>
          <w:cols w:space="720"/>
          <w:docGrid w:linePitch="360"/>
        </w:sectPr>
      </w:pP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14029" w:type="dxa"/>
        <w:tblLook w:val="04A0" w:firstRow="1" w:lastRow="0" w:firstColumn="1" w:lastColumn="0" w:noHBand="0" w:noVBand="1"/>
      </w:tblPr>
      <w:tblGrid>
        <w:gridCol w:w="1724"/>
        <w:gridCol w:w="1106"/>
        <w:gridCol w:w="1843"/>
        <w:gridCol w:w="6804"/>
        <w:gridCol w:w="2552"/>
      </w:tblGrid>
      <w:tr w:rsidR="00AF78B6" w14:paraId="7D2A35BD" w14:textId="77777777" w:rsidTr="00AF78B6">
        <w:trPr>
          <w:cantSplit/>
          <w:trHeight w:val="1134"/>
        </w:trPr>
        <w:tc>
          <w:tcPr>
            <w:tcW w:w="1724" w:type="dxa"/>
          </w:tcPr>
          <w:p w14:paraId="5EF1EBC9" w14:textId="77777777" w:rsidR="00564ED3" w:rsidRDefault="00564ED3" w:rsidP="009A464C">
            <w:pPr>
              <w:rPr>
                <w:lang w:val="en-US"/>
              </w:rPr>
            </w:pPr>
            <w:r>
              <w:rPr>
                <w:lang w:val="en-US"/>
              </w:rPr>
              <w:t>Parameter</w:t>
            </w:r>
          </w:p>
        </w:tc>
        <w:tc>
          <w:tcPr>
            <w:tcW w:w="1106" w:type="dxa"/>
          </w:tcPr>
          <w:p w14:paraId="3AE31196" w14:textId="4DEBDDF1" w:rsidR="00564ED3" w:rsidRDefault="00564ED3" w:rsidP="009A464C">
            <w:pPr>
              <w:rPr>
                <w:lang w:val="en-US"/>
              </w:rPr>
            </w:pPr>
            <w:r>
              <w:rPr>
                <w:lang w:val="en-US"/>
              </w:rPr>
              <w:t>Symbol</w:t>
            </w:r>
          </w:p>
        </w:tc>
        <w:tc>
          <w:tcPr>
            <w:tcW w:w="1843" w:type="dxa"/>
          </w:tcPr>
          <w:p w14:paraId="01EF620E" w14:textId="65E5C5D3" w:rsidR="00564ED3" w:rsidRDefault="00564ED3" w:rsidP="009A464C">
            <w:pPr>
              <w:rPr>
                <w:lang w:val="en-US"/>
              </w:rPr>
            </w:pPr>
            <w:r>
              <w:rPr>
                <w:lang w:val="en-US"/>
              </w:rPr>
              <w:t>Range</w:t>
            </w:r>
          </w:p>
        </w:tc>
        <w:tc>
          <w:tcPr>
            <w:tcW w:w="6804" w:type="dxa"/>
          </w:tcPr>
          <w:p w14:paraId="412196C6" w14:textId="21CE0D1A" w:rsidR="00564ED3" w:rsidRDefault="00564ED3" w:rsidP="009A464C">
            <w:pPr>
              <w:rPr>
                <w:lang w:val="en-US"/>
              </w:rPr>
            </w:pPr>
            <w:r>
              <w:rPr>
                <w:lang w:val="en-US"/>
              </w:rPr>
              <w:t>Description</w:t>
            </w:r>
          </w:p>
        </w:tc>
        <w:tc>
          <w:tcPr>
            <w:tcW w:w="2552" w:type="dxa"/>
          </w:tcPr>
          <w:p w14:paraId="57915301" w14:textId="0FC2D993" w:rsidR="00564ED3" w:rsidRDefault="00564ED3" w:rsidP="009A464C">
            <w:pPr>
              <w:rPr>
                <w:lang w:val="en-US"/>
              </w:rPr>
            </w:pPr>
            <w:r>
              <w:rPr>
                <w:lang w:val="en-US"/>
              </w:rPr>
              <w:t>Source(s)</w:t>
            </w:r>
          </w:p>
        </w:tc>
      </w:tr>
      <w:tr w:rsidR="00AF78B6" w14:paraId="0EB209E1" w14:textId="77777777" w:rsidTr="00AF78B6">
        <w:trPr>
          <w:cantSplit/>
          <w:trHeight w:val="1134"/>
        </w:trPr>
        <w:tc>
          <w:tcPr>
            <w:tcW w:w="1724" w:type="dxa"/>
          </w:tcPr>
          <w:p w14:paraId="575C857A" w14:textId="77777777" w:rsidR="00564ED3" w:rsidRDefault="00564ED3" w:rsidP="009A464C">
            <w:pPr>
              <w:rPr>
                <w:lang w:val="en-US"/>
              </w:rPr>
            </w:pPr>
            <w:r>
              <w:rPr>
                <w:lang w:val="en-US"/>
              </w:rPr>
              <w:t>Genome wide recombination rate</w:t>
            </w:r>
          </w:p>
        </w:tc>
        <w:tc>
          <w:tcPr>
            <w:tcW w:w="1106" w:type="dxa"/>
          </w:tcPr>
          <w:p w14:paraId="40CFB2FF" w14:textId="7B21D2F0" w:rsidR="00564ED3" w:rsidRPr="00CD5941" w:rsidRDefault="00564ED3" w:rsidP="009A464C">
            <w:pPr>
              <w:rPr>
                <w:lang w:val="en-US"/>
              </w:rPr>
            </w:pPr>
            <w:r>
              <w:rPr>
                <w:lang w:val="en-US"/>
              </w:rPr>
              <w:t>r</w:t>
            </w:r>
          </w:p>
        </w:tc>
        <w:tc>
          <w:tcPr>
            <w:tcW w:w="1843" w:type="dxa"/>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804" w:type="dxa"/>
          </w:tcPr>
          <w:p w14:paraId="1B964AF1" w14:textId="113DA504" w:rsidR="00564ED3" w:rsidRDefault="00564ED3" w:rsidP="009A464C">
            <w:pPr>
              <w:rPr>
                <w:lang w:val="en-US"/>
              </w:rPr>
            </w:pPr>
            <w:r>
              <w:rPr>
                <w:lang w:val="en-US"/>
              </w:rPr>
              <w:t xml:space="preserve">The singular recombination rate used across the entire simulated genome. </w:t>
            </w:r>
          </w:p>
          <w:p w14:paraId="1F94AF7A" w14:textId="77777777" w:rsidR="00564ED3" w:rsidRDefault="00564ED3" w:rsidP="009A464C">
            <w:pPr>
              <w:rPr>
                <w:lang w:val="en-US"/>
              </w:rPr>
            </w:pPr>
          </w:p>
        </w:tc>
        <w:tc>
          <w:tcPr>
            <w:tcW w:w="2552" w:type="dxa"/>
          </w:tcPr>
          <w:p w14:paraId="34C54342" w14:textId="40A1F083" w:rsidR="00564ED3" w:rsidRDefault="00564ED3" w:rsidP="009A464C">
            <w:pPr>
              <w:rPr>
                <w:lang w:val="en-US"/>
              </w:rPr>
            </w:pPr>
            <w:r>
              <w:rPr>
                <w:lang w:val="en-US"/>
              </w:rPr>
              <w:t>Stapley et al. 2017</w:t>
            </w:r>
          </w:p>
        </w:tc>
      </w:tr>
      <w:tr w:rsidR="00AF78B6" w14:paraId="18FC9075" w14:textId="77777777" w:rsidTr="00AF78B6">
        <w:trPr>
          <w:cantSplit/>
          <w:trHeight w:val="1134"/>
        </w:trPr>
        <w:tc>
          <w:tcPr>
            <w:tcW w:w="1724" w:type="dxa"/>
          </w:tcPr>
          <w:p w14:paraId="1A75CBDC" w14:textId="77777777" w:rsidR="00564ED3" w:rsidRDefault="000338FD" w:rsidP="009A464C">
            <w:pPr>
              <w:rPr>
                <w:lang w:val="en-US"/>
              </w:rPr>
            </w:pPr>
            <w:r>
              <w:rPr>
                <w:lang w:val="en-US"/>
              </w:rPr>
              <w:t>The pr</w:t>
            </w:r>
            <w:r w:rsidR="007F3EDF">
              <w:rPr>
                <w:lang w:val="en-US"/>
              </w:rPr>
              <w:t>evalence of background selection.</w:t>
            </w:r>
          </w:p>
          <w:p w14:paraId="5F31BA7A" w14:textId="12FC543D" w:rsidR="00FC5B3A" w:rsidRDefault="00FC5B3A" w:rsidP="009A464C">
            <w:pPr>
              <w:rPr>
                <w:lang w:val="en-US"/>
              </w:rPr>
            </w:pPr>
          </w:p>
        </w:tc>
        <w:tc>
          <w:tcPr>
            <w:tcW w:w="1106" w:type="dxa"/>
          </w:tcPr>
          <w:p w14:paraId="171B9C6B" w14:textId="5BA632ED" w:rsidR="00564ED3" w:rsidRDefault="00564ED3" w:rsidP="009A464C">
            <w:pPr>
              <w:rPr>
                <w:lang w:val="en-US"/>
              </w:rPr>
            </w:pPr>
            <w:r>
              <w:rPr>
                <w:lang w:val="en-US"/>
              </w:rPr>
              <w:t>δ</w:t>
            </w:r>
          </w:p>
        </w:tc>
        <w:tc>
          <w:tcPr>
            <w:tcW w:w="1843" w:type="dxa"/>
          </w:tcPr>
          <w:p w14:paraId="11CBCDF0" w14:textId="7B12B0F5" w:rsidR="00564ED3" w:rsidRDefault="00564ED3" w:rsidP="009A464C">
            <w:pPr>
              <w:rPr>
                <w:lang w:val="en-US"/>
              </w:rPr>
            </w:pPr>
            <w:r>
              <w:rPr>
                <w:lang w:val="en-US"/>
              </w:rPr>
              <w:t>0 to 1</w:t>
            </w:r>
          </w:p>
        </w:tc>
        <w:tc>
          <w:tcPr>
            <w:tcW w:w="6804" w:type="dxa"/>
          </w:tcPr>
          <w:p w14:paraId="340BB256" w14:textId="09E12746" w:rsidR="00564ED3" w:rsidRDefault="001E5A0A" w:rsidP="009A464C">
            <w:pPr>
              <w:rPr>
                <w:lang w:val="en-US"/>
              </w:rPr>
            </w:pPr>
            <w:r>
              <w:rPr>
                <w:lang w:val="en-US"/>
              </w:rPr>
              <w:t>T</w:t>
            </w:r>
            <w:r w:rsidR="004B4692">
              <w:rPr>
                <w:lang w:val="en-US"/>
              </w:rPr>
              <w:t>he number of non-trait mutations that occur relative to trait mutations, with a purely deleterious effect on fitness. This compounds with fitness values from phenotypes in the selection model.</w:t>
            </w:r>
          </w:p>
        </w:tc>
        <w:tc>
          <w:tcPr>
            <w:tcW w:w="2552" w:type="dxa"/>
          </w:tcPr>
          <w:p w14:paraId="52A82E14" w14:textId="261CA5A7" w:rsidR="00564ED3" w:rsidRDefault="00564ED3" w:rsidP="009A464C">
            <w:pPr>
              <w:rPr>
                <w:lang w:val="en-US"/>
              </w:rPr>
            </w:pPr>
          </w:p>
        </w:tc>
      </w:tr>
      <w:tr w:rsidR="00AF78B6" w14:paraId="14482589" w14:textId="77777777" w:rsidTr="00AF78B6">
        <w:trPr>
          <w:cantSplit/>
          <w:trHeight w:val="1134"/>
        </w:trPr>
        <w:tc>
          <w:tcPr>
            <w:tcW w:w="1724" w:type="dxa"/>
          </w:tcPr>
          <w:p w14:paraId="2C3E8E27" w14:textId="7FB71A44" w:rsidR="00564ED3" w:rsidRDefault="00564ED3" w:rsidP="009A464C">
            <w:pPr>
              <w:rPr>
                <w:lang w:val="en-US"/>
              </w:rPr>
            </w:pPr>
            <w:r>
              <w:rPr>
                <w:lang w:val="en-US"/>
              </w:rPr>
              <w:t>Rate of universal pleiotropy</w:t>
            </w:r>
          </w:p>
        </w:tc>
        <w:tc>
          <w:tcPr>
            <w:tcW w:w="1106" w:type="dxa"/>
          </w:tcPr>
          <w:p w14:paraId="26EF461B" w14:textId="1C6D2C61" w:rsidR="00564ED3" w:rsidRDefault="00564ED3" w:rsidP="009A464C">
            <w:pPr>
              <w:rPr>
                <w:lang w:val="en-US"/>
              </w:rPr>
            </w:pPr>
            <w:r>
              <w:rPr>
                <w:lang w:val="en-US"/>
              </w:rPr>
              <w:t>ϖ</w:t>
            </w:r>
          </w:p>
        </w:tc>
        <w:tc>
          <w:tcPr>
            <w:tcW w:w="1843" w:type="dxa"/>
          </w:tcPr>
          <w:p w14:paraId="76E04A1A" w14:textId="194C80A0" w:rsidR="00564ED3" w:rsidRDefault="00564ED3" w:rsidP="009A464C">
            <w:pPr>
              <w:rPr>
                <w:lang w:val="en-US"/>
              </w:rPr>
            </w:pPr>
            <w:r>
              <w:rPr>
                <w:lang w:val="en-US"/>
              </w:rPr>
              <w:t>0 to 0.5</w:t>
            </w:r>
          </w:p>
        </w:tc>
        <w:tc>
          <w:tcPr>
            <w:tcW w:w="6804" w:type="dxa"/>
          </w:tcPr>
          <w:p w14:paraId="145AF36E" w14:textId="3A55F2F5" w:rsidR="00564ED3" w:rsidRDefault="004B4692" w:rsidP="009A464C">
            <w:pPr>
              <w:rPr>
                <w:lang w:val="en-US"/>
              </w:rPr>
            </w:pPr>
            <w:r>
              <w:rPr>
                <w:lang w:val="en-US"/>
              </w:rPr>
              <w:t>The proportion of trait mutations that affect all traits rather than a single trait. While 100 loci control a trait independently by default, this may be changed by this parameter, however it is unbiased between traits so ratios of loci affecting a trait will remain constant, especially across multiple replicates.</w:t>
            </w:r>
          </w:p>
        </w:tc>
        <w:tc>
          <w:tcPr>
            <w:tcW w:w="2552" w:type="dxa"/>
          </w:tcPr>
          <w:p w14:paraId="1587C2C8" w14:textId="3FC56FB3" w:rsidR="00564ED3" w:rsidRDefault="00564ED3" w:rsidP="009A464C">
            <w:pPr>
              <w:rPr>
                <w:lang w:val="en-US"/>
              </w:rPr>
            </w:pPr>
            <w:r>
              <w:rPr>
                <w:lang w:val="en-US"/>
              </w:rPr>
              <w:t xml:space="preserve">Chesmore et al. 2017; </w:t>
            </w:r>
          </w:p>
        </w:tc>
      </w:tr>
      <w:tr w:rsidR="00AF78B6" w14:paraId="06CC6382" w14:textId="77777777" w:rsidTr="00AF78B6">
        <w:trPr>
          <w:cantSplit/>
          <w:trHeight w:val="1134"/>
        </w:trPr>
        <w:tc>
          <w:tcPr>
            <w:tcW w:w="1724" w:type="dxa"/>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1106" w:type="dxa"/>
          </w:tcPr>
          <w:p w14:paraId="60214F08" w14:textId="18E57813" w:rsidR="00564ED3" w:rsidRDefault="00564ED3" w:rsidP="009A464C">
            <w:pPr>
              <w:rPr>
                <w:lang w:val="en-US"/>
              </w:rPr>
            </w:pPr>
            <w:r>
              <w:rPr>
                <w:lang w:val="en-US"/>
              </w:rPr>
              <w:t>m</w:t>
            </w:r>
          </w:p>
        </w:tc>
        <w:tc>
          <w:tcPr>
            <w:tcW w:w="1843" w:type="dxa"/>
          </w:tcPr>
          <w:p w14:paraId="31CC4872" w14:textId="44613454" w:rsidR="00564ED3" w:rsidRDefault="00564ED3" w:rsidP="009A464C">
            <w:pPr>
              <w:rPr>
                <w:lang w:val="en-US"/>
              </w:rPr>
            </w:pPr>
            <w:r>
              <w:rPr>
                <w:lang w:val="en-US"/>
              </w:rPr>
              <w:t>0 to 0.5</w:t>
            </w:r>
          </w:p>
        </w:tc>
        <w:tc>
          <w:tcPr>
            <w:tcW w:w="6804" w:type="dxa"/>
          </w:tcPr>
          <w:p w14:paraId="2129909C" w14:textId="77777777" w:rsidR="001453C0"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p w14:paraId="3B27AE54" w14:textId="77777777" w:rsidR="00564ED3" w:rsidRDefault="00564ED3" w:rsidP="009A464C">
            <w:pPr>
              <w:rPr>
                <w:lang w:val="en-US"/>
              </w:rPr>
            </w:pPr>
          </w:p>
        </w:tc>
        <w:tc>
          <w:tcPr>
            <w:tcW w:w="2552" w:type="dxa"/>
          </w:tcPr>
          <w:p w14:paraId="050408A5" w14:textId="00398ECB" w:rsidR="00564ED3" w:rsidRDefault="00564ED3" w:rsidP="009A464C">
            <w:pPr>
              <w:rPr>
                <w:lang w:val="en-US"/>
              </w:rPr>
            </w:pPr>
          </w:p>
        </w:tc>
      </w:tr>
      <w:tr w:rsidR="00AF78B6" w14:paraId="2C82416D" w14:textId="77777777" w:rsidTr="00AF78B6">
        <w:trPr>
          <w:cantSplit/>
          <w:trHeight w:val="1134"/>
        </w:trPr>
        <w:tc>
          <w:tcPr>
            <w:tcW w:w="1724" w:type="dxa"/>
          </w:tcPr>
          <w:p w14:paraId="6A12233A" w14:textId="3F1E2DEA" w:rsidR="00564ED3" w:rsidRDefault="00564ED3" w:rsidP="009A464C">
            <w:pPr>
              <w:rPr>
                <w:lang w:val="en-US"/>
              </w:rPr>
            </w:pPr>
            <w:r>
              <w:rPr>
                <w:lang w:val="en-US"/>
              </w:rPr>
              <w:t>Additive effect size</w:t>
            </w:r>
          </w:p>
        </w:tc>
        <w:tc>
          <w:tcPr>
            <w:tcW w:w="1106" w:type="dxa"/>
          </w:tcPr>
          <w:p w14:paraId="0CA49917" w14:textId="6CAE4EC6" w:rsidR="00564ED3" w:rsidRDefault="00564ED3" w:rsidP="009A464C">
            <w:pPr>
              <w:rPr>
                <w:lang w:val="en-US"/>
              </w:rPr>
            </w:pPr>
            <w:r>
              <w:rPr>
                <w:lang w:val="en-US"/>
              </w:rPr>
              <w:t>λ</w:t>
            </w:r>
          </w:p>
        </w:tc>
        <w:tc>
          <w:tcPr>
            <w:tcW w:w="1843" w:type="dxa"/>
          </w:tcPr>
          <w:p w14:paraId="54DE6054" w14:textId="78E1E1E9" w:rsidR="00564ED3" w:rsidRDefault="00564ED3" w:rsidP="009A464C">
            <w:pPr>
              <w:rPr>
                <w:lang w:val="en-US"/>
              </w:rPr>
            </w:pPr>
            <w:r>
              <w:rPr>
                <w:lang w:val="en-US"/>
              </w:rPr>
              <w:t>0.1 to 10</w:t>
            </w:r>
          </w:p>
        </w:tc>
        <w:tc>
          <w:tcPr>
            <w:tcW w:w="6804" w:type="dxa"/>
          </w:tcPr>
          <w:p w14:paraId="5E5AE68F" w14:textId="77777777" w:rsidR="001453C0" w:rsidRDefault="001453C0" w:rsidP="009A464C">
            <w:pPr>
              <w:rPr>
                <w:lang w:val="en-US"/>
              </w:rPr>
            </w:pPr>
            <w:r>
              <w:rPr>
                <w:lang w:val="en-US"/>
              </w:rPr>
              <w:t>Additive effect size controls the variance of trait effect size around mean 0, so that N(0, λ).</w:t>
            </w:r>
          </w:p>
          <w:p w14:paraId="4A05EC13" w14:textId="77777777" w:rsidR="00564ED3" w:rsidRDefault="00564ED3" w:rsidP="009A464C">
            <w:pPr>
              <w:rPr>
                <w:lang w:val="en-US"/>
              </w:rPr>
            </w:pPr>
          </w:p>
        </w:tc>
        <w:tc>
          <w:tcPr>
            <w:tcW w:w="2552" w:type="dxa"/>
          </w:tcPr>
          <w:p w14:paraId="722264CF" w14:textId="7C57A946" w:rsidR="00564ED3" w:rsidRDefault="00564ED3" w:rsidP="009A464C">
            <w:pPr>
              <w:rPr>
                <w:lang w:val="en-US"/>
              </w:rPr>
            </w:pPr>
            <w:r>
              <w:rPr>
                <w:lang w:val="en-US"/>
              </w:rPr>
              <w:t xml:space="preserve">Albert et al. 2008; </w:t>
            </w:r>
          </w:p>
        </w:tc>
      </w:tr>
      <w:tr w:rsidR="00AF78B6" w14:paraId="2B56D6EA" w14:textId="77777777" w:rsidTr="00AF78B6">
        <w:trPr>
          <w:cantSplit/>
          <w:trHeight w:val="1134"/>
        </w:trPr>
        <w:tc>
          <w:tcPr>
            <w:tcW w:w="1724" w:type="dxa"/>
          </w:tcPr>
          <w:p w14:paraId="1C14BF8D" w14:textId="23496007" w:rsidR="00564ED3" w:rsidRDefault="00564ED3" w:rsidP="009A464C">
            <w:pPr>
              <w:rPr>
                <w:lang w:val="en-US"/>
              </w:rPr>
            </w:pPr>
            <w:r>
              <w:rPr>
                <w:lang w:val="en-US"/>
              </w:rPr>
              <w:t>Selection strength (selection model only)</w:t>
            </w:r>
          </w:p>
        </w:tc>
        <w:tc>
          <w:tcPr>
            <w:tcW w:w="1106" w:type="dxa"/>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43" w:type="dxa"/>
          </w:tcPr>
          <w:p w14:paraId="63054C9A" w14:textId="2F6015AC" w:rsidR="00564ED3" w:rsidRDefault="00564ED3" w:rsidP="009A464C">
            <w:pPr>
              <w:rPr>
                <w:lang w:val="en-US"/>
              </w:rPr>
            </w:pPr>
            <w:r>
              <w:rPr>
                <w:lang w:val="en-US"/>
              </w:rPr>
              <w:t xml:space="preserve">10 to </w:t>
            </w:r>
            <w:r w:rsidR="001453C0">
              <w:rPr>
                <w:lang w:val="en-US"/>
              </w:rPr>
              <w:t>10000</w:t>
            </w:r>
          </w:p>
        </w:tc>
        <w:tc>
          <w:tcPr>
            <w:tcW w:w="6804" w:type="dxa"/>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2552" w:type="dxa"/>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559E4BE5" w14:textId="77777777" w:rsidR="00684609" w:rsidRDefault="001D7B57" w:rsidP="001D7B57">
      <w:pPr>
        <w:pStyle w:val="Heading1"/>
      </w:pPr>
      <w:r>
        <w:lastRenderedPageBreak/>
        <w:t>References</w:t>
      </w:r>
    </w:p>
    <w:p w14:paraId="232C4742" w14:textId="77777777" w:rsidR="000A5207" w:rsidRPr="000A5207" w:rsidRDefault="00684609" w:rsidP="000A5207">
      <w:pPr>
        <w:pStyle w:val="EndNoteBibliography"/>
        <w:spacing w:after="0"/>
        <w:ind w:left="720" w:hanging="720"/>
      </w:pPr>
      <w:r>
        <w:fldChar w:fldCharType="begin"/>
      </w:r>
      <w:r>
        <w:instrText xml:space="preserve"> ADDIN EN.REFLIST </w:instrText>
      </w:r>
      <w:r>
        <w:fldChar w:fldCharType="separate"/>
      </w:r>
      <w:r w:rsidR="000A5207" w:rsidRPr="000A5207">
        <w:t>Aguirre, J. D., E. Hine, K. McGuigan and M. W. Blows, 2014 Comparing G: multivariate analysis of genetic variation in multiple populations. Heredity 112</w:t>
      </w:r>
      <w:r w:rsidR="000A5207" w:rsidRPr="000A5207">
        <w:rPr>
          <w:b/>
        </w:rPr>
        <w:t>:</w:t>
      </w:r>
      <w:r w:rsidR="000A5207" w:rsidRPr="000A5207">
        <w:t xml:space="preserve"> 21-29.</w:t>
      </w:r>
    </w:p>
    <w:p w14:paraId="134409BB" w14:textId="77777777" w:rsidR="000A5207" w:rsidRPr="000A5207" w:rsidRDefault="000A5207" w:rsidP="000A5207">
      <w:pPr>
        <w:pStyle w:val="EndNoteBibliography"/>
        <w:spacing w:after="0"/>
        <w:ind w:left="720" w:hanging="720"/>
      </w:pPr>
      <w:r w:rsidRPr="000A5207">
        <w:t>Aston, E., A. Channon, R. V. Belavkin, D. R. Gifford, R. Krasovec</w:t>
      </w:r>
      <w:r w:rsidRPr="000A5207">
        <w:rPr>
          <w:i/>
        </w:rPr>
        <w:t xml:space="preserve"> et al.</w:t>
      </w:r>
      <w:r w:rsidRPr="000A5207">
        <w:t>, 2017 Critical Mutation Rate has an Exponential Dependence on Population Size for Eukaryotic-length Genomes with Crossover. Sci Rep 7</w:t>
      </w:r>
      <w:r w:rsidRPr="000A5207">
        <w:rPr>
          <w:b/>
        </w:rPr>
        <w:t>:</w:t>
      </w:r>
      <w:r w:rsidRPr="000A5207">
        <w:t xml:space="preserve"> 15519.</w:t>
      </w:r>
    </w:p>
    <w:p w14:paraId="0FED5F10" w14:textId="77777777" w:rsidR="000A5207" w:rsidRPr="000A5207" w:rsidRDefault="000A5207" w:rsidP="000A5207">
      <w:pPr>
        <w:pStyle w:val="EndNoteBibliography"/>
        <w:spacing w:after="0"/>
        <w:ind w:left="720" w:hanging="720"/>
      </w:pPr>
      <w:r w:rsidRPr="000A5207">
        <w:t>Careau, V., M. E. Wolak, P. A. Carter and T. Garland, Jr., 2015 Evolution of the additive genetic variance-covariance matrix under continuous directional selection on a complex behavioural phenotype. Proc Biol Sci 282.</w:t>
      </w:r>
    </w:p>
    <w:p w14:paraId="4E8797A8" w14:textId="77777777" w:rsidR="000A5207" w:rsidRPr="000A5207" w:rsidRDefault="000A5207" w:rsidP="000A5207">
      <w:pPr>
        <w:pStyle w:val="EndNoteBibliography"/>
        <w:spacing w:after="0"/>
        <w:ind w:left="720" w:hanging="720"/>
      </w:pPr>
      <w:r w:rsidRPr="000A5207">
        <w:t>Haller, B. C., and P. W. Messer, 2019 SLiM 3: Forward Genetic Simulations Beyond the Wright-Fisher Model. Molecular Biology and Evolution 36</w:t>
      </w:r>
      <w:r w:rsidRPr="000A5207">
        <w:rPr>
          <w:b/>
        </w:rPr>
        <w:t>:</w:t>
      </w:r>
      <w:r w:rsidRPr="000A5207">
        <w:t xml:space="preserve"> 632-637.</w:t>
      </w:r>
    </w:p>
    <w:p w14:paraId="0C857C42" w14:textId="77777777" w:rsidR="000A5207" w:rsidRPr="000A5207" w:rsidRDefault="000A5207" w:rsidP="000A5207">
      <w:pPr>
        <w:pStyle w:val="EndNoteBibliography"/>
        <w:spacing w:after="0"/>
        <w:ind w:left="720" w:hanging="720"/>
      </w:pPr>
      <w:r w:rsidRPr="000A5207">
        <w:t>Kimura, M., and J. F. Crow, 1964 The Number of Alleles That Can Be Maintained in a Finite Population. Genetics 49</w:t>
      </w:r>
      <w:r w:rsidRPr="000A5207">
        <w:rPr>
          <w:b/>
        </w:rPr>
        <w:t>:</w:t>
      </w:r>
      <w:r w:rsidRPr="000A5207">
        <w:t xml:space="preserve"> 725-738.</w:t>
      </w:r>
    </w:p>
    <w:p w14:paraId="352267C4" w14:textId="77777777" w:rsidR="000A5207" w:rsidRPr="000A5207" w:rsidRDefault="000A5207" w:rsidP="000A5207">
      <w:pPr>
        <w:pStyle w:val="EndNoteBibliography"/>
        <w:spacing w:after="0"/>
        <w:ind w:left="720" w:hanging="720"/>
      </w:pPr>
      <w:r w:rsidRPr="000A5207">
        <w:t>Le Maître, A., and P. Mitteroecker, 2019 Multivariate comparison of variance in R. Methods in Ecology and Evolution 10</w:t>
      </w:r>
      <w:r w:rsidRPr="000A5207">
        <w:rPr>
          <w:b/>
        </w:rPr>
        <w:t>:</w:t>
      </w:r>
      <w:r w:rsidRPr="000A5207">
        <w:t xml:space="preserve"> 1380-1392.</w:t>
      </w:r>
    </w:p>
    <w:p w14:paraId="3663D34A" w14:textId="77777777" w:rsidR="000A5207" w:rsidRPr="000A5207" w:rsidRDefault="000A5207" w:rsidP="000A5207">
      <w:pPr>
        <w:pStyle w:val="EndNoteBibliography"/>
        <w:spacing w:after="0"/>
        <w:ind w:left="720" w:hanging="720"/>
      </w:pPr>
      <w:r w:rsidRPr="000A5207">
        <w:t>Lumley, T., P. Diehr, S. Emerson and L. Chen, 2002 The importance of the normality assumption in large public health data sets. Annu Rev Public Health 23</w:t>
      </w:r>
      <w:r w:rsidRPr="000A5207">
        <w:rPr>
          <w:b/>
        </w:rPr>
        <w:t>:</w:t>
      </w:r>
      <w:r w:rsidRPr="000A5207">
        <w:t xml:space="preserve"> 151-169.</w:t>
      </w:r>
    </w:p>
    <w:p w14:paraId="3418B2FD" w14:textId="77777777" w:rsidR="000A5207" w:rsidRPr="000A5207" w:rsidRDefault="000A5207" w:rsidP="000A5207">
      <w:pPr>
        <w:pStyle w:val="EndNoteBibliography"/>
        <w:spacing w:after="0"/>
        <w:ind w:left="720" w:hanging="720"/>
      </w:pPr>
      <w:r w:rsidRPr="000A5207">
        <w:t>Lynch, M., and R. Lande, 1998 The critical effective size for a genetically secure population. Animal Conservation 1</w:t>
      </w:r>
      <w:r w:rsidRPr="000A5207">
        <w:rPr>
          <w:b/>
        </w:rPr>
        <w:t>:</w:t>
      </w:r>
      <w:r w:rsidRPr="000A5207">
        <w:t xml:space="preserve"> 70-72.</w:t>
      </w:r>
    </w:p>
    <w:p w14:paraId="77402613" w14:textId="77777777" w:rsidR="000A5207" w:rsidRPr="000A5207" w:rsidRDefault="000A5207" w:rsidP="000A5207">
      <w:pPr>
        <w:pStyle w:val="EndNoteBibliography"/>
        <w:spacing w:after="0"/>
        <w:ind w:left="720" w:hanging="720"/>
      </w:pPr>
      <w:r w:rsidRPr="000A5207">
        <w:t>Melo, D., G. Garcia, A. Hubbe, A. P. Assis and G. Marroig, 2015 EvolQG - An R package for evolutionary quantitative genetics. F1000Research 4</w:t>
      </w:r>
      <w:r w:rsidRPr="000A5207">
        <w:rPr>
          <w:b/>
        </w:rPr>
        <w:t>:</w:t>
      </w:r>
      <w:r w:rsidRPr="000A5207">
        <w:t xml:space="preserve"> 925.</w:t>
      </w:r>
    </w:p>
    <w:p w14:paraId="056355EB" w14:textId="77777777" w:rsidR="000A5207" w:rsidRPr="000A5207" w:rsidRDefault="000A5207" w:rsidP="000A5207">
      <w:pPr>
        <w:pStyle w:val="EndNoteBibliography"/>
        <w:spacing w:after="0"/>
        <w:ind w:left="720" w:hanging="720"/>
      </w:pPr>
      <w:r w:rsidRPr="000A5207">
        <w:t>R Developmental Core Team, 2019 R: A language and environment for statistical computing, pp. R Foundation for Statistical Computing, Vienna, Austria.</w:t>
      </w:r>
    </w:p>
    <w:p w14:paraId="5A0D9F93" w14:textId="77777777" w:rsidR="000A5207" w:rsidRPr="000A5207" w:rsidRDefault="000A5207" w:rsidP="000A5207">
      <w:pPr>
        <w:pStyle w:val="EndNoteBibliography"/>
        <w:spacing w:after="0"/>
        <w:ind w:left="720" w:hanging="720"/>
      </w:pPr>
      <w:r w:rsidRPr="000A5207">
        <w:t>Thornton, K. R., 2019 Polygenic Adaptation to an Environmental Shift: Temporal Dynamics of Variation Under Gaussian Stabilizing Selection and Additive Effects on a Single Trait. Genetics 213</w:t>
      </w:r>
      <w:r w:rsidRPr="000A5207">
        <w:rPr>
          <w:b/>
        </w:rPr>
        <w:t>:</w:t>
      </w:r>
      <w:r w:rsidRPr="000A5207">
        <w:t xml:space="preserve"> 1513-1530.</w:t>
      </w:r>
    </w:p>
    <w:p w14:paraId="0AA3D486" w14:textId="77777777" w:rsidR="000A5207" w:rsidRPr="000A5207" w:rsidRDefault="000A5207" w:rsidP="000A5207">
      <w:pPr>
        <w:pStyle w:val="EndNoteBibliography"/>
        <w:ind w:left="720" w:hanging="720"/>
      </w:pPr>
      <w:r w:rsidRPr="000A5207">
        <w:t>Xu, L., H. Chen, X. Hu, R. Zhang, Z. Zhang</w:t>
      </w:r>
      <w:r w:rsidRPr="000A5207">
        <w:rPr>
          <w:i/>
        </w:rPr>
        <w:t xml:space="preserve"> et al.</w:t>
      </w:r>
      <w:r w:rsidRPr="000A5207">
        <w:t>, 2006 Average gene length is highly conserved in prokaryotes and eukaryotes and diverges only between the two kingdoms. Mol Biol Evol 23</w:t>
      </w:r>
      <w:r w:rsidRPr="000A5207">
        <w:rPr>
          <w:b/>
        </w:rPr>
        <w:t>:</w:t>
      </w:r>
      <w:r w:rsidRPr="000A5207">
        <w:t xml:space="preserve"> 1107-1108.</w:t>
      </w:r>
    </w:p>
    <w:p w14:paraId="1C337693" w14:textId="57AFB446"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66&lt;/item&gt;&lt;item&gt;70&lt;/item&gt;&lt;item&gt;97&lt;/item&gt;&lt;item&gt;112&lt;/item&gt;&lt;item&gt;129&lt;/item&gt;&lt;item&gt;133&lt;/item&gt;&lt;item&gt;153&lt;/item&gt;&lt;item&gt;154&lt;/item&gt;&lt;item&gt;155&lt;/item&gt;&lt;item&gt;156&lt;/item&gt;&lt;/record-ids&gt;&lt;/item&gt;&lt;/Libraries&gt;"/>
  </w:docVars>
  <w:rsids>
    <w:rsidRoot w:val="004F0C57"/>
    <w:rsid w:val="00013167"/>
    <w:rsid w:val="000148E6"/>
    <w:rsid w:val="00026414"/>
    <w:rsid w:val="000338FD"/>
    <w:rsid w:val="00034011"/>
    <w:rsid w:val="00055CC2"/>
    <w:rsid w:val="00086730"/>
    <w:rsid w:val="00094A10"/>
    <w:rsid w:val="000A17B9"/>
    <w:rsid w:val="000A5207"/>
    <w:rsid w:val="000A78C8"/>
    <w:rsid w:val="000C19EF"/>
    <w:rsid w:val="000D52A0"/>
    <w:rsid w:val="000E7C40"/>
    <w:rsid w:val="00101F4B"/>
    <w:rsid w:val="00110238"/>
    <w:rsid w:val="00116403"/>
    <w:rsid w:val="00116AEC"/>
    <w:rsid w:val="00126EB6"/>
    <w:rsid w:val="00131663"/>
    <w:rsid w:val="00137A3B"/>
    <w:rsid w:val="00140D67"/>
    <w:rsid w:val="001453C0"/>
    <w:rsid w:val="001463EA"/>
    <w:rsid w:val="001525A9"/>
    <w:rsid w:val="00154450"/>
    <w:rsid w:val="001746A2"/>
    <w:rsid w:val="00175EF6"/>
    <w:rsid w:val="001775B8"/>
    <w:rsid w:val="00185B2B"/>
    <w:rsid w:val="001A09EB"/>
    <w:rsid w:val="001A6709"/>
    <w:rsid w:val="001C465B"/>
    <w:rsid w:val="001C6F41"/>
    <w:rsid w:val="001D7B57"/>
    <w:rsid w:val="001E2A26"/>
    <w:rsid w:val="001E45A9"/>
    <w:rsid w:val="001E5A0A"/>
    <w:rsid w:val="001E75DE"/>
    <w:rsid w:val="00207704"/>
    <w:rsid w:val="00213F3E"/>
    <w:rsid w:val="002236D4"/>
    <w:rsid w:val="0022375E"/>
    <w:rsid w:val="00223B5C"/>
    <w:rsid w:val="00225F14"/>
    <w:rsid w:val="00231959"/>
    <w:rsid w:val="00244216"/>
    <w:rsid w:val="00252178"/>
    <w:rsid w:val="00254E87"/>
    <w:rsid w:val="00260698"/>
    <w:rsid w:val="00272A74"/>
    <w:rsid w:val="00285B32"/>
    <w:rsid w:val="00293F52"/>
    <w:rsid w:val="0029447D"/>
    <w:rsid w:val="002A417C"/>
    <w:rsid w:val="002B286E"/>
    <w:rsid w:val="002B3D60"/>
    <w:rsid w:val="002B6AEB"/>
    <w:rsid w:val="002C10C6"/>
    <w:rsid w:val="002C6592"/>
    <w:rsid w:val="002D2218"/>
    <w:rsid w:val="002F00AC"/>
    <w:rsid w:val="003027A4"/>
    <w:rsid w:val="00334741"/>
    <w:rsid w:val="00337A3D"/>
    <w:rsid w:val="003539B9"/>
    <w:rsid w:val="00354519"/>
    <w:rsid w:val="00370DEA"/>
    <w:rsid w:val="00380507"/>
    <w:rsid w:val="00390426"/>
    <w:rsid w:val="003B3051"/>
    <w:rsid w:val="003C13A0"/>
    <w:rsid w:val="003E02F0"/>
    <w:rsid w:val="003E42BB"/>
    <w:rsid w:val="003F6258"/>
    <w:rsid w:val="003F73C8"/>
    <w:rsid w:val="00422EA1"/>
    <w:rsid w:val="004270CD"/>
    <w:rsid w:val="00437AD1"/>
    <w:rsid w:val="004567F3"/>
    <w:rsid w:val="00467A73"/>
    <w:rsid w:val="00470115"/>
    <w:rsid w:val="00494E5C"/>
    <w:rsid w:val="004B4692"/>
    <w:rsid w:val="004C63D1"/>
    <w:rsid w:val="004D4A4F"/>
    <w:rsid w:val="004D5EB8"/>
    <w:rsid w:val="004E2F6B"/>
    <w:rsid w:val="004F0C57"/>
    <w:rsid w:val="0050335C"/>
    <w:rsid w:val="00545C7E"/>
    <w:rsid w:val="00563568"/>
    <w:rsid w:val="00564ED3"/>
    <w:rsid w:val="00567DCF"/>
    <w:rsid w:val="005A3B84"/>
    <w:rsid w:val="005B324A"/>
    <w:rsid w:val="005B7EF5"/>
    <w:rsid w:val="005C3EB4"/>
    <w:rsid w:val="0061349B"/>
    <w:rsid w:val="00615120"/>
    <w:rsid w:val="0062262A"/>
    <w:rsid w:val="006278B7"/>
    <w:rsid w:val="00627FDB"/>
    <w:rsid w:val="00644A27"/>
    <w:rsid w:val="00650703"/>
    <w:rsid w:val="006614CA"/>
    <w:rsid w:val="00661621"/>
    <w:rsid w:val="006661CB"/>
    <w:rsid w:val="00671225"/>
    <w:rsid w:val="006827A1"/>
    <w:rsid w:val="00684609"/>
    <w:rsid w:val="00694149"/>
    <w:rsid w:val="006B6C5E"/>
    <w:rsid w:val="006C2FF1"/>
    <w:rsid w:val="006C35AB"/>
    <w:rsid w:val="006D15A5"/>
    <w:rsid w:val="006D2E7D"/>
    <w:rsid w:val="006E0C52"/>
    <w:rsid w:val="006F0488"/>
    <w:rsid w:val="006F5D7C"/>
    <w:rsid w:val="00715667"/>
    <w:rsid w:val="007410E2"/>
    <w:rsid w:val="00742DB2"/>
    <w:rsid w:val="00747EBA"/>
    <w:rsid w:val="0075385C"/>
    <w:rsid w:val="0076067A"/>
    <w:rsid w:val="00767477"/>
    <w:rsid w:val="007836DB"/>
    <w:rsid w:val="007B2B62"/>
    <w:rsid w:val="007D7DA5"/>
    <w:rsid w:val="007E383D"/>
    <w:rsid w:val="007F39D0"/>
    <w:rsid w:val="007F3EDF"/>
    <w:rsid w:val="007F6053"/>
    <w:rsid w:val="00806FBF"/>
    <w:rsid w:val="00811DD4"/>
    <w:rsid w:val="00862DBD"/>
    <w:rsid w:val="00867601"/>
    <w:rsid w:val="008703C8"/>
    <w:rsid w:val="00890206"/>
    <w:rsid w:val="0089662F"/>
    <w:rsid w:val="008D078B"/>
    <w:rsid w:val="008F235D"/>
    <w:rsid w:val="0090468E"/>
    <w:rsid w:val="00915125"/>
    <w:rsid w:val="00952652"/>
    <w:rsid w:val="00976B70"/>
    <w:rsid w:val="00976FCF"/>
    <w:rsid w:val="00981368"/>
    <w:rsid w:val="00993860"/>
    <w:rsid w:val="00994321"/>
    <w:rsid w:val="009A464C"/>
    <w:rsid w:val="009B1353"/>
    <w:rsid w:val="009B3896"/>
    <w:rsid w:val="009C2C14"/>
    <w:rsid w:val="009D0D47"/>
    <w:rsid w:val="009D4A51"/>
    <w:rsid w:val="009D572C"/>
    <w:rsid w:val="009E28DE"/>
    <w:rsid w:val="00A22B5B"/>
    <w:rsid w:val="00A444BB"/>
    <w:rsid w:val="00A54AFE"/>
    <w:rsid w:val="00A62907"/>
    <w:rsid w:val="00A63C6E"/>
    <w:rsid w:val="00A72E83"/>
    <w:rsid w:val="00A879B2"/>
    <w:rsid w:val="00AC154F"/>
    <w:rsid w:val="00AC307C"/>
    <w:rsid w:val="00AC70B0"/>
    <w:rsid w:val="00AD4B13"/>
    <w:rsid w:val="00AD62A5"/>
    <w:rsid w:val="00AE015D"/>
    <w:rsid w:val="00AE3E2D"/>
    <w:rsid w:val="00AE499B"/>
    <w:rsid w:val="00AE502E"/>
    <w:rsid w:val="00AF07FF"/>
    <w:rsid w:val="00AF78B6"/>
    <w:rsid w:val="00B00A38"/>
    <w:rsid w:val="00B31E46"/>
    <w:rsid w:val="00B32810"/>
    <w:rsid w:val="00B34A3B"/>
    <w:rsid w:val="00B3652F"/>
    <w:rsid w:val="00B43D42"/>
    <w:rsid w:val="00B66FAF"/>
    <w:rsid w:val="00B71BD6"/>
    <w:rsid w:val="00B7464A"/>
    <w:rsid w:val="00B81C6E"/>
    <w:rsid w:val="00B84227"/>
    <w:rsid w:val="00BA68FC"/>
    <w:rsid w:val="00BB3CA6"/>
    <w:rsid w:val="00BB7422"/>
    <w:rsid w:val="00BC73DE"/>
    <w:rsid w:val="00BD0A45"/>
    <w:rsid w:val="00BE2813"/>
    <w:rsid w:val="00BE7E96"/>
    <w:rsid w:val="00BF6376"/>
    <w:rsid w:val="00C121FD"/>
    <w:rsid w:val="00C168CB"/>
    <w:rsid w:val="00C37F0A"/>
    <w:rsid w:val="00C51073"/>
    <w:rsid w:val="00C642BC"/>
    <w:rsid w:val="00C81D6D"/>
    <w:rsid w:val="00C95F6B"/>
    <w:rsid w:val="00CA5672"/>
    <w:rsid w:val="00CC77F7"/>
    <w:rsid w:val="00CD5941"/>
    <w:rsid w:val="00CE02EC"/>
    <w:rsid w:val="00D035BE"/>
    <w:rsid w:val="00D175F6"/>
    <w:rsid w:val="00D244C3"/>
    <w:rsid w:val="00D33077"/>
    <w:rsid w:val="00D36D3F"/>
    <w:rsid w:val="00D46F7A"/>
    <w:rsid w:val="00D54DC2"/>
    <w:rsid w:val="00D642CC"/>
    <w:rsid w:val="00D72F80"/>
    <w:rsid w:val="00DA3108"/>
    <w:rsid w:val="00DB3412"/>
    <w:rsid w:val="00DB3C2C"/>
    <w:rsid w:val="00DF137C"/>
    <w:rsid w:val="00E11C3E"/>
    <w:rsid w:val="00E1306F"/>
    <w:rsid w:val="00E13A54"/>
    <w:rsid w:val="00E545B1"/>
    <w:rsid w:val="00E56334"/>
    <w:rsid w:val="00EA1E67"/>
    <w:rsid w:val="00EB3C50"/>
    <w:rsid w:val="00ED18BB"/>
    <w:rsid w:val="00ED2FDB"/>
    <w:rsid w:val="00ED49CB"/>
    <w:rsid w:val="00EF4938"/>
    <w:rsid w:val="00F120DB"/>
    <w:rsid w:val="00F147D5"/>
    <w:rsid w:val="00F2298B"/>
    <w:rsid w:val="00F3005C"/>
    <w:rsid w:val="00F33542"/>
    <w:rsid w:val="00F56DE6"/>
    <w:rsid w:val="00F6621B"/>
    <w:rsid w:val="00F71B00"/>
    <w:rsid w:val="00F731BF"/>
    <w:rsid w:val="00F93E1B"/>
    <w:rsid w:val="00F9461E"/>
    <w:rsid w:val="00F9643C"/>
    <w:rsid w:val="00FA6E19"/>
    <w:rsid w:val="00FA7F4B"/>
    <w:rsid w:val="00FB0206"/>
    <w:rsid w:val="00FC5B3A"/>
    <w:rsid w:val="00FF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6780DE-90BF-4A8B-8D39-CFBAFF3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9883</TotalTime>
  <Pages>8</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228</cp:revision>
  <dcterms:created xsi:type="dcterms:W3CDTF">2020-08-30T04:22:00Z</dcterms:created>
  <dcterms:modified xsi:type="dcterms:W3CDTF">2020-09-30T05:38:00Z</dcterms:modified>
</cp:coreProperties>
</file>