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617A05ED" w14:textId="48D5A808"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9DE9903" w14:textId="77777777" w:rsidR="00694149" w:rsidRPr="00694149" w:rsidRDefault="00694149"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w:t>
      </w:r>
      <w:proofErr w:type="spellStart"/>
      <w:r w:rsidR="00DF137C">
        <w:rPr>
          <w:lang w:val="en-US"/>
        </w:rPr>
        <w:t>Lande</w:t>
      </w:r>
      <w:proofErr w:type="spellEnd"/>
      <w:r w:rsidR="00DF137C">
        <w:rPr>
          <w:lang w:val="en-US"/>
        </w:rPr>
        <w:t xml:space="preserv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7CE69E5B" w:rsidR="00694149" w:rsidRDefault="00A54AFE" w:rsidP="006F0488">
      <w:pPr>
        <w:rPr>
          <w:lang w:val="en-US"/>
        </w:rPr>
      </w:pPr>
      <w:r>
        <w:rPr>
          <w:lang w:val="en-US"/>
        </w:rPr>
        <w:t>Additive g</w:t>
      </w:r>
      <w:r w:rsidR="00DA3108">
        <w:rPr>
          <w:lang w:val="en-US"/>
        </w:rPr>
        <w:t xml:space="preserve">enetic variability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3E02F0">
        <w:rPr>
          <w:lang w:val="en-US"/>
        </w:rPr>
        <w:t xml:space="preserve">additive genetic variance is heritable, and hence is </w:t>
      </w:r>
      <w:r w:rsidR="00F9643C">
        <w:rPr>
          <w:lang w:val="en-US"/>
        </w:rPr>
        <w:t xml:space="preserve">the component that can be </w:t>
      </w: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6D8FA5FE" w14:textId="77777777" w:rsidR="006F0488" w:rsidRPr="006F0488" w:rsidRDefault="006F0488" w:rsidP="006F0488">
      <w:pPr>
        <w:rPr>
          <w:lang w:val="en-US"/>
        </w:rPr>
      </w:pPr>
    </w:p>
    <w:p w14:paraId="0F070C1F" w14:textId="62D32994" w:rsidR="00E11C3E" w:rsidRDefault="00E11C3E" w:rsidP="00E11C3E">
      <w:pPr>
        <w:pStyle w:val="ListParagraph"/>
        <w:numPr>
          <w:ilvl w:val="0"/>
          <w:numId w:val="1"/>
        </w:numPr>
      </w:pPr>
      <w:r>
        <w:t>Importance of genetic variability for adaptation</w:t>
      </w:r>
    </w:p>
    <w:p w14:paraId="217C8CF8" w14:textId="27EC6C26" w:rsidR="00E11C3E" w:rsidRDefault="00E11C3E" w:rsidP="00E11C3E">
      <w:pPr>
        <w:pStyle w:val="ListParagraph"/>
        <w:numPr>
          <w:ilvl w:val="0"/>
          <w:numId w:val="1"/>
        </w:numPr>
      </w:pPr>
      <w:r>
        <w:t>Redundancy and genetic pathways to polygenic adaptation</w:t>
      </w:r>
    </w:p>
    <w:p w14:paraId="7857FFE6" w14:textId="0873D70B" w:rsidR="00E11C3E" w:rsidRDefault="00E11C3E" w:rsidP="00E11C3E">
      <w:pPr>
        <w:pStyle w:val="ListParagraph"/>
        <w:numPr>
          <w:ilvl w:val="0"/>
          <w:numId w:val="1"/>
        </w:numPr>
      </w:pPr>
      <w:r>
        <w:t>Additive models of quantitative genetics, Fisher’s geometric model</w:t>
      </w:r>
    </w:p>
    <w:p w14:paraId="5F0D725F" w14:textId="5B5DB3BC" w:rsidR="00E11C3E" w:rsidRDefault="00E11C3E" w:rsidP="00E11C3E">
      <w:pPr>
        <w:pStyle w:val="ListParagraph"/>
        <w:numPr>
          <w:ilvl w:val="0"/>
          <w:numId w:val="1"/>
        </w:numPr>
      </w:pPr>
      <w:r>
        <w:t>Connection between quantitative and population genetics approaches (Geometric model, interaction of traditionally mutation-driven pop gen features (e.g. deleterious mutation, allele frequencies, selective sweeps) with more traits)</w:t>
      </w:r>
    </w:p>
    <w:p w14:paraId="19F6B0E1" w14:textId="46D1DBDA" w:rsidR="00E11C3E" w:rsidRDefault="00E11C3E" w:rsidP="00E11C3E">
      <w:pPr>
        <w:pStyle w:val="ListParagraph"/>
        <w:numPr>
          <w:ilvl w:val="0"/>
          <w:numId w:val="1"/>
        </w:numPr>
      </w:pPr>
      <w:r>
        <w:t>Effects of deleterious mutation on genetic variability, constraining adaptation</w:t>
      </w:r>
    </w:p>
    <w:p w14:paraId="63243B1E" w14:textId="3D78F1A1" w:rsidR="00E11C3E" w:rsidRDefault="00E11C3E" w:rsidP="00E11C3E">
      <w:pPr>
        <w:pStyle w:val="ListParagraph"/>
        <w:numPr>
          <w:ilvl w:val="0"/>
          <w:numId w:val="1"/>
        </w:numPr>
      </w:pPr>
      <w:r>
        <w:t>Recombination and linkage in the context of creating largely deleterious haplotypes with non-trait affecting deleterious mutations</w:t>
      </w:r>
    </w:p>
    <w:p w14:paraId="555C08FE" w14:textId="5B14B89A" w:rsidR="00E11C3E" w:rsidRDefault="00E11C3E" w:rsidP="00E11C3E">
      <w:pPr>
        <w:pStyle w:val="ListParagraph"/>
        <w:numPr>
          <w:ilvl w:val="0"/>
          <w:numId w:val="1"/>
        </w:numPr>
      </w:pPr>
      <w:r>
        <w:t>Effects of pleiotropy and the cost of complexity</w:t>
      </w:r>
    </w:p>
    <w:p w14:paraId="2D16B46E" w14:textId="427EDF74" w:rsidR="00E11C3E" w:rsidRDefault="00E11C3E" w:rsidP="00E11C3E">
      <w:pPr>
        <w:pStyle w:val="ListParagraph"/>
        <w:numPr>
          <w:ilvl w:val="0"/>
          <w:numId w:val="1"/>
        </w:numPr>
      </w:pPr>
      <w:r>
        <w:lastRenderedPageBreak/>
        <w:t>Deleterious mutation and pleiotropy as constraints on adaptation – expectations under geometric model</w:t>
      </w:r>
    </w:p>
    <w:p w14:paraId="507BBAE6" w14:textId="39AC905F" w:rsidR="00E11C3E" w:rsidRDefault="00E11C3E" w:rsidP="00E11C3E">
      <w:pPr>
        <w:pStyle w:val="ListParagraph"/>
        <w:numPr>
          <w:ilvl w:val="0"/>
          <w:numId w:val="1"/>
        </w:numPr>
      </w:pPr>
      <w:r>
        <w:t>Theories of adaptation in quantitative genetics – stabilising, disruptive, directional, squashed stabilising</w:t>
      </w:r>
    </w:p>
    <w:p w14:paraId="1A04BACC" w14:textId="4E0386D2" w:rsidR="00E11C3E" w:rsidRDefault="00E11C3E" w:rsidP="00E11C3E">
      <w:pPr>
        <w:pStyle w:val="ListParagraph"/>
        <w:numPr>
          <w:ilvl w:val="0"/>
          <w:numId w:val="1"/>
        </w:numPr>
      </w:pPr>
      <w:proofErr w:type="spellStart"/>
      <w:r>
        <w:t>SLiM</w:t>
      </w:r>
      <w:proofErr w:type="spellEnd"/>
      <w:r>
        <w:t xml:space="preserve"> as a tool to computationally study these effects over long time scales</w:t>
      </w:r>
    </w:p>
    <w:p w14:paraId="34C5287C" w14:textId="0086DA92" w:rsidR="00E11C3E" w:rsidRDefault="00E11C3E" w:rsidP="00E11C3E">
      <w:pPr>
        <w:pStyle w:val="ListParagraph"/>
        <w:numPr>
          <w:ilvl w:val="0"/>
          <w:numId w:val="1"/>
        </w:numPr>
      </w:pPr>
      <w:r>
        <w:t xml:space="preserve">Introduction of aims – to quantify the effects of deleterious mutation and pleiotropy on neutral evolution in an intermediate-sized population &amp; to quantify the effects of del </w:t>
      </w:r>
      <w:proofErr w:type="spellStart"/>
      <w:r>
        <w:t>muts</w:t>
      </w:r>
      <w:proofErr w:type="spellEnd"/>
      <w:r>
        <w:t xml:space="preserve"> and </w:t>
      </w:r>
      <w:proofErr w:type="spellStart"/>
      <w:r>
        <w:t>pleio</w:t>
      </w:r>
      <w:proofErr w:type="spellEnd"/>
      <w:r>
        <w:t xml:space="preserve"> on adaptation to an intermediate optimum</w:t>
      </w:r>
    </w:p>
    <w:p w14:paraId="2C2B4C21" w14:textId="269223D1" w:rsidR="00E11C3E" w:rsidRDefault="00E11C3E" w:rsidP="00E11C3E">
      <w:pPr>
        <w:pStyle w:val="ListParagraph"/>
        <w:numPr>
          <w:ilvl w:val="0"/>
          <w:numId w:val="1"/>
        </w:numPr>
      </w:pPr>
      <w:r>
        <w:t>Novelty: effects of deleterious mutation and recombination on multiple traits – do they behave the same way as with just one or two traits?</w:t>
      </w:r>
    </w:p>
    <w:p w14:paraId="766679CA" w14:textId="77777777" w:rsidR="00E11C3E" w:rsidRDefault="00E11C3E" w:rsidP="00E11C3E"/>
    <w:p w14:paraId="69AE8F7A" w14:textId="29486BA1" w:rsidR="004F0C57" w:rsidRDefault="004F0C57" w:rsidP="007836DB">
      <w:pPr>
        <w:pStyle w:val="Heading1"/>
      </w:pPr>
      <w:r>
        <w:t>Methods</w:t>
      </w:r>
    </w:p>
    <w:p w14:paraId="12785729" w14:textId="2317EDCE" w:rsidR="001746A2" w:rsidRPr="001746A2" w:rsidRDefault="001746A2" w:rsidP="001746A2">
      <w:pPr>
        <w:rPr>
          <w:lang w:val="en-US"/>
        </w:rPr>
      </w:pPr>
      <w:r>
        <w:rPr>
          <w:lang w:val="en-US"/>
        </w:rPr>
        <w:t xml:space="preserve">Using </w:t>
      </w:r>
      <w:r w:rsidR="00A879B2">
        <w:rPr>
          <w:lang w:val="en-US"/>
        </w:rPr>
        <w:t xml:space="preserve">the forward-genetics modelling package </w:t>
      </w:r>
      <w:proofErr w:type="spellStart"/>
      <w:r>
        <w:rPr>
          <w:lang w:val="en-US"/>
        </w:rPr>
        <w:t>SLiM</w:t>
      </w:r>
      <w:proofErr w:type="spellEnd"/>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rate of universal pleiotropy, the mutational correlation between trait effects from a single pleiotropic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4F62536D" w:rsidR="00862DBD" w:rsidRDefault="002C6592" w:rsidP="004F0C57">
      <w:pPr>
        <w:rPr>
          <w:lang w:val="en-US"/>
        </w:rPr>
      </w:pPr>
      <w:r>
        <w:rPr>
          <w:lang w:val="en-US"/>
        </w:rPr>
        <w:t xml:space="preserve">Both of my experimental models consisted of a </w:t>
      </w:r>
      <w:proofErr w:type="spellStart"/>
      <w:r>
        <w:rPr>
          <w:lang w:val="en-US"/>
        </w:rPr>
        <w:t>SLiM</w:t>
      </w:r>
      <w:proofErr w:type="spellEnd"/>
      <w:r>
        <w:rPr>
          <w:lang w:val="en-US"/>
        </w:rPr>
        <w:t xml:space="preserve">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r w:rsidR="00CA5672">
        <w:rPr>
          <w:lang w:val="en-US"/>
        </w:rPr>
        <w:t xml:space="preserve">Each individual is characterized by </w:t>
      </w:r>
      <w:r w:rsidR="003027A4">
        <w:rPr>
          <w:lang w:val="en-US"/>
        </w:rPr>
        <w:t xml:space="preserve">8 traits, </w:t>
      </w:r>
      <w:r w:rsidR="002D2218">
        <w:rPr>
          <w:lang w:val="en-US"/>
        </w:rPr>
        <w:t>controlled by 100 loci each, unless a pleiotropic treatment is applied which will randomly reduce this by an approximately uniform amount per trait</w:t>
      </w:r>
      <w:r w:rsidR="000148E6">
        <w:rPr>
          <w:lang w:val="en-US"/>
        </w:rPr>
        <w:t xml:space="preserve"> (further detail below)</w:t>
      </w:r>
      <w:r w:rsidR="002D2218">
        <w:rPr>
          <w:lang w:val="en-US"/>
        </w:rPr>
        <w:t xml:space="preserve">. </w:t>
      </w:r>
      <w:r>
        <w:rPr>
          <w:lang w:val="en-US"/>
        </w:rPr>
        <w:t xml:space="preserve">Each locus is assumed to have identical length, and each base pair within it is assumed to be mutationally </w:t>
      </w:r>
      <w:r w:rsidR="00615120">
        <w:rPr>
          <w:lang w:val="en-US"/>
        </w:rPr>
        <w:t xml:space="preserve">independent. This behavior seems reasonable, as a 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w:t>
      </w:r>
      <w:r w:rsidR="000E7C40">
        <w:rPr>
          <w:lang w:val="en-US"/>
        </w:rPr>
        <w:lastRenderedPageBreak/>
        <w:t>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49293CED"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 xml:space="preserve">with the strength of selection,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38090C2D" w:rsidR="00BB7422" w:rsidRDefault="00BE7E96" w:rsidP="004F0C57">
      <w:pPr>
        <w:rPr>
          <w:lang w:val="en-US"/>
        </w:rPr>
      </w:pPr>
      <w:r>
        <w:rPr>
          <w:lang w:val="en-US"/>
        </w:rPr>
        <w:t xml:space="preserve">where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C572BD"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77777777"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A population at equilibrium was assumed sufficiently burnt-in. Trials indicated that 50,000 generations was sufficient for our population size (FIGURE S1</w:t>
      </w:r>
      <w:r w:rsidR="0061349B">
        <w:rPr>
          <w:lang w:val="en-US"/>
        </w:rPr>
        <w:t>: Plot of 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77777777" w:rsidR="00994321" w:rsidRDefault="00994321" w:rsidP="004270CD">
      <w:pPr>
        <w:rPr>
          <w:lang w:val="en-US"/>
        </w:rPr>
      </w:pPr>
    </w:p>
    <w:p w14:paraId="7848AADC" w14:textId="4769D16B" w:rsidR="00994321" w:rsidRDefault="00994321" w:rsidP="00994321">
      <w:pPr>
        <w:pStyle w:val="Heading2"/>
      </w:pPr>
      <w:r>
        <w:lastRenderedPageBreak/>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C572BD"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C572BD"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xml:space="preserve">, n is the number of traits, and </w:t>
      </w:r>
      <w:proofErr w:type="spellStart"/>
      <w:r w:rsidR="00D46F7A">
        <w:rPr>
          <w:rFonts w:eastAsiaTheme="minorEastAsia"/>
          <w:lang w:val="en-US"/>
        </w:rPr>
        <w:t>x</w:t>
      </w:r>
      <w:r w:rsidR="00D46F7A">
        <w:rPr>
          <w:rFonts w:eastAsiaTheme="minorEastAsia"/>
          <w:vertAlign w:val="subscript"/>
          <w:lang w:val="en-US"/>
        </w:rPr>
        <w:t>n</w:t>
      </w:r>
      <w:proofErr w:type="spellEnd"/>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32B7D92B"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6220DA">
        <w:rPr>
          <w:lang w:val="en-US"/>
        </w:rPr>
        <w:t>192</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w:t>
      </w:r>
      <w:proofErr w:type="spellStart"/>
      <w:r w:rsidR="008703C8">
        <w:rPr>
          <w:lang w:val="en-US"/>
        </w:rPr>
        <w:t>DoE.Wrapper</w:t>
      </w:r>
      <w:proofErr w:type="spellEnd"/>
      <w:r w:rsidR="008703C8">
        <w:rPr>
          <w:lang w:val="en-US"/>
        </w:rPr>
        <w:t>’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 xml:space="preserve">Each model was repeated 100 times, using 100 seed values fed to </w:t>
      </w:r>
      <w:proofErr w:type="spellStart"/>
      <w:r w:rsidR="00A22B5B">
        <w:rPr>
          <w:lang w:val="en-US"/>
        </w:rPr>
        <w:t>SLiM</w:t>
      </w:r>
      <w:proofErr w:type="spellEnd"/>
      <w:r w:rsidR="00A22B5B">
        <w:rPr>
          <w:lang w:val="en-US"/>
        </w:rPr>
        <w:t>.</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using the </w:t>
      </w:r>
      <w:proofErr w:type="spellStart"/>
      <w:r w:rsidR="006C2FF1">
        <w:rPr>
          <w:lang w:val="en-US"/>
        </w:rPr>
        <w:t>r</w:t>
      </w:r>
      <w:r w:rsidR="00742DB2">
        <w:rPr>
          <w:lang w:val="en-US"/>
        </w:rPr>
        <w:t>unif</w:t>
      </w:r>
      <w:proofErr w:type="spellEnd"/>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proofErr w:type="spellStart"/>
      <w:r w:rsidR="0050335C">
        <w:rPr>
          <w:lang w:val="en-US"/>
        </w:rPr>
        <w:t>SLiM</w:t>
      </w:r>
      <w:proofErr w:type="spellEnd"/>
      <w:r w:rsidR="00C168CB">
        <w:rPr>
          <w:lang w:val="en-US"/>
        </w:rPr>
        <w:t xml:space="preserve"> process</w:t>
      </w:r>
      <w:r w:rsidR="004E5966">
        <w:rPr>
          <w:lang w:val="en-US"/>
        </w:rPr>
        <w:t>es</w:t>
      </w:r>
      <w:r w:rsidR="001525A9">
        <w:rPr>
          <w:lang w:val="en-US"/>
        </w:rPr>
        <w:t>.</w:t>
      </w:r>
    </w:p>
    <w:p w14:paraId="57950D76" w14:textId="77777777" w:rsidR="00994321" w:rsidRDefault="00994321" w:rsidP="004F0C57">
      <w:pPr>
        <w:rPr>
          <w:lang w:val="en-US"/>
        </w:rPr>
      </w:pPr>
    </w:p>
    <w:p w14:paraId="6EC2C35E" w14:textId="351A99ED" w:rsidR="004B4692" w:rsidRDefault="00994321" w:rsidP="008F235D">
      <w:pPr>
        <w:pStyle w:val="Heading2"/>
      </w:pPr>
      <w:r>
        <w:t>Null model analysis</w:t>
      </w:r>
    </w:p>
    <w:p w14:paraId="6F8E7FC7" w14:textId="643A6A3D" w:rsidR="00D33077" w:rsidRDefault="00670465" w:rsidP="004F0C57">
      <w:pPr>
        <w:rPr>
          <w:lang w:val="en-US"/>
        </w:rPr>
      </w:pPr>
      <w:r>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 xml:space="preserve">Previous work into the robustness of regression modelling, t-tests, and F-tests have shown that departures from normality can usually still provide reliable estimates, provided the number of observations is large enough that </w:t>
      </w:r>
      <w:r w:rsidR="000A5207">
        <w:rPr>
          <w:lang w:val="en-US"/>
        </w:rPr>
        <w:t>coefficient estimates are approximately normally distributed</w:t>
      </w:r>
      <w:r w:rsidR="005D5C1F">
        <w:rPr>
          <w:lang w:val="en-US"/>
        </w:rPr>
        <w:t xml:space="preserve"> due to the central limit theorem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w:t>
      </w:r>
      <w:proofErr w:type="spellStart"/>
      <w:r w:rsidR="0069389C">
        <w:rPr>
          <w:lang w:val="en-US"/>
        </w:rPr>
        <w:t>jtools</w:t>
      </w:r>
      <w:proofErr w:type="spellEnd"/>
      <w:r w:rsidR="0069389C">
        <w:rPr>
          <w:lang w:val="en-US"/>
        </w:rPr>
        <w:t xml:space="preserve">”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F840E0">
        <w:rPr>
          <w:lang w:val="en-US"/>
        </w:rPr>
        <w:t xml:space="preserve">. Heteroscedasticity was accounted for using </w:t>
      </w:r>
      <w:proofErr w:type="spellStart"/>
      <w:r w:rsidR="00F840E0">
        <w:rPr>
          <w:lang w:val="en-US"/>
        </w:rPr>
        <w:t>Eicker</w:t>
      </w:r>
      <w:proofErr w:type="spellEnd"/>
      <w:r w:rsidR="00F840E0">
        <w:rPr>
          <w:lang w:val="en-US"/>
        </w:rPr>
        <w:t>-Hubert-White</w:t>
      </w:r>
      <w:r w:rsidR="003E72C0">
        <w:rPr>
          <w:lang w:val="en-US"/>
        </w:rPr>
        <w:t xml:space="preserve"> (EHW)</w:t>
      </w:r>
      <w:r w:rsidR="00F840E0">
        <w:rPr>
          <w:lang w:val="en-US"/>
        </w:rPr>
        <w:t xml:space="preserve"> robust standard errors</w:t>
      </w:r>
      <w:r w:rsidR="005D5C1F">
        <w:rPr>
          <w:lang w:val="en-US"/>
        </w:rPr>
        <w:t xml:space="preserve">, although owing to the large </w:t>
      </w:r>
      <w:r w:rsidR="00743ED1">
        <w:rPr>
          <w:lang w:val="en-US"/>
        </w:rPr>
        <w:t>sample size, this adjustment had minimal effect on t-statistics</w:t>
      </w:r>
      <w:r w:rsidR="00F840E0">
        <w:rPr>
          <w:lang w:val="en-US"/>
        </w:rPr>
        <w:t xml:space="preserve"> </w: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 </w:instrTex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EN.CITE.DATA </w:instrText>
      </w:r>
      <w:r w:rsidR="00F840E0">
        <w:rPr>
          <w:lang w:val="en-US"/>
        </w:rPr>
      </w:r>
      <w:r w:rsidR="00F840E0">
        <w:rPr>
          <w:lang w:val="en-US"/>
        </w:rPr>
        <w:fldChar w:fldCharType="end"/>
      </w:r>
      <w:r w:rsidR="00F840E0">
        <w:rPr>
          <w:lang w:val="en-US"/>
        </w:rPr>
      </w:r>
      <w:r w:rsidR="00F840E0">
        <w:rPr>
          <w:lang w:val="en-US"/>
        </w:rPr>
        <w:fldChar w:fldCharType="separate"/>
      </w:r>
      <w:r w:rsidR="00F840E0">
        <w:rPr>
          <w:noProof/>
          <w:lang w:val="en-US"/>
        </w:rPr>
        <w:t>(</w:t>
      </w:r>
      <w:r w:rsidR="00F840E0" w:rsidRPr="00F840E0">
        <w:rPr>
          <w:smallCaps/>
          <w:noProof/>
          <w:lang w:val="en-US"/>
        </w:rPr>
        <w:t>Eicker</w:t>
      </w:r>
      <w:r w:rsidR="00F840E0">
        <w:rPr>
          <w:noProof/>
          <w:lang w:val="en-US"/>
        </w:rPr>
        <w:t xml:space="preserve"> 1967; </w:t>
      </w:r>
      <w:r w:rsidR="00F840E0" w:rsidRPr="00F840E0">
        <w:rPr>
          <w:smallCaps/>
          <w:noProof/>
          <w:lang w:val="en-US"/>
        </w:rPr>
        <w:t>Huber</w:t>
      </w:r>
      <w:r w:rsidR="00F840E0">
        <w:rPr>
          <w:noProof/>
          <w:lang w:val="en-US"/>
        </w:rPr>
        <w:t xml:space="preserve"> 1967; </w:t>
      </w:r>
      <w:r w:rsidR="00F840E0" w:rsidRPr="00F840E0">
        <w:rPr>
          <w:smallCaps/>
          <w:noProof/>
          <w:lang w:val="en-US"/>
        </w:rPr>
        <w:t>White</w:t>
      </w:r>
      <w:r w:rsidR="00F840E0">
        <w:rPr>
          <w:noProof/>
          <w:lang w:val="en-US"/>
        </w:rPr>
        <w:t xml:space="preserve"> 1980)</w:t>
      </w:r>
      <w:r w:rsidR="00F840E0">
        <w:rPr>
          <w:lang w:val="en-US"/>
        </w:rPr>
        <w:fldChar w:fldCharType="end"/>
      </w:r>
      <w:r w:rsidR="00F840E0">
        <w:rPr>
          <w:lang w:val="en-US"/>
        </w:rPr>
        <w:t>.</w:t>
      </w:r>
    </w:p>
    <w:p w14:paraId="5D052254" w14:textId="70F0E92F" w:rsidR="00FB0206" w:rsidRPr="002A417C" w:rsidRDefault="00BB3CA6" w:rsidP="00FB0206">
      <w:pPr>
        <w:rPr>
          <w:b/>
          <w:lang w:val="en-US"/>
        </w:rPr>
      </w:pPr>
      <w:r>
        <w:rPr>
          <w:lang w:val="en-US"/>
        </w:rPr>
        <w:t xml:space="preserve">To compare the complete range of variance and covariance via </w:t>
      </w:r>
      <w:r w:rsidR="000A5207">
        <w:rPr>
          <w:lang w:val="en-US"/>
        </w:rPr>
        <w:t>principal components analysis (PCA)</w:t>
      </w:r>
      <w:r>
        <w:rPr>
          <w:lang w:val="en-US"/>
        </w:rPr>
        <w:t xml:space="preserve">, I binned each parameter into </w:t>
      </w:r>
      <w:r w:rsidR="00576558">
        <w:rPr>
          <w:lang w:val="en-US"/>
        </w:rPr>
        <w:t>three</w:t>
      </w:r>
      <w:r>
        <w:rPr>
          <w:lang w:val="en-US"/>
        </w:rPr>
        <w:t xml:space="preserve"> equidistant factor levels</w:t>
      </w:r>
      <w:r w:rsidR="00576558">
        <w:rPr>
          <w:lang w:val="en-US"/>
        </w:rPr>
        <w:t>, representing high, medium, and low factor levels for each variable</w:t>
      </w:r>
      <w:r w:rsidR="000A5207">
        <w:rPr>
          <w:lang w:val="en-US"/>
        </w:rPr>
        <w:t xml:space="preserve">. </w:t>
      </w:r>
      <w:r w:rsidR="00B00A38">
        <w:rPr>
          <w:lang w:val="en-US"/>
        </w:rPr>
        <w:t xml:space="preserve">From the population variances and covariances, I extracted </w:t>
      </w:r>
      <w:r w:rsidR="00B00A38" w:rsidRPr="00A444BB">
        <w:rPr>
          <w:b/>
          <w:lang w:val="en-US"/>
        </w:rPr>
        <w:t>G</w:t>
      </w:r>
      <w:r w:rsidR="00B00A38">
        <w:rPr>
          <w:lang w:val="en-US"/>
        </w:rPr>
        <w:t xml:space="preserve"> matrices and performed </w:t>
      </w:r>
      <w:r w:rsidR="000A5207">
        <w:rPr>
          <w:lang w:val="en-US"/>
        </w:rPr>
        <w:t>PCA</w:t>
      </w:r>
      <w:r w:rsidR="00B00A38">
        <w:rPr>
          <w:lang w:val="en-US"/>
        </w:rPr>
        <w:t xml:space="preserve"> </w:t>
      </w:r>
      <w:r w:rsidR="00370DEA">
        <w:rPr>
          <w:lang w:val="en-US"/>
        </w:rPr>
        <w:t xml:space="preserve">on them, </w:t>
      </w:r>
      <w:r w:rsidR="00B00A38">
        <w:rPr>
          <w:lang w:val="en-US"/>
        </w:rPr>
        <w:t>construct</w:t>
      </w:r>
      <w:r w:rsidR="00370DEA">
        <w:rPr>
          <w:lang w:val="en-US"/>
        </w:rPr>
        <w:t>ing</w:t>
      </w:r>
      <w:r w:rsidR="00B00A38">
        <w:rPr>
          <w:lang w:val="en-US"/>
        </w:rPr>
        <w:t xml:space="preserve"> </w:t>
      </w:r>
      <w:r w:rsidR="00B00A38" w:rsidRPr="00A444BB">
        <w:rPr>
          <w:b/>
          <w:lang w:val="en-US"/>
        </w:rPr>
        <w:t>G</w:t>
      </w:r>
      <w:r w:rsidR="00B00A38">
        <w:rPr>
          <w:lang w:val="en-US"/>
        </w:rPr>
        <w:t xml:space="preserve"> ellipses from the first two traits</w:t>
      </w:r>
      <w:r w:rsidR="0090468E">
        <w:rPr>
          <w:lang w:val="en-US"/>
        </w:rPr>
        <w:t xml:space="preserve"> and </w:t>
      </w:r>
      <w:r w:rsidR="00D72F80">
        <w:rPr>
          <w:lang w:val="en-US"/>
        </w:rPr>
        <w:t>principal components</w:t>
      </w:r>
      <w:r w:rsidR="00981368">
        <w:rPr>
          <w:lang w:val="en-US"/>
        </w:rPr>
        <w:t xml:space="preserve"> for each </w:t>
      </w:r>
      <w:r w:rsidR="002A417C">
        <w:rPr>
          <w:lang w:val="en-US"/>
        </w:rPr>
        <w:t xml:space="preserve">parameter </w:t>
      </w:r>
      <w:r w:rsidR="00981368">
        <w:rPr>
          <w:lang w:val="en-US"/>
        </w:rPr>
        <w:t>factor level</w:t>
      </w:r>
      <w:r w:rsidR="00B00A38">
        <w:rPr>
          <w:lang w:val="en-US"/>
        </w:rPr>
        <w:t>.</w:t>
      </w:r>
      <w:r w:rsidR="00FB0206">
        <w:rPr>
          <w:lang w:val="en-US"/>
        </w:rPr>
        <w:t xml:space="preserve"> Using </w:t>
      </w:r>
      <w:r w:rsidR="003E72C0">
        <w:rPr>
          <w:lang w:val="en-US"/>
        </w:rPr>
        <w:t>multiple regression with EHW errors</w:t>
      </w:r>
      <w:r w:rsidR="00641FB8">
        <w:rPr>
          <w:lang w:val="en-US"/>
        </w:rPr>
        <w:t xml:space="preserve"> (comparing only first-order interactions between predictor variables)</w:t>
      </w:r>
      <w:r w:rsidR="00FB0206">
        <w:rPr>
          <w:lang w:val="en-US"/>
        </w:rPr>
        <w:t>, I com</w:t>
      </w:r>
      <w:r w:rsidR="002A417C">
        <w:rPr>
          <w:lang w:val="en-US"/>
        </w:rPr>
        <w:t xml:space="preserve">pared the areas of each ellipse, </w:t>
      </w:r>
      <w:r w:rsidR="00915125">
        <w:rPr>
          <w:lang w:val="en-US"/>
        </w:rPr>
        <w:t xml:space="preserve">the ratio of </w:t>
      </w:r>
      <w:r w:rsidR="001E2A26">
        <w:rPr>
          <w:lang w:val="en-US"/>
        </w:rPr>
        <w:t>the major and minor axes of variation</w:t>
      </w:r>
      <w:r w:rsidR="00915125">
        <w:rPr>
          <w:lang w:val="en-US"/>
        </w:rPr>
        <w:t>, and the angle of rotation of the ellipse around its center</w:t>
      </w:r>
      <w:r w:rsidR="009B3896">
        <w:rPr>
          <w:lang w:val="en-US"/>
        </w:rPr>
        <w:t xml:space="preserve"> (the two-trait mean)</w:t>
      </w:r>
      <w:r w:rsidR="00915125">
        <w:rPr>
          <w:lang w:val="en-US"/>
        </w:rPr>
        <w:t>.</w:t>
      </w:r>
      <w:r w:rsidR="002E28E0">
        <w:rPr>
          <w:lang w:val="en-US"/>
        </w:rPr>
        <w:t xml:space="preserve"> I then </w:t>
      </w:r>
      <w:r w:rsidR="00C115D2">
        <w:rPr>
          <w:lang w:val="en-US"/>
        </w:rPr>
        <w:t xml:space="preserve">performed post-hoc </w:t>
      </w:r>
      <w:r w:rsidR="003E72C0">
        <w:rPr>
          <w:lang w:val="en-US"/>
        </w:rPr>
        <w:t>least-square</w:t>
      </w:r>
      <w:r w:rsidR="00576558">
        <w:rPr>
          <w:lang w:val="en-US"/>
        </w:rPr>
        <w:t xml:space="preserve"> means</w:t>
      </w:r>
      <w:r w:rsidR="00C115D2">
        <w:rPr>
          <w:lang w:val="en-US"/>
        </w:rPr>
        <w:t xml:space="preserve"> tests</w:t>
      </w:r>
      <w:r w:rsidR="00576558">
        <w:rPr>
          <w:lang w:val="en-US"/>
        </w:rPr>
        <w:t xml:space="preserve"> (adjusted for multiple comparisons with Tukey’s correction)</w:t>
      </w:r>
      <w:r w:rsidR="00C115D2">
        <w:rPr>
          <w:lang w:val="en-US"/>
        </w:rPr>
        <w:t xml:space="preserve"> to determine which groups were significantly different.</w:t>
      </w:r>
      <w:r w:rsidR="002E28E0">
        <w:rPr>
          <w:lang w:val="en-US"/>
        </w:rPr>
        <w:t xml:space="preserve"> </w:t>
      </w:r>
    </w:p>
    <w:p w14:paraId="52111282" w14:textId="2B6B079F" w:rsidR="00867601" w:rsidRDefault="00AD4B13" w:rsidP="00FB0206">
      <w:pPr>
        <w:rPr>
          <w:lang w:val="en-US"/>
        </w:rPr>
      </w:pPr>
      <w:r>
        <w:rPr>
          <w:lang w:val="en-US"/>
        </w:rPr>
        <w:t xml:space="preserve">To describe the total structure of differences between </w:t>
      </w:r>
      <w:r>
        <w:rPr>
          <w:b/>
          <w:lang w:val="en-US"/>
        </w:rPr>
        <w:t>G</w:t>
      </w:r>
      <w:r>
        <w:rPr>
          <w:lang w:val="en-US"/>
        </w:rPr>
        <w:t xml:space="preserve"> matr</w:t>
      </w:r>
      <w:r w:rsidR="00034011">
        <w:rPr>
          <w:lang w:val="en-US"/>
        </w:rPr>
        <w:t>ices</w:t>
      </w:r>
      <w:r w:rsidR="00976B70">
        <w:rPr>
          <w:lang w:val="en-US"/>
        </w:rPr>
        <w:t xml:space="preserve"> across all eight traits</w:t>
      </w:r>
      <w:r w:rsidR="00034011">
        <w:rPr>
          <w:lang w:val="en-US"/>
        </w:rPr>
        <w:t xml:space="preserve">, I used relative </w:t>
      </w:r>
      <w:r w:rsidR="00AC307C">
        <w:rPr>
          <w:lang w:val="en-US"/>
        </w:rPr>
        <w:t>PCA</w:t>
      </w:r>
      <w:r w:rsidR="00034011">
        <w:rPr>
          <w:lang w:val="en-US"/>
        </w:rPr>
        <w:t xml:space="preserve">, comparing differences in variance-covariance structure </w:t>
      </w:r>
      <w:r w:rsidR="00131663">
        <w:rPr>
          <w:lang w:val="en-US"/>
        </w:rPr>
        <w:t xml:space="preserve">both </w:t>
      </w:r>
      <w:r w:rsidR="00225F14">
        <w:rPr>
          <w:lang w:val="en-US"/>
        </w:rPr>
        <w:t>within</w:t>
      </w:r>
      <w:r w:rsidR="00034011">
        <w:rPr>
          <w:lang w:val="en-US"/>
        </w:rPr>
        <w:t xml:space="preserve"> </w:t>
      </w:r>
      <w:r w:rsidR="00225F14">
        <w:rPr>
          <w:lang w:val="en-US"/>
        </w:rPr>
        <w:t xml:space="preserve">and between </w:t>
      </w:r>
      <w:r w:rsidR="009C4CC6">
        <w:rPr>
          <w:lang w:val="en-US"/>
        </w:rPr>
        <w:t>levels</w:t>
      </w:r>
      <w:r w:rsidR="00AE015D">
        <w:rPr>
          <w:lang w:val="en-US"/>
        </w:rPr>
        <w:t xml:space="preserve"> of each </w:t>
      </w:r>
      <w:r w:rsidR="009C4CC6">
        <w:rPr>
          <w:lang w:val="en-US"/>
        </w:rPr>
        <w:t>predictor variable</w:t>
      </w:r>
      <w:r w:rsidR="00034011">
        <w:rPr>
          <w:lang w:val="en-US"/>
        </w:rPr>
        <w:t>.</w:t>
      </w:r>
      <w:r w:rsidR="00131663">
        <w:rPr>
          <w:lang w:val="en-US"/>
        </w:rPr>
        <w:t xml:space="preserve"> </w:t>
      </w:r>
      <w:r w:rsidR="00AE015D">
        <w:rPr>
          <w:lang w:val="en-US"/>
        </w:rPr>
        <w:t xml:space="preserve">This was done using </w:t>
      </w:r>
      <w:r w:rsidR="002B286E">
        <w:rPr>
          <w:lang w:val="en-US"/>
        </w:rPr>
        <w:t>the ‘</w:t>
      </w:r>
      <w:proofErr w:type="spellStart"/>
      <w:r w:rsidR="002B286E">
        <w:rPr>
          <w:lang w:val="en-US"/>
        </w:rPr>
        <w:t>vcvComp</w:t>
      </w:r>
      <w:proofErr w:type="spellEnd"/>
      <w:r w:rsidR="002B286E">
        <w:rPr>
          <w:lang w:val="en-US"/>
        </w:rPr>
        <w:t xml:space="preserve">’ package for R </w:t>
      </w:r>
      <w:r w:rsidR="002B286E">
        <w:rPr>
          <w:lang w:val="en-US"/>
        </w:rPr>
        <w:fldChar w:fldCharType="begin"/>
      </w:r>
      <w:r w:rsidR="002B286E">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2B286E">
        <w:rPr>
          <w:lang w:val="en-US"/>
        </w:rPr>
        <w:fldChar w:fldCharType="separate"/>
      </w:r>
      <w:r w:rsidR="002B286E">
        <w:rPr>
          <w:noProof/>
          <w:lang w:val="en-US"/>
        </w:rPr>
        <w:t>(</w:t>
      </w:r>
      <w:r w:rsidR="002B286E" w:rsidRPr="002B286E">
        <w:rPr>
          <w:smallCaps/>
          <w:noProof/>
          <w:lang w:val="en-US"/>
        </w:rPr>
        <w:t>Le Maître and Mitteroecker</w:t>
      </w:r>
      <w:r w:rsidR="002B286E">
        <w:rPr>
          <w:noProof/>
          <w:lang w:val="en-US"/>
        </w:rPr>
        <w:t xml:space="preserve"> 2019)</w:t>
      </w:r>
      <w:r w:rsidR="002B286E">
        <w:rPr>
          <w:lang w:val="en-US"/>
        </w:rPr>
        <w:fldChar w:fldCharType="end"/>
      </w:r>
      <w:r w:rsidR="002B286E">
        <w:rPr>
          <w:lang w:val="en-US"/>
        </w:rPr>
        <w:t xml:space="preserve">. </w:t>
      </w:r>
      <w:r w:rsidR="004D4A4F">
        <w:rPr>
          <w:lang w:val="en-US"/>
        </w:rPr>
        <w:t xml:space="preserve">Relative principal components analysis produces the generalized variances between </w:t>
      </w:r>
      <w:r w:rsidR="003E72C0">
        <w:rPr>
          <w:lang w:val="en-US"/>
        </w:rPr>
        <w:t>pairs of</w:t>
      </w:r>
      <w:r w:rsidR="004D4A4F">
        <w:rPr>
          <w:lang w:val="en-US"/>
        </w:rPr>
        <w:t xml:space="preserve"> tested models, which is the product of all relative eigenvalues </w:t>
      </w:r>
      <w:r w:rsidR="004D4A4F">
        <w:rPr>
          <w:lang w:val="en-US"/>
        </w:rPr>
        <w:fldChar w:fldCharType="begin"/>
      </w:r>
      <w:r w:rsidR="004D4A4F">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4D4A4F">
        <w:rPr>
          <w:lang w:val="en-US"/>
        </w:rPr>
        <w:fldChar w:fldCharType="separate"/>
      </w:r>
      <w:r w:rsidR="004D4A4F">
        <w:rPr>
          <w:noProof/>
          <w:lang w:val="en-US"/>
        </w:rPr>
        <w:t>(</w:t>
      </w:r>
      <w:r w:rsidR="004D4A4F" w:rsidRPr="004D4A4F">
        <w:rPr>
          <w:smallCaps/>
          <w:noProof/>
          <w:lang w:val="en-US"/>
        </w:rPr>
        <w:t>Le Maître and Mitteroecker</w:t>
      </w:r>
      <w:r w:rsidR="004D4A4F">
        <w:rPr>
          <w:noProof/>
          <w:lang w:val="en-US"/>
        </w:rPr>
        <w:t xml:space="preserve"> 2019)</w:t>
      </w:r>
      <w:r w:rsidR="004D4A4F">
        <w:rPr>
          <w:lang w:val="en-US"/>
        </w:rPr>
        <w:fldChar w:fldCharType="end"/>
      </w:r>
      <w:r w:rsidR="004D4A4F">
        <w:rPr>
          <w:lang w:val="en-US"/>
        </w:rPr>
        <w:t xml:space="preserve">. </w:t>
      </w:r>
      <w:r w:rsidR="006661CB">
        <w:rPr>
          <w:lang w:val="en-US"/>
        </w:rPr>
        <w:t>This is equivalent to the ratio of the determinants of the two covariance matrices</w:t>
      </w:r>
      <w:r w:rsidR="00175EF6">
        <w:rPr>
          <w:lang w:val="en-US"/>
        </w:rPr>
        <w:t xml:space="preserve"> (or models)</w:t>
      </w:r>
      <w:r w:rsidR="006661CB">
        <w:rPr>
          <w:lang w:val="en-US"/>
        </w:rPr>
        <w:t xml:space="preserve"> being compared</w:t>
      </w:r>
      <w:r w:rsidR="00175EF6">
        <w:rPr>
          <w:lang w:val="en-US"/>
        </w:rPr>
        <w:t xml:space="preserve">. The log generalized variance is a useful metric for comparing the magnitude of variation across all traits between the two groups </w:t>
      </w:r>
      <w:r w:rsidR="00175EF6">
        <w:rPr>
          <w:lang w:val="en-US"/>
        </w:rPr>
        <w:fldChar w:fldCharType="begin"/>
      </w:r>
      <w:r w:rsidR="00175EF6">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175EF6">
        <w:rPr>
          <w:lang w:val="en-US"/>
        </w:rPr>
        <w:fldChar w:fldCharType="separate"/>
      </w:r>
      <w:r w:rsidR="00175EF6">
        <w:rPr>
          <w:noProof/>
          <w:lang w:val="en-US"/>
        </w:rPr>
        <w:t>(</w:t>
      </w:r>
      <w:r w:rsidR="00175EF6" w:rsidRPr="00175EF6">
        <w:rPr>
          <w:smallCaps/>
          <w:noProof/>
          <w:lang w:val="en-US"/>
        </w:rPr>
        <w:t>Le Maître and Mitteroecker</w:t>
      </w:r>
      <w:r w:rsidR="00175EF6">
        <w:rPr>
          <w:noProof/>
          <w:lang w:val="en-US"/>
        </w:rPr>
        <w:t xml:space="preserve"> 2019)</w:t>
      </w:r>
      <w:r w:rsidR="00175EF6">
        <w:rPr>
          <w:lang w:val="en-US"/>
        </w:rPr>
        <w:fldChar w:fldCharType="end"/>
      </w:r>
      <w:r w:rsidR="002F00AC">
        <w:rPr>
          <w:lang w:val="en-US"/>
        </w:rPr>
        <w:t xml:space="preserve">. </w:t>
      </w:r>
      <w:r w:rsidR="00FF0D0C">
        <w:rPr>
          <w:lang w:val="en-US"/>
        </w:rPr>
        <w:t xml:space="preserve">I sampled 128 models of the </w:t>
      </w:r>
      <w:r w:rsidR="003C13A0">
        <w:rPr>
          <w:lang w:val="en-US"/>
        </w:rPr>
        <w:t xml:space="preserve">total </w:t>
      </w:r>
      <w:r w:rsidR="00FF0D0C">
        <w:rPr>
          <w:lang w:val="en-US"/>
        </w:rPr>
        <w:t>1024 for 812,800 pairwise comparisons between models (8128 comparisons replicated 100 times)</w:t>
      </w:r>
      <w:r w:rsidR="00AC307C">
        <w:rPr>
          <w:lang w:val="en-US"/>
        </w:rPr>
        <w:t>, computing a relative</w:t>
      </w:r>
      <w:r w:rsidR="009D0D47">
        <w:rPr>
          <w:lang w:val="en-US"/>
        </w:rPr>
        <w:t xml:space="preserve"> PCA for each comparison</w:t>
      </w:r>
      <w:r w:rsidR="00055CC2">
        <w:rPr>
          <w:lang w:val="en-US"/>
        </w:rPr>
        <w:t>.</w:t>
      </w:r>
      <w:r w:rsidR="001C6F41">
        <w:rPr>
          <w:lang w:val="en-US"/>
        </w:rPr>
        <w:t xml:space="preserve"> </w:t>
      </w:r>
    </w:p>
    <w:p w14:paraId="7C1418B0" w14:textId="77777777" w:rsidR="00984986" w:rsidRDefault="00984986" w:rsidP="00FB0206">
      <w:pPr>
        <w:rPr>
          <w:lang w:val="en-US"/>
        </w:rPr>
      </w:pPr>
    </w:p>
    <w:p w14:paraId="4EEBBB34" w14:textId="77777777" w:rsidR="00576558" w:rsidRDefault="00576558" w:rsidP="00FB0206">
      <w:pPr>
        <w:rPr>
          <w:lang w:val="en-US"/>
        </w:rPr>
      </w:pPr>
    </w:p>
    <w:p w14:paraId="44799860" w14:textId="77777777" w:rsidR="00576558" w:rsidRDefault="00576558" w:rsidP="00FB0206">
      <w:pPr>
        <w:rPr>
          <w:lang w:val="en-US"/>
        </w:rPr>
      </w:pPr>
    </w:p>
    <w:p w14:paraId="306F2267" w14:textId="72E22A20" w:rsidR="001E2A26" w:rsidRDefault="00576558" w:rsidP="00FB0206">
      <w:pPr>
        <w:rPr>
          <w:lang w:val="en-US"/>
        </w:rPr>
      </w:pPr>
      <w:r>
        <w:rPr>
          <w:lang w:val="en-US"/>
        </w:rPr>
        <w:t xml:space="preserve">Using a similar methodology to my ellipse analysis, I used </w:t>
      </w:r>
      <w:r w:rsidR="003E72C0">
        <w:rPr>
          <w:lang w:val="en-US"/>
        </w:rPr>
        <w:t xml:space="preserve">multiple regression </w:t>
      </w:r>
      <w:r>
        <w:rPr>
          <w:lang w:val="en-US"/>
        </w:rPr>
        <w:t>to compare log generalized variances between groups. I then</w:t>
      </w:r>
      <w:r w:rsidR="0001140F">
        <w:rPr>
          <w:lang w:val="en-US"/>
        </w:rPr>
        <w:t xml:space="preserve"> computed post-hoc least-square</w:t>
      </w:r>
      <w:r>
        <w:rPr>
          <w:lang w:val="en-US"/>
        </w:rPr>
        <w:t xml:space="preserve"> means tests, adjusting for multiple comparisons with Tukey’s correction</w:t>
      </w:r>
      <w:r w:rsidR="001C6F41">
        <w:rPr>
          <w:lang w:val="en-US"/>
        </w:rPr>
        <w:t xml:space="preserve">. </w:t>
      </w:r>
      <w:r w:rsidR="00055CC2">
        <w:rPr>
          <w:lang w:val="en-US"/>
        </w:rPr>
        <w:t xml:space="preserve">I </w:t>
      </w:r>
      <w:r w:rsidR="00867601">
        <w:rPr>
          <w:lang w:val="en-US"/>
        </w:rPr>
        <w:t xml:space="preserve">then </w:t>
      </w:r>
      <w:r w:rsidR="00055CC2">
        <w:rPr>
          <w:lang w:val="en-US"/>
        </w:rPr>
        <w:t xml:space="preserve">compared the distributions of log generalized variances between groups </w:t>
      </w:r>
      <w:r w:rsidR="0001140F">
        <w:rPr>
          <w:lang w:val="en-US"/>
        </w:rPr>
        <w:t>using Kolmogorov-Smirnov tests</w:t>
      </w:r>
      <w:r w:rsidR="00AC70B0">
        <w:rPr>
          <w:lang w:val="en-US"/>
        </w:rPr>
        <w:t>.</w:t>
      </w:r>
      <w:r w:rsidR="00B32810">
        <w:rPr>
          <w:lang w:val="en-US"/>
        </w:rPr>
        <w:t xml:space="preserve"> </w:t>
      </w:r>
    </w:p>
    <w:p w14:paraId="4551C588" w14:textId="77777777" w:rsidR="00994321" w:rsidRDefault="00994321" w:rsidP="00FB0206">
      <w:pPr>
        <w:rPr>
          <w:lang w:val="en-US"/>
        </w:rPr>
      </w:pPr>
    </w:p>
    <w:p w14:paraId="328799AB" w14:textId="588FFB2D" w:rsidR="001E2A26" w:rsidRDefault="00994321" w:rsidP="00994321">
      <w:pPr>
        <w:pStyle w:val="Heading2"/>
      </w:pPr>
      <w:r>
        <w:t>Selection model analysis</w:t>
      </w:r>
    </w:p>
    <w:p w14:paraId="59372E41" w14:textId="76CAD7DC" w:rsidR="00316740" w:rsidRDefault="00994321" w:rsidP="00FB0206">
      <w:pPr>
        <w:rPr>
          <w:rFonts w:eastAsiaTheme="minorEastAsia"/>
          <w:lang w:val="en-US"/>
        </w:rPr>
      </w:pPr>
      <w:r>
        <w:rPr>
          <w:lang w:val="en-US"/>
        </w:rPr>
        <w:t xml:space="preserve">I repeated the above analyses on the selection model, this time including the sixth predictor, </w:t>
      </w:r>
      <m:oMath>
        <m:r>
          <w:rPr>
            <w:rFonts w:ascii="Cambria Math" w:eastAsiaTheme="minorEastAsia" w:hAnsi="Cambria Math"/>
            <w:lang w:val="en-US"/>
          </w:rPr>
          <m:t>τ</m:t>
        </m:r>
      </m:oMath>
      <w:r>
        <w:rPr>
          <w:rFonts w:eastAsiaTheme="minorEastAsia"/>
          <w:lang w:val="en-US"/>
        </w:rPr>
        <w:t xml:space="preserve">, in statistical models. </w:t>
      </w:r>
      <w:r w:rsidR="00316740">
        <w:rPr>
          <w:rFonts w:eastAsiaTheme="minorEastAsia"/>
          <w:lang w:val="en-US"/>
        </w:rPr>
        <w:t xml:space="preserve">I grouped the five predictors into bins as with the null model, but included selection strength as another parameter to compare these parameters against. </w:t>
      </w:r>
    </w:p>
    <w:p w14:paraId="318FAE5C" w14:textId="77777777" w:rsidR="00316740" w:rsidRDefault="00316740" w:rsidP="00FB0206">
      <w:pPr>
        <w:rPr>
          <w:rFonts w:eastAsiaTheme="minorEastAsia"/>
          <w:lang w:val="en-US"/>
        </w:rPr>
      </w:pPr>
    </w:p>
    <w:p w14:paraId="300A83BF" w14:textId="1E6D0B35" w:rsidR="0043696D" w:rsidRDefault="00316740" w:rsidP="0043696D">
      <w:pPr>
        <w:pStyle w:val="Heading2"/>
      </w:pPr>
      <w:r>
        <w:t>Null/selection comparisons</w:t>
      </w:r>
    </w:p>
    <w:p w14:paraId="5853BB68" w14:textId="1530B762" w:rsidR="0043696D" w:rsidRDefault="0043696D" w:rsidP="0043696D">
      <w:pPr>
        <w:rPr>
          <w:lang w:val="en-US"/>
        </w:rPr>
      </w:pPr>
      <w:r>
        <w:rPr>
          <w:lang w:val="en-US"/>
        </w:rPr>
        <w:t xml:space="preserve">For analysis, each parameter was grouped into three categories: low, medium, and high, with each bin containing a third of the total data. </w:t>
      </w:r>
      <m:oMath>
        <m:r>
          <w:rPr>
            <w:rFonts w:ascii="Cambria Math" w:eastAsiaTheme="minorEastAsia" w:hAnsi="Cambria Math"/>
            <w:lang w:val="en-US"/>
          </w:rPr>
          <m:t xml:space="preserve">τ </m:t>
        </m:r>
      </m:oMath>
      <w:r w:rsidR="00261DAC">
        <w:rPr>
          <w:rFonts w:eastAsiaTheme="minorEastAsia"/>
          <w:lang w:val="en-US"/>
        </w:rPr>
        <w:t xml:space="preserve">was the exception to this, with a </w:t>
      </w:r>
      <w:r>
        <w:rPr>
          <w:rFonts w:eastAsiaTheme="minorEastAsia"/>
          <w:lang w:val="en-US"/>
        </w:rPr>
        <w:t xml:space="preserve">fourth bin, null, describing the neutral models with no </w:t>
      </w:r>
      <m:oMath>
        <m:r>
          <w:rPr>
            <w:rFonts w:ascii="Cambria Math" w:eastAsiaTheme="minorEastAsia" w:hAnsi="Cambria Math"/>
            <w:lang w:val="en-US"/>
          </w:rPr>
          <m:t xml:space="preserve">τ </m:t>
        </m:r>
      </m:oMath>
      <w:r>
        <w:rPr>
          <w:rFonts w:eastAsiaTheme="minorEastAsia"/>
          <w:lang w:val="en-US"/>
        </w:rPr>
        <w:t>value at all.</w:t>
      </w:r>
      <w:r>
        <w:rPr>
          <w:lang w:val="en-US"/>
        </w:rPr>
        <w:t xml:space="preserve"> I used eigentensor analysis to determine which levels of parameters were responsible for the most divergence in a set </w:t>
      </w:r>
      <w:r w:rsidR="00261DAC">
        <w:rPr>
          <w:lang w:val="en-US"/>
        </w:rPr>
        <w:t>of matrices binned by selection strength.</w:t>
      </w:r>
    </w:p>
    <w:p w14:paraId="7A63593E" w14:textId="19A34BDA" w:rsidR="00ED73A8" w:rsidRDefault="00261DAC" w:rsidP="0043696D">
      <w:pPr>
        <w:rPr>
          <w:lang w:val="en-US"/>
        </w:rPr>
      </w:pPr>
      <w:r>
        <w:rPr>
          <w:lang w:val="en-US"/>
        </w:rPr>
        <w:t>Eigentensor analysis involves the construction of a fourth-order tensor: an array of variance-covariance matrices</w:t>
      </w:r>
      <w:r w:rsidR="0064752F">
        <w:rPr>
          <w:lang w:val="en-US"/>
        </w:rPr>
        <w:t xml:space="preserve">. In this case, these are </w:t>
      </w:r>
      <w:r w:rsidR="0064752F">
        <w:rPr>
          <w:b/>
          <w:lang w:val="en-US"/>
        </w:rPr>
        <w:t>G</w:t>
      </w:r>
      <w:r w:rsidR="0064752F">
        <w:rPr>
          <w:lang w:val="en-US"/>
        </w:rPr>
        <w:t xml:space="preserve"> matrices</w:t>
      </w:r>
      <w:r>
        <w:rPr>
          <w:lang w:val="en-US"/>
        </w:rPr>
        <w:t xml:space="preserve">. This is followed by a ‘flattening’ of this tensor into its </w:t>
      </w:r>
      <w:r>
        <w:rPr>
          <w:b/>
          <w:lang w:val="en-US"/>
        </w:rPr>
        <w:t>S</w:t>
      </w:r>
      <w:r>
        <w:rPr>
          <w:lang w:val="en-US"/>
        </w:rPr>
        <w:t xml:space="preserve"> matrix: a second-order representation of the fourth-order tensor describing the variances and covariances of the elements of the set of matrices </w:t>
      </w:r>
      <w:r>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bGUgZmFjZT0ic21hbGxjYXBzIj5BZ3VpcnJlPC9zdHlsZT48c3R5bGUgZmFjZT0iaXRhbGljIj4g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</w:fldData>
        </w:fldChar>
      </w:r>
      <w:r>
        <w:rPr>
          <w:lang w:val="en-US"/>
        </w:rPr>
        <w:instrText xml:space="preserve"> ADDIN EN.CITE </w:instrText>
      </w:r>
      <w:r>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bGUgZmFjZT0ic21hbGxjYXBzIj5BZ3VpcnJlPC9zdHlsZT48c3R5bGUgZmFjZT0iaXRhbGljIj4g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261DAC">
        <w:rPr>
          <w:smallCaps/>
          <w:noProof/>
          <w:lang w:val="en-US"/>
        </w:rPr>
        <w:t>Hine</w:t>
      </w:r>
      <w:r w:rsidRPr="00261DAC">
        <w:rPr>
          <w:i/>
          <w:noProof/>
          <w:lang w:val="en-US"/>
        </w:rPr>
        <w:t xml:space="preserve"> et al.</w:t>
      </w:r>
      <w:r>
        <w:rPr>
          <w:noProof/>
          <w:lang w:val="en-US"/>
        </w:rPr>
        <w:t xml:space="preserve"> 2009; </w:t>
      </w:r>
      <w:r w:rsidRPr="00261DAC">
        <w:rPr>
          <w:smallCaps/>
          <w:noProof/>
          <w:lang w:val="en-US"/>
        </w:rPr>
        <w:t>Aguirre</w:t>
      </w:r>
      <w:r w:rsidRPr="00261DAC">
        <w:rPr>
          <w:i/>
          <w:noProof/>
          <w:lang w:val="en-US"/>
        </w:rPr>
        <w:t xml:space="preserve"> et al.</w:t>
      </w:r>
      <w:r>
        <w:rPr>
          <w:noProof/>
          <w:lang w:val="en-US"/>
        </w:rPr>
        <w:t xml:space="preserve"> 2014; </w:t>
      </w:r>
      <w:r w:rsidRPr="00261DAC">
        <w:rPr>
          <w:smallCaps/>
          <w:noProof/>
          <w:lang w:val="en-US"/>
        </w:rPr>
        <w:t>Walter</w:t>
      </w:r>
      <w:r w:rsidRPr="00261DAC">
        <w:rPr>
          <w:i/>
          <w:noProof/>
          <w:lang w:val="en-US"/>
        </w:rPr>
        <w:t xml:space="preserve"> et al.</w:t>
      </w:r>
      <w:r>
        <w:rPr>
          <w:noProof/>
          <w:lang w:val="en-US"/>
        </w:rPr>
        <w:t xml:space="preserve"> 2018)</w:t>
      </w:r>
      <w:r>
        <w:rPr>
          <w:lang w:val="en-US"/>
        </w:rPr>
        <w:fldChar w:fldCharType="end"/>
      </w:r>
      <w:r>
        <w:rPr>
          <w:lang w:val="en-US"/>
        </w:rPr>
        <w:t xml:space="preserve">. </w:t>
      </w:r>
      <w:proofErr w:type="spellStart"/>
      <w:r w:rsidR="009348D8">
        <w:rPr>
          <w:lang w:val="en-US"/>
        </w:rPr>
        <w:t>Eigenanalysis</w:t>
      </w:r>
      <w:proofErr w:type="spellEnd"/>
      <w:r w:rsidR="009348D8">
        <w:rPr>
          <w:lang w:val="en-US"/>
        </w:rPr>
        <w:t xml:space="preserve"> of the </w:t>
      </w:r>
      <w:r w:rsidR="009348D8">
        <w:rPr>
          <w:b/>
          <w:lang w:val="en-US"/>
        </w:rPr>
        <w:t xml:space="preserve">S </w:t>
      </w:r>
      <w:r w:rsidR="009348D8">
        <w:rPr>
          <w:lang w:val="en-US"/>
        </w:rPr>
        <w:t xml:space="preserve">matrix </w:t>
      </w:r>
      <w:r w:rsidR="00195473">
        <w:rPr>
          <w:lang w:val="en-US"/>
        </w:rPr>
        <w:t>reveals</w:t>
      </w:r>
      <w:r w:rsidR="009348D8">
        <w:rPr>
          <w:lang w:val="en-US"/>
        </w:rPr>
        <w:t xml:space="preserve"> the rotations in </w:t>
      </w:r>
      <w:r w:rsidR="00195473">
        <w:rPr>
          <w:lang w:val="en-US"/>
        </w:rPr>
        <w:t>tensor</w:t>
      </w:r>
      <w:r w:rsidR="009348D8">
        <w:rPr>
          <w:lang w:val="en-US"/>
        </w:rPr>
        <w:t xml:space="preserve"> space that describe the most variation in the </w:t>
      </w:r>
      <w:r w:rsidR="00195473">
        <w:rPr>
          <w:lang w:val="en-US"/>
        </w:rPr>
        <w:t xml:space="preserve">set of matrices. Hence, the first eigentensor is a linear combination of matrices describing the most variation in the original set of matrices </w:t>
      </w:r>
      <w:r w:rsidR="00195473">
        <w:rPr>
          <w:lang w:val="en-US"/>
        </w:rPr>
        <w:fldChar w:fldCharType="begin"/>
      </w:r>
      <w:r w:rsidR="00195473">
        <w:rPr>
          <w:lang w:val="en-US"/>
        </w:rPr>
        <w:instrText xml:space="preserve"> ADDIN EN.CITE &lt;EndNote&gt;&lt;Cite&gt;&lt;Author&gt;Hine&lt;/Author&gt;&lt;Year&gt;2009&lt;/Year&gt;&lt;RecNum&gt;161&lt;/RecNum&gt;&lt;DisplayText&gt;(&lt;style face="smallcaps"&gt;Hine&lt;/style&gt;&lt;style face="italic"&gt; et al.&lt;/style&gt; 2009)&lt;/DisplayText&gt;&lt;record&gt;&lt;rec-number&gt;161&lt;/rec-number&gt;&lt;foreign-keys&gt;&lt;key app="EN" db-id="5ppvfvtxcxr5xnew0zqvex91vs0vv2wxd90d" timestamp="1602561137"&gt;161&lt;/key&gt;&lt;/foreign-keys&gt;&lt;ref-type name="Journal Article"&gt;17&lt;/ref-type&gt;&lt;contributors&gt;&lt;authors&gt;&lt;author&gt;Hine, E.&lt;/author&gt;&lt;author&gt;Chenoweth, S. F.&lt;/author&gt;&lt;author&gt;Rundle, H. D.&lt;/author&gt;&lt;author&gt;Blows, M. W.&lt;/author&gt;&lt;/authors&gt;&lt;/contributors&gt;&lt;auth-address&gt;School of Integrative Biology, University of Queensland, Brisbane, Queensland 4072, Australia. e.hine@uq.edu.au&lt;/auth-address&gt;&lt;titles&gt;&lt;title&gt;Characterizing the evolution of genetic variance using genetic covariance tensors&lt;/title&gt;&lt;secondary-title&gt;Philos Trans R Soc Lond B Biol Sci&lt;/secondary-title&gt;&lt;/titles&gt;&lt;periodical&gt;&lt;full-title&gt;Philos Trans R Soc Lond B Biol Sci&lt;/full-title&gt;&lt;/periodical&gt;&lt;pages&gt;1567-78&lt;/pages&gt;&lt;volume&gt;364&lt;/volume&gt;&lt;number&gt;1523&lt;/number&gt;&lt;edition&gt;2009/05/06&lt;/edition&gt;&lt;keywords&gt;&lt;keyword&gt;Analysis of Variance&lt;/keyword&gt;&lt;keyword&gt;Animals&lt;/keyword&gt;&lt;keyword&gt;Drosophila/*genetics&lt;/keyword&gt;&lt;keyword&gt;*Evolution, Molecular&lt;/keyword&gt;&lt;keyword&gt;*Genetic Variation&lt;/keyword&gt;&lt;keyword&gt;*Genetics, Population&lt;/keyword&gt;&lt;keyword&gt;Male&lt;/keyword&gt;&lt;keyword&gt;*Models, Genetic&lt;/keyword&gt;&lt;keyword&gt;Selection, Genetic&lt;/keyword&gt;&lt;/keywords&gt;&lt;dates&gt;&lt;year&gt;2009&lt;/year&gt;&lt;pub-dates&gt;&lt;date&gt;Jun 12&lt;/date&gt;&lt;/pub-dates&gt;&lt;/dates&gt;&lt;isbn&gt;1471-2970 (Electronic)&amp;#xD;0962-8436 (Linking)&lt;/isbn&gt;&lt;accession-num&gt;19414471&lt;/accession-num&gt;&lt;urls&gt;&lt;related-urls&gt;&lt;url&gt;https://www.ncbi.nlm.nih.gov/pubmed/19414471&lt;/url&gt;&lt;/related-urls&gt;&lt;/urls&gt;&lt;custom2&gt;PMC2691006&lt;/custom2&gt;&lt;electronic-resource-num&gt;10.1098/rstb.2008.0313&lt;/electronic-resource-num&gt;&lt;/record&gt;&lt;/Cite&gt;&lt;/EndNote&gt;</w:instrText>
      </w:r>
      <w:r w:rsidR="00195473">
        <w:rPr>
          <w:lang w:val="en-US"/>
        </w:rPr>
        <w:fldChar w:fldCharType="separate"/>
      </w:r>
      <w:r w:rsidR="00195473">
        <w:rPr>
          <w:noProof/>
          <w:lang w:val="en-US"/>
        </w:rPr>
        <w:t>(</w:t>
      </w:r>
      <w:r w:rsidR="00195473" w:rsidRPr="00195473">
        <w:rPr>
          <w:smallCaps/>
          <w:noProof/>
          <w:lang w:val="en-US"/>
        </w:rPr>
        <w:t>Hine</w:t>
      </w:r>
      <w:r w:rsidR="00195473" w:rsidRPr="00195473">
        <w:rPr>
          <w:i/>
          <w:noProof/>
          <w:lang w:val="en-US"/>
        </w:rPr>
        <w:t xml:space="preserve"> et al.</w:t>
      </w:r>
      <w:r w:rsidR="00195473">
        <w:rPr>
          <w:noProof/>
          <w:lang w:val="en-US"/>
        </w:rPr>
        <w:t xml:space="preserve"> 2009)</w:t>
      </w:r>
      <w:r w:rsidR="00195473">
        <w:rPr>
          <w:lang w:val="en-US"/>
        </w:rPr>
        <w:fldChar w:fldCharType="end"/>
      </w:r>
      <w:r w:rsidR="00195473">
        <w:rPr>
          <w:lang w:val="en-US"/>
        </w:rPr>
        <w:t xml:space="preserve">. </w:t>
      </w:r>
      <w:r w:rsidR="00ED73A8">
        <w:rPr>
          <w:lang w:val="en-US"/>
        </w:rPr>
        <w:t xml:space="preserve">To determine the contribution of a particular matrix to the total hypervolume of matrix differences, the original </w:t>
      </w:r>
      <w:r w:rsidR="0064752F" w:rsidRPr="0064752F">
        <w:rPr>
          <w:b/>
          <w:lang w:val="en-US"/>
        </w:rPr>
        <w:t>G</w:t>
      </w:r>
      <w:r w:rsidR="0064752F">
        <w:rPr>
          <w:lang w:val="en-US"/>
        </w:rPr>
        <w:t xml:space="preserve"> </w:t>
      </w:r>
      <w:r w:rsidR="00ED73A8" w:rsidRPr="0064752F">
        <w:rPr>
          <w:lang w:val="en-US"/>
        </w:rPr>
        <w:t>matrices</w:t>
      </w:r>
      <w:r w:rsidR="00ED73A8">
        <w:rPr>
          <w:lang w:val="en-US"/>
        </w:rPr>
        <w:t xml:space="preserve"> can be projected through an eigentensor via the </w:t>
      </w:r>
      <w:proofErr w:type="spellStart"/>
      <w:r w:rsidR="00ED73A8">
        <w:rPr>
          <w:lang w:val="en-US"/>
        </w:rPr>
        <w:t>Frobenius</w:t>
      </w:r>
      <w:proofErr w:type="spellEnd"/>
      <w:r w:rsidR="00ED73A8">
        <w:rPr>
          <w:lang w:val="en-US"/>
        </w:rPr>
        <w:t xml:space="preserve"> product of the </w:t>
      </w:r>
      <w:r w:rsidR="0064752F">
        <w:rPr>
          <w:lang w:val="en-US"/>
        </w:rPr>
        <w:t>matrix and the eigentensor</w:t>
      </w:r>
      <w:r w:rsidR="00ED73A8">
        <w:rPr>
          <w:lang w:val="en-US"/>
        </w:rPr>
        <w:t xml:space="preserve"> </w:t>
      </w:r>
      <w:r w:rsidR="00ED73A8">
        <w:rPr>
          <w:lang w:val="en-US"/>
        </w:rPr>
        <w:fldChar w:fldCharType="begin"/>
      </w:r>
      <w:r w:rsidR="00ED73A8">
        <w:rPr>
          <w:lang w:val="en-US"/>
        </w:rPr>
        <w:instrText xml:space="preserve"> ADDIN EN.CITE &lt;EndNote&gt;&lt;Cite&gt;&lt;Author&gt;Walter&lt;/Author&gt;&lt;Year&gt;2018&lt;/Year&gt;&lt;RecNum&gt;29&lt;/RecNum&gt;&lt;DisplayText&gt;(&lt;style face="smallcaps"&gt;Walter&lt;/style&gt;&lt;style face="italic"&gt; et al.&lt;/style&gt; 2018)&lt;/DisplayText&gt;&lt;record&gt;&lt;rec-number&gt;29&lt;/rec-number&gt;&lt;foreign-keys&gt;&lt;key app="EN" db-id="5ppvfvtxcxr5xnew0zqvex91vs0vv2wxd90d" timestamp="1584268996"&gt;29&lt;/key&gt;&lt;/foreign-keys&gt;&lt;ref-type name="Journal Article"&gt;17&lt;/ref-type&gt;&lt;contributors&gt;&lt;authors&gt;&lt;author&gt;Greg M. Walter&lt;/author&gt;&lt;author&gt;J. David Aguirre&lt;/author&gt;&lt;author&gt;Mark W. Blows&lt;/author&gt;&lt;author&gt;Daniel Ortiz-Barrientos&lt;/author&gt;&lt;/authors&gt;&lt;/contributors&gt;&lt;titles&gt;&lt;title&gt;Evolution of Genetic Variance during Adaptive Radiation&lt;/title&gt;&lt;secondary-title&gt;The American Naturalist&lt;/secondary-title&gt;&lt;/titles&gt;&lt;periodical&gt;&lt;full-title&gt;The American Naturalist&lt;/full-title&gt;&lt;/periodical&gt;&lt;pages&gt;E108-E128&lt;/pages&gt;&lt;volume&gt;191&lt;/volume&gt;&lt;number&gt;4&lt;/number&gt;&lt;keywords&gt;&lt;keyword&gt;adaptive radiation,genetic constraint,additive genetic variance,phenotypic divergence,covariance tensor&lt;/keyword&gt;&lt;/keywords&gt;&lt;dates&gt;&lt;year&gt;2018&lt;/year&gt;&lt;/dates&gt;&lt;accession-num&gt;29570402&lt;/accession-num&gt;&lt;urls&gt;&lt;related-urls&gt;&lt;url&gt;https://www.journals.uchicago.edu/doi/abs/10.1086/696123&lt;/url&gt;&lt;/related-urls&gt;&lt;/urls&gt;&lt;electronic-resource-num&gt;10.1086/696123&lt;/electronic-resource-num&gt;&lt;/record&gt;&lt;/Cite&gt;&lt;/EndNote&gt;</w:instrText>
      </w:r>
      <w:r w:rsidR="00ED73A8">
        <w:rPr>
          <w:lang w:val="en-US"/>
        </w:rPr>
        <w:fldChar w:fldCharType="separate"/>
      </w:r>
      <w:r w:rsidR="00ED73A8">
        <w:rPr>
          <w:noProof/>
          <w:lang w:val="en-US"/>
        </w:rPr>
        <w:t>(</w:t>
      </w:r>
      <w:r w:rsidR="00ED73A8" w:rsidRPr="00ED73A8">
        <w:rPr>
          <w:smallCaps/>
          <w:noProof/>
          <w:lang w:val="en-US"/>
        </w:rPr>
        <w:t>Walter</w:t>
      </w:r>
      <w:r w:rsidR="00ED73A8" w:rsidRPr="00ED73A8">
        <w:rPr>
          <w:i/>
          <w:noProof/>
          <w:lang w:val="en-US"/>
        </w:rPr>
        <w:t xml:space="preserve"> et al.</w:t>
      </w:r>
      <w:r w:rsidR="00ED73A8">
        <w:rPr>
          <w:noProof/>
          <w:lang w:val="en-US"/>
        </w:rPr>
        <w:t xml:space="preserve"> 2018)</w:t>
      </w:r>
      <w:r w:rsidR="00ED73A8">
        <w:rPr>
          <w:lang w:val="en-US"/>
        </w:rPr>
        <w:fldChar w:fldCharType="end"/>
      </w:r>
      <w:r w:rsidR="00ED73A8">
        <w:rPr>
          <w:lang w:val="en-US"/>
        </w:rPr>
        <w:t xml:space="preserve">. The result is a coordinate of the matrix relative to the others in the set, with the absolute magnitude of the coordinates describing </w:t>
      </w:r>
      <w:r w:rsidR="002C408E">
        <w:rPr>
          <w:lang w:val="en-US"/>
        </w:rPr>
        <w:t xml:space="preserve">the size of differences of a given matrix relative to the total differences in the fourth-order tensor, and the sign of the coordinate giving the direction of differences (i.e. if two matrices in a set have opposite-signed coordinates, this implies differences are in opposite directions for the given eigentensor) </w:t>
      </w:r>
      <w:r w:rsidR="002C408E">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bGUgZmFjZT0ic21hbGxjYXBzIj5XYWx0ZXI8L3N0eWxlPjxzdHlsZSBmYWNlPSJpdGFsaWMiPiBl
dCBhbC48L3N0eWxlPiAyMDE4KTwvRGlzcGxheVRleHQ+PHJlY29yZD48cmVjLW51bWJlcj4yOTwv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PC9yZWNvcmQ+PC9DaXRlPjxDaXRlPjxBdXRob3I+SGluZTwvQXV0aG9yPjxZZWFyPjIwMDk8L1ll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</w:fldData>
        </w:fldChar>
      </w:r>
      <w:r w:rsidR="002C408E">
        <w:rPr>
          <w:lang w:val="en-US"/>
        </w:rPr>
        <w:instrText xml:space="preserve"> ADDIN EN.CITE </w:instrText>
      </w:r>
      <w:r w:rsidR="002C408E">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bGUgZmFjZT0ic21hbGxjYXBzIj5XYWx0ZXI8L3N0eWxlPjxzdHlsZSBmYWNlPSJpdGFsaWMiPiBl
dCBhbC48L3N0eWxlPiAyMDE4KTwvRGlzcGxheVRleHQ+PHJlY29yZD48cmVjLW51bWJlcj4yOTwv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PC9yZWNvcmQ+PC9DaXRlPjxDaXRlPjxBdXRob3I+SGluZTwvQXV0aG9yPjxZZWFyPjIwMDk8L1ll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</w:fldData>
        </w:fldChar>
      </w:r>
      <w:r w:rsidR="002C408E">
        <w:rPr>
          <w:lang w:val="en-US"/>
        </w:rPr>
        <w:instrText xml:space="preserve"> ADDIN EN.CITE.DATA </w:instrText>
      </w:r>
      <w:r w:rsidR="002C408E">
        <w:rPr>
          <w:lang w:val="en-US"/>
        </w:rPr>
      </w:r>
      <w:r w:rsidR="002C408E">
        <w:rPr>
          <w:lang w:val="en-US"/>
        </w:rPr>
        <w:fldChar w:fldCharType="end"/>
      </w:r>
      <w:r w:rsidR="002C408E">
        <w:rPr>
          <w:lang w:val="en-US"/>
        </w:rPr>
      </w:r>
      <w:r w:rsidR="002C408E">
        <w:rPr>
          <w:lang w:val="en-US"/>
        </w:rPr>
        <w:fldChar w:fldCharType="separate"/>
      </w:r>
      <w:r w:rsidR="002C408E">
        <w:rPr>
          <w:noProof/>
          <w:lang w:val="en-US"/>
        </w:rPr>
        <w:t>(</w:t>
      </w:r>
      <w:r w:rsidR="002C408E" w:rsidRPr="002C408E">
        <w:rPr>
          <w:smallCaps/>
          <w:noProof/>
          <w:lang w:val="en-US"/>
        </w:rPr>
        <w:t>Hine</w:t>
      </w:r>
      <w:r w:rsidR="002C408E" w:rsidRPr="002C408E">
        <w:rPr>
          <w:i/>
          <w:noProof/>
          <w:lang w:val="en-US"/>
        </w:rPr>
        <w:t xml:space="preserve"> et al.</w:t>
      </w:r>
      <w:r w:rsidR="002C408E">
        <w:rPr>
          <w:noProof/>
          <w:lang w:val="en-US"/>
        </w:rPr>
        <w:t xml:space="preserve"> 2009; </w:t>
      </w:r>
      <w:r w:rsidR="002C408E" w:rsidRPr="002C408E">
        <w:rPr>
          <w:smallCaps/>
          <w:noProof/>
          <w:lang w:val="en-US"/>
        </w:rPr>
        <w:lastRenderedPageBreak/>
        <w:t>Walter</w:t>
      </w:r>
      <w:r w:rsidR="002C408E" w:rsidRPr="002C408E">
        <w:rPr>
          <w:i/>
          <w:noProof/>
          <w:lang w:val="en-US"/>
        </w:rPr>
        <w:t xml:space="preserve"> et al.</w:t>
      </w:r>
      <w:r w:rsidR="002C408E">
        <w:rPr>
          <w:noProof/>
          <w:lang w:val="en-US"/>
        </w:rPr>
        <w:t xml:space="preserve"> 2018)</w:t>
      </w:r>
      <w:r w:rsidR="002C408E">
        <w:rPr>
          <w:lang w:val="en-US"/>
        </w:rPr>
        <w:fldChar w:fldCharType="end"/>
      </w:r>
      <w:r w:rsidR="002C408E">
        <w:rPr>
          <w:lang w:val="en-US"/>
        </w:rPr>
        <w:t>.</w:t>
      </w:r>
      <w:r w:rsidR="0013636E">
        <w:rPr>
          <w:lang w:val="en-US"/>
        </w:rPr>
        <w:t xml:space="preserve"> To determine which traits contribute to divergence the most, further analysis can be done.</w:t>
      </w:r>
    </w:p>
    <w:p w14:paraId="0DF543A5" w14:textId="40071A9A" w:rsidR="00261DAC" w:rsidRDefault="00195473" w:rsidP="0043696D">
      <w:pPr>
        <w:rPr>
          <w:lang w:val="en-US"/>
        </w:rPr>
      </w:pPr>
      <w:r>
        <w:rPr>
          <w:lang w:val="en-US"/>
        </w:rPr>
        <w:t xml:space="preserve">Subsequent </w:t>
      </w:r>
      <w:proofErr w:type="spellStart"/>
      <w:r>
        <w:rPr>
          <w:lang w:val="en-US"/>
        </w:rPr>
        <w:t>eigenanalysis</w:t>
      </w:r>
      <w:proofErr w:type="spellEnd"/>
      <w:r>
        <w:rPr>
          <w:lang w:val="en-US"/>
        </w:rPr>
        <w:t xml:space="preserve"> of an eigentensor uncovers the linear combinations of traits that result in the variation between models described by that eigentensor. </w:t>
      </w:r>
      <w:proofErr w:type="spellStart"/>
      <w:r>
        <w:rPr>
          <w:lang w:val="en-US"/>
        </w:rPr>
        <w:t>Eigenanalysis</w:t>
      </w:r>
      <w:proofErr w:type="spellEnd"/>
      <w:r>
        <w:rPr>
          <w:lang w:val="en-US"/>
        </w:rPr>
        <w:t xml:space="preserve"> of the first eigentensor describes the linear combination of traits that leads to the most variation between matrices in the given set</w:t>
      </w:r>
      <w:r w:rsidR="00ED73A8">
        <w:rPr>
          <w:lang w:val="en-US"/>
        </w:rPr>
        <w:t xml:space="preserve"> </w:t>
      </w:r>
      <w:r w:rsidR="00ED73A8">
        <w:rPr>
          <w:lang w:val="en-US"/>
        </w:rPr>
        <w:fldChar w:fldCharType="begin">
          <w:fldData xml:space="preserve">PEVuZE5vdGU+PENpdGU+PEF1dGhvcj5IaW5lPC9BdXRob3I+PFllYXI+MjAwOTwvWWVhcj48UmVj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PC9yZWNvcmQ+PC9DaXRlPjwvRW5kTm90ZT5=
</w:fldData>
        </w:fldChar>
      </w:r>
      <w:r w:rsidR="00ED73A8">
        <w:rPr>
          <w:lang w:val="en-US"/>
        </w:rPr>
        <w:instrText xml:space="preserve"> ADDIN EN.CITE </w:instrText>
      </w:r>
      <w:r w:rsidR="00ED73A8">
        <w:rPr>
          <w:lang w:val="en-US"/>
        </w:rPr>
        <w:fldChar w:fldCharType="begin">
          <w:fldData xml:space="preserve">PEVuZE5vdGU+PENpdGU+PEF1dGhvcj5IaW5lPC9BdXRob3I+PFllYXI+MjAwOTwvWWVhcj48UmVj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PC9yZWNvcmQ+PC9DaXRlPjwvRW5kTm90ZT5=
</w:fldData>
        </w:fldChar>
      </w:r>
      <w:r w:rsidR="00ED73A8">
        <w:rPr>
          <w:lang w:val="en-US"/>
        </w:rPr>
        <w:instrText xml:space="preserve"> ADDIN EN.CITE.DATA </w:instrText>
      </w:r>
      <w:r w:rsidR="00ED73A8">
        <w:rPr>
          <w:lang w:val="en-US"/>
        </w:rPr>
      </w:r>
      <w:r w:rsidR="00ED73A8">
        <w:rPr>
          <w:lang w:val="en-US"/>
        </w:rPr>
        <w:fldChar w:fldCharType="end"/>
      </w:r>
      <w:r w:rsidR="00ED73A8">
        <w:rPr>
          <w:lang w:val="en-US"/>
        </w:rPr>
      </w:r>
      <w:r w:rsidR="00ED73A8">
        <w:rPr>
          <w:lang w:val="en-US"/>
        </w:rPr>
        <w:fldChar w:fldCharType="separate"/>
      </w:r>
      <w:r w:rsidR="00ED73A8">
        <w:rPr>
          <w:noProof/>
          <w:lang w:val="en-US"/>
        </w:rPr>
        <w:t>(</w:t>
      </w:r>
      <w:r w:rsidR="00ED73A8" w:rsidRPr="00ED73A8">
        <w:rPr>
          <w:smallCaps/>
          <w:noProof/>
          <w:lang w:val="en-US"/>
        </w:rPr>
        <w:t>Hine</w:t>
      </w:r>
      <w:r w:rsidR="00ED73A8" w:rsidRPr="00ED73A8">
        <w:rPr>
          <w:i/>
          <w:noProof/>
          <w:lang w:val="en-US"/>
        </w:rPr>
        <w:t xml:space="preserve"> et al.</w:t>
      </w:r>
      <w:r w:rsidR="00ED73A8">
        <w:rPr>
          <w:noProof/>
          <w:lang w:val="en-US"/>
        </w:rPr>
        <w:t xml:space="preserve"> 2009; </w:t>
      </w:r>
      <w:r w:rsidR="00ED73A8" w:rsidRPr="00ED73A8">
        <w:rPr>
          <w:smallCaps/>
          <w:noProof/>
          <w:lang w:val="en-US"/>
        </w:rPr>
        <w:t>Walter</w:t>
      </w:r>
      <w:r w:rsidR="00ED73A8" w:rsidRPr="00ED73A8">
        <w:rPr>
          <w:i/>
          <w:noProof/>
          <w:lang w:val="en-US"/>
        </w:rPr>
        <w:t xml:space="preserve"> et al.</w:t>
      </w:r>
      <w:r w:rsidR="00ED73A8">
        <w:rPr>
          <w:noProof/>
          <w:lang w:val="en-US"/>
        </w:rPr>
        <w:t xml:space="preserve"> 2018)</w:t>
      </w:r>
      <w:r w:rsidR="00ED73A8">
        <w:rPr>
          <w:lang w:val="en-US"/>
        </w:rPr>
        <w:fldChar w:fldCharType="end"/>
      </w:r>
      <w:r>
        <w:rPr>
          <w:lang w:val="en-US"/>
        </w:rPr>
        <w:t xml:space="preserve">. </w:t>
      </w:r>
    </w:p>
    <w:p w14:paraId="65E4E6CD" w14:textId="10B018A8" w:rsidR="00D952B4" w:rsidRDefault="0013636E" w:rsidP="00D952B4">
      <w:pPr>
        <w:rPr>
          <w:lang w:val="en-US"/>
        </w:rPr>
      </w:pPr>
      <w:r>
        <w:rPr>
          <w:lang w:val="en-US"/>
        </w:rPr>
        <w:t xml:space="preserve">To perform eigentensor analysis, I randomly sampled </w:t>
      </w:r>
      <w:r>
        <w:rPr>
          <w:b/>
          <w:lang w:val="en-US"/>
        </w:rPr>
        <w:t>G</w:t>
      </w:r>
      <w:r>
        <w:rPr>
          <w:lang w:val="en-US"/>
        </w:rPr>
        <w:t xml:space="preserve"> matrices </w:t>
      </w:r>
      <w:r w:rsidR="0064752F">
        <w:rPr>
          <w:lang w:val="en-US"/>
        </w:rPr>
        <w:t xml:space="preserve">with a given combination of two parameter values (e.g. deleterious mutation = low and recombination rate = medium; Table 1). One </w:t>
      </w:r>
      <w:r w:rsidR="0064752F">
        <w:rPr>
          <w:b/>
          <w:lang w:val="en-US"/>
        </w:rPr>
        <w:t xml:space="preserve">G </w:t>
      </w:r>
      <w:r w:rsidR="0064752F">
        <w:rPr>
          <w:lang w:val="en-US"/>
        </w:rPr>
        <w:t xml:space="preserve">matrix was sampled for </w:t>
      </w:r>
      <w:r>
        <w:rPr>
          <w:lang w:val="en-US"/>
        </w:rPr>
        <w:t xml:space="preserve">each level of selection (null, low, medium, or high). These four matrices constructed a fourth-order tensor, which was subject to eigentensor decomposition and subsequent </w:t>
      </w:r>
      <w:proofErr w:type="spellStart"/>
      <w:r>
        <w:rPr>
          <w:lang w:val="en-US"/>
        </w:rPr>
        <w:t>Frobenius</w:t>
      </w:r>
      <w:proofErr w:type="spellEnd"/>
      <w:r>
        <w:rPr>
          <w:lang w:val="en-US"/>
        </w:rPr>
        <w:t xml:space="preserve"> projection via the ‘</w:t>
      </w:r>
      <w:proofErr w:type="spellStart"/>
      <w:r>
        <w:rPr>
          <w:lang w:val="en-US"/>
        </w:rPr>
        <w:t>evolqg</w:t>
      </w:r>
      <w:proofErr w:type="spellEnd"/>
      <w:r>
        <w:rPr>
          <w:lang w:val="en-US"/>
        </w:rPr>
        <w:t xml:space="preserve">’ package in R 4.0.2 </w:t>
      </w:r>
      <w:r>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Pr>
          <w:lang w:val="en-US"/>
        </w:rPr>
        <w:instrText xml:space="preserve"> ADDIN EN.CITE </w:instrText>
      </w:r>
      <w:r>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13636E">
        <w:rPr>
          <w:smallCaps/>
          <w:noProof/>
          <w:lang w:val="en-US"/>
        </w:rPr>
        <w:t>Melo</w:t>
      </w:r>
      <w:r w:rsidRPr="0013636E">
        <w:rPr>
          <w:i/>
          <w:noProof/>
          <w:lang w:val="en-US"/>
        </w:rPr>
        <w:t xml:space="preserve"> et al.</w:t>
      </w:r>
      <w:r>
        <w:rPr>
          <w:noProof/>
          <w:lang w:val="en-US"/>
        </w:rPr>
        <w:t xml:space="preserve"> 2015; </w:t>
      </w:r>
      <w:r w:rsidRPr="0013636E">
        <w:rPr>
          <w:smallCaps/>
          <w:noProof/>
          <w:lang w:val="en-US"/>
        </w:rPr>
        <w:t>R Developmental Core Team</w:t>
      </w:r>
      <w:r>
        <w:rPr>
          <w:noProof/>
          <w:lang w:val="en-US"/>
        </w:rPr>
        <w:t xml:space="preserve"> 2019)</w:t>
      </w:r>
      <w:r>
        <w:rPr>
          <w:lang w:val="en-US"/>
        </w:rPr>
        <w:fldChar w:fldCharType="end"/>
      </w:r>
      <w:r>
        <w:rPr>
          <w:lang w:val="en-US"/>
        </w:rPr>
        <w:t>.</w:t>
      </w:r>
      <w:r w:rsidR="00D952B4">
        <w:rPr>
          <w:lang w:val="en-US"/>
        </w:rPr>
        <w:t xml:space="preserve"> I then used base R functions to perform </w:t>
      </w:r>
      <w:proofErr w:type="spellStart"/>
      <w:r w:rsidR="00D952B4">
        <w:rPr>
          <w:lang w:val="en-US"/>
        </w:rPr>
        <w:t>eigenanalysis</w:t>
      </w:r>
      <w:proofErr w:type="spellEnd"/>
      <w:r w:rsidR="00D952B4">
        <w:rPr>
          <w:lang w:val="en-US"/>
        </w:rPr>
        <w:t xml:space="preserve"> on the first eigentensor to determine which trait combinations contributed to matrix divergence. This process was repeated for each combination of parameter values (3</w:t>
      </w:r>
      <w:r w:rsidR="00D952B4">
        <w:rPr>
          <w:vertAlign w:val="superscript"/>
          <w:lang w:val="en-US"/>
        </w:rPr>
        <w:t>2</w:t>
      </w:r>
      <w:r w:rsidR="00D952B4">
        <w:rPr>
          <w:lang w:val="en-US"/>
        </w:rPr>
        <w:t xml:space="preserve"> = 9 combinations), and the total analysis was repeated 1000 times via bootstrapping. The eigentensor projections and the first eigentensor’s first eigenvalue were compared with a linear model, adjusting for heteroscedasticity with </w:t>
      </w:r>
      <w:proofErr w:type="spellStart"/>
      <w:r w:rsidR="00D952B4">
        <w:rPr>
          <w:lang w:val="en-US"/>
        </w:rPr>
        <w:t>Eicker</w:t>
      </w:r>
      <w:proofErr w:type="spellEnd"/>
      <w:r w:rsidR="00D952B4">
        <w:rPr>
          <w:lang w:val="en-US"/>
        </w:rPr>
        <w:t xml:space="preserve">-Hubert-White (EHW) robust standard errors, although owing to the large sample size, this adjustment had minimal effect on t-statistics </w:t>
      </w:r>
      <w:r w:rsidR="00D952B4">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D952B4">
        <w:rPr>
          <w:lang w:val="en-US"/>
        </w:rPr>
        <w:instrText xml:space="preserve"> ADDIN EN.CITE </w:instrText>
      </w:r>
      <w:r w:rsidR="00D952B4">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D952B4">
        <w:rPr>
          <w:lang w:val="en-US"/>
        </w:rPr>
        <w:instrText xml:space="preserve"> ADDIN EN.CITE.DATA </w:instrText>
      </w:r>
      <w:r w:rsidR="00D952B4">
        <w:rPr>
          <w:lang w:val="en-US"/>
        </w:rPr>
      </w:r>
      <w:r w:rsidR="00D952B4">
        <w:rPr>
          <w:lang w:val="en-US"/>
        </w:rPr>
        <w:fldChar w:fldCharType="end"/>
      </w:r>
      <w:r w:rsidR="00D952B4">
        <w:rPr>
          <w:lang w:val="en-US"/>
        </w:rPr>
      </w:r>
      <w:r w:rsidR="00D952B4">
        <w:rPr>
          <w:lang w:val="en-US"/>
        </w:rPr>
        <w:fldChar w:fldCharType="separate"/>
      </w:r>
      <w:r w:rsidR="00D952B4">
        <w:rPr>
          <w:noProof/>
          <w:lang w:val="en-US"/>
        </w:rPr>
        <w:t>(</w:t>
      </w:r>
      <w:r w:rsidR="00D952B4" w:rsidRPr="00F840E0">
        <w:rPr>
          <w:smallCaps/>
          <w:noProof/>
          <w:lang w:val="en-US"/>
        </w:rPr>
        <w:t>Eicker</w:t>
      </w:r>
      <w:r w:rsidR="00D952B4">
        <w:rPr>
          <w:noProof/>
          <w:lang w:val="en-US"/>
        </w:rPr>
        <w:t xml:space="preserve"> 1967; </w:t>
      </w:r>
      <w:r w:rsidR="00D952B4" w:rsidRPr="00F840E0">
        <w:rPr>
          <w:smallCaps/>
          <w:noProof/>
          <w:lang w:val="en-US"/>
        </w:rPr>
        <w:t>Huber</w:t>
      </w:r>
      <w:r w:rsidR="00D952B4">
        <w:rPr>
          <w:noProof/>
          <w:lang w:val="en-US"/>
        </w:rPr>
        <w:t xml:space="preserve"> 1967; </w:t>
      </w:r>
      <w:r w:rsidR="00D952B4" w:rsidRPr="00F840E0">
        <w:rPr>
          <w:smallCaps/>
          <w:noProof/>
          <w:lang w:val="en-US"/>
        </w:rPr>
        <w:t>White</w:t>
      </w:r>
      <w:r w:rsidR="00D952B4">
        <w:rPr>
          <w:noProof/>
          <w:lang w:val="en-US"/>
        </w:rPr>
        <w:t xml:space="preserve"> 1980)</w:t>
      </w:r>
      <w:r w:rsidR="00D952B4">
        <w:rPr>
          <w:lang w:val="en-US"/>
        </w:rPr>
        <w:fldChar w:fldCharType="end"/>
      </w:r>
      <w:r w:rsidR="00D952B4">
        <w:rPr>
          <w:lang w:val="en-US"/>
        </w:rPr>
        <w:t>. Contrasts were compared using estimated marginal means.</w:t>
      </w:r>
    </w:p>
    <w:p w14:paraId="3CBDA282" w14:textId="2464925C" w:rsidR="00D952B4" w:rsidRDefault="00D952B4" w:rsidP="00D952B4">
      <w:pPr>
        <w:rPr>
          <w:rFonts w:eastAsiaTheme="minorEastAsia"/>
          <w:lang w:val="en-US"/>
        </w:rPr>
      </w:pPr>
      <w:r>
        <w:rPr>
          <w:lang w:val="en-US"/>
        </w:rPr>
        <w:t>In addition, I also</w:t>
      </w:r>
      <w:r>
        <w:rPr>
          <w:rFonts w:eastAsiaTheme="minorEastAsia"/>
          <w:lang w:val="en-US"/>
        </w:rPr>
        <w:t xml:space="preserve"> computed the population mean distance from the optimum for each replicate and model, comparing these distances with </w:t>
      </w:r>
      <w:r>
        <w:rPr>
          <w:lang w:val="en-US"/>
        </w:rPr>
        <w:t>multiple regression, again with EHW robust standard errors</w:t>
      </w:r>
      <w:r>
        <w:rPr>
          <w:rFonts w:eastAsiaTheme="minorEastAsia"/>
          <w:lang w:val="en-US"/>
        </w:rPr>
        <w:t>. Contrasts between bins were also compared with estimated marginal means.</w:t>
      </w:r>
    </w:p>
    <w:p w14:paraId="7CDD8159" w14:textId="58B82659" w:rsidR="009A464C" w:rsidRDefault="009A464C" w:rsidP="004F0C57">
      <w:pPr>
        <w:rPr>
          <w:lang w:val="en-US"/>
        </w:rPr>
      </w:pPr>
      <w:bookmarkStart w:id="0" w:name="_GoBack"/>
      <w:bookmarkEnd w:id="0"/>
    </w:p>
    <w:p w14:paraId="24A7D1B7" w14:textId="77777777" w:rsidR="006F5D7C" w:rsidRDefault="006F5D7C" w:rsidP="004F0C57">
      <w:pPr>
        <w:rPr>
          <w:lang w:val="en-US"/>
        </w:rPr>
      </w:pPr>
    </w:p>
    <w:p w14:paraId="552519EB" w14:textId="0B602E4E" w:rsidR="006F5D7C" w:rsidRDefault="006F5D7C" w:rsidP="006F5D7C">
      <w:pPr>
        <w:pStyle w:val="Heading1"/>
      </w:pPr>
      <w:r>
        <w:t>Results</w:t>
      </w:r>
    </w:p>
    <w:p w14:paraId="2BA3F747" w14:textId="03DD2953" w:rsidR="009A464C" w:rsidRDefault="006F5D7C" w:rsidP="006F5D7C">
      <w:pPr>
        <w:pStyle w:val="Heading2"/>
      </w:pPr>
      <w:r>
        <w:t>Null model</w:t>
      </w:r>
    </w:p>
    <w:p w14:paraId="2E4BAF28" w14:textId="1B3ED37B" w:rsidR="00976FCF" w:rsidRDefault="006A41CE" w:rsidP="004F0C57">
      <w:pPr>
        <w:rPr>
          <w:lang w:val="en-US"/>
        </w:rPr>
      </w:pPr>
      <w:r>
        <w:rPr>
          <w:lang w:val="en-US"/>
        </w:rPr>
        <w:t xml:space="preserve">Although the residuals of groups strayed from normality, variance was homoscedastic and the number of observations (102400) led to normality of coefficient estimates through the central limit theorem, providing some robustness from the effects of non-normality </w:t>
      </w:r>
      <w:r>
        <w:rPr>
          <w:lang w:val="en-US"/>
        </w:rPr>
        <w:fldChar w:fldCharType="begin"/>
      </w:r>
      <w:r>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Pr>
          <w:lang w:val="en-US"/>
        </w:rPr>
        <w:fldChar w:fldCharType="separate"/>
      </w:r>
      <w:r>
        <w:rPr>
          <w:noProof/>
          <w:lang w:val="en-US"/>
        </w:rPr>
        <w:t>(</w:t>
      </w:r>
      <w:r w:rsidRPr="006A41CE">
        <w:rPr>
          <w:smallCaps/>
          <w:noProof/>
          <w:lang w:val="en-US"/>
        </w:rPr>
        <w:t>Lumley</w:t>
      </w:r>
      <w:r w:rsidRPr="006A41CE">
        <w:rPr>
          <w:i/>
          <w:noProof/>
          <w:lang w:val="en-US"/>
        </w:rPr>
        <w:t xml:space="preserve"> et al.</w:t>
      </w:r>
      <w:r>
        <w:rPr>
          <w:noProof/>
          <w:lang w:val="en-US"/>
        </w:rPr>
        <w:t xml:space="preserve"> 2002)</w:t>
      </w:r>
      <w:r>
        <w:rPr>
          <w:lang w:val="en-US"/>
        </w:rPr>
        <w:fldChar w:fldCharType="end"/>
      </w:r>
      <w:r>
        <w:rPr>
          <w:lang w:val="en-US"/>
        </w:rPr>
        <w:t>.</w:t>
      </w:r>
    </w:p>
    <w:p w14:paraId="62C7DB4B" w14:textId="4243DF1B" w:rsidR="00216D8C" w:rsidRDefault="00216D8C" w:rsidP="004F0C57">
      <w:pPr>
        <w:rPr>
          <w:lang w:val="en-US"/>
        </w:rPr>
      </w:pPr>
      <w:r w:rsidRPr="0042703B">
        <w:rPr>
          <w:lang w:val="en-US"/>
        </w:rPr>
        <w:lastRenderedPageBreak/>
        <w:t>To compare</w:t>
      </w:r>
      <w:r w:rsidR="00605CD1" w:rsidRPr="0042703B">
        <w:rPr>
          <w:lang w:val="en-US"/>
        </w:rPr>
        <w:t xml:space="preserve"> the effects of parameters on variance-covariance structure, I computed </w:t>
      </w:r>
      <w:r w:rsidR="00605CD1" w:rsidRPr="00DE23FE">
        <w:rPr>
          <w:b/>
          <w:lang w:val="en-US"/>
        </w:rPr>
        <w:t>G</w:t>
      </w:r>
      <w:r w:rsidR="00605CD1" w:rsidRPr="0042703B">
        <w:rPr>
          <w:lang w:val="en-US"/>
        </w:rPr>
        <w:t xml:space="preserve"> ellipses of traits 1 and 2, comparing ellipse area major-minor axis ratios, and angles of rotation around the center with</w:t>
      </w:r>
      <w:r w:rsidR="002D3AFB" w:rsidRPr="0042703B">
        <w:rPr>
          <w:lang w:val="en-US"/>
        </w:rPr>
        <w:t xml:space="preserve"> a series of </w:t>
      </w:r>
      <w:r w:rsidR="00F72186">
        <w:rPr>
          <w:lang w:val="en-US"/>
        </w:rPr>
        <w:t xml:space="preserve">type III </w:t>
      </w:r>
      <w:r w:rsidR="002D3AFB" w:rsidRPr="0042703B">
        <w:rPr>
          <w:lang w:val="en-US"/>
        </w:rPr>
        <w:t>ANOVAs</w:t>
      </w:r>
      <w:r w:rsidR="00605CD1" w:rsidRPr="0042703B">
        <w:rPr>
          <w:lang w:val="en-US"/>
        </w:rPr>
        <w:t xml:space="preserve"> </w:t>
      </w:r>
      <w:r w:rsidR="001843C9" w:rsidRPr="0042703B">
        <w:rPr>
          <w:lang w:val="en-US"/>
        </w:rPr>
        <w:t>(Figure 1)</w:t>
      </w:r>
      <w:r w:rsidR="0042703B">
        <w:rPr>
          <w:lang w:val="en-US"/>
        </w:rPr>
        <w:t xml:space="preserve">. </w:t>
      </w:r>
    </w:p>
    <w:p w14:paraId="0911CCE0" w14:textId="4B8695DE" w:rsidR="0042703B" w:rsidRDefault="0042703B" w:rsidP="004F0C57">
      <w:pPr>
        <w:rPr>
          <w:rStyle w:val="acopre"/>
        </w:rPr>
      </w:pPr>
      <w:r>
        <w:rPr>
          <w:lang w:val="en-US"/>
        </w:rPr>
        <w:t xml:space="preserve">Ellipse area tended to decrease with increasing deleterious mutation, however the extent to which this occurred depended on other variables. For example, with low levels of recombination, increasing deleterious mutation rates from the lowest to highest levels resulted in a decrease in ellipse area of 1183 </w:t>
      </w:r>
      <w:r>
        <w:rPr>
          <w:rStyle w:val="acopre"/>
        </w:rPr>
        <w:t>± 97.6 units</w:t>
      </w:r>
      <w:r>
        <w:rPr>
          <w:rStyle w:val="acopre"/>
          <w:vertAlign w:val="superscript"/>
        </w:rPr>
        <w:t>2</w:t>
      </w:r>
      <w:r>
        <w:rPr>
          <w:rStyle w:val="acopre"/>
        </w:rPr>
        <w:t xml:space="preserve"> (t</w:t>
      </w:r>
      <w:r>
        <w:rPr>
          <w:rStyle w:val="acopre"/>
          <w:vertAlign w:val="subscript"/>
        </w:rPr>
        <w:t>102349</w:t>
      </w:r>
      <w:r>
        <w:rPr>
          <w:rStyle w:val="acopre"/>
        </w:rPr>
        <w:t xml:space="preserve"> = 12.112, p &lt; 0.0001). With high recombination, the same change in deleterious mutation saw a decrease in ellipse area of 663 ± 100.4 units</w:t>
      </w:r>
      <w:r>
        <w:rPr>
          <w:rStyle w:val="acopre"/>
          <w:vertAlign w:val="superscript"/>
        </w:rPr>
        <w:t>2</w:t>
      </w:r>
      <w:r>
        <w:rPr>
          <w:rStyle w:val="acopre"/>
        </w:rPr>
        <w:t xml:space="preserve"> (t</w:t>
      </w:r>
      <w:r>
        <w:rPr>
          <w:rStyle w:val="acopre"/>
          <w:vertAlign w:val="subscript"/>
        </w:rPr>
        <w:t>102349</w:t>
      </w:r>
      <w:r>
        <w:rPr>
          <w:rStyle w:val="acopre"/>
        </w:rPr>
        <w:t xml:space="preserve"> = 6.609, p &lt; 0.0001). </w:t>
      </w:r>
      <w:r w:rsidR="0005601C">
        <w:rPr>
          <w:rStyle w:val="acopre"/>
        </w:rPr>
        <w:t xml:space="preserve">The effects of increases in recombination rate also depended on other variables. Under low rates of pleiotropy, changes in recombination rate had no significant effect on </w:t>
      </w:r>
      <w:r w:rsidR="0005601C" w:rsidRPr="0005601C">
        <w:rPr>
          <w:rStyle w:val="acopre"/>
          <w:b/>
        </w:rPr>
        <w:t>G</w:t>
      </w:r>
      <w:r w:rsidR="0005601C">
        <w:rPr>
          <w:rStyle w:val="acopre"/>
        </w:rPr>
        <w:t xml:space="preserve"> ellipse area (t</w:t>
      </w:r>
      <w:r w:rsidR="0005601C">
        <w:rPr>
          <w:rStyle w:val="acopre"/>
          <w:vertAlign w:val="subscript"/>
        </w:rPr>
        <w:t>102349</w:t>
      </w:r>
      <w:r w:rsidR="0005601C">
        <w:rPr>
          <w:rStyle w:val="acopre"/>
        </w:rPr>
        <w:t xml:space="preserve"> = -1.057, p = 0.5408). Under high pleiotropy rates, increases in recombination decreased ellipse area by 368.5 ± 99.4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3.707, p = 0.0006). With intermediate levels of pleiotropy, increases in recombination resulted in increases to ellipse area by 279.2 ± 100.2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-2.776, </w:t>
      </w:r>
      <w:r w:rsidR="003B71FA">
        <w:rPr>
          <w:rStyle w:val="acopre"/>
        </w:rPr>
        <w:t xml:space="preserve">p = </w:t>
      </w:r>
      <w:r w:rsidR="0005601C">
        <w:rPr>
          <w:rStyle w:val="acopre"/>
        </w:rPr>
        <w:t xml:space="preserve">0.0152). </w:t>
      </w:r>
    </w:p>
    <w:p w14:paraId="39BDF1C0" w14:textId="1E0A05D2" w:rsidR="000B6C20" w:rsidRDefault="005930F4" w:rsidP="004F0C57">
      <w:pPr>
        <w:rPr>
          <w:rStyle w:val="acopre"/>
        </w:rPr>
      </w:pPr>
      <w:r>
        <w:rPr>
          <w:rStyle w:val="acopre"/>
        </w:rPr>
        <w:t xml:space="preserve">The ratios of major and minor axes of the </w:t>
      </w:r>
      <w:r>
        <w:rPr>
          <w:rStyle w:val="acopre"/>
          <w:b/>
        </w:rPr>
        <w:t>G</w:t>
      </w:r>
      <w:r>
        <w:rPr>
          <w:rStyle w:val="acopre"/>
        </w:rPr>
        <w:t xml:space="preserve"> ellipses remained mostly stable across treatments. Although significant differences were found, the magnitude of these was less than 0.1 degrees.</w:t>
      </w:r>
    </w:p>
    <w:p w14:paraId="3085F4B8" w14:textId="5E6A70A6" w:rsidR="005930F4" w:rsidRPr="004669DC" w:rsidRDefault="005930F4" w:rsidP="004F0C57">
      <w:pPr>
        <w:rPr>
          <w:rStyle w:val="acopre"/>
        </w:rPr>
      </w:pPr>
      <w:r>
        <w:rPr>
          <w:rStyle w:val="acopre"/>
        </w:rPr>
        <w:t xml:space="preserve">The angles of rotation of </w:t>
      </w:r>
      <w:r>
        <w:rPr>
          <w:rStyle w:val="acopre"/>
          <w:b/>
        </w:rPr>
        <w:t>G</w:t>
      </w:r>
      <w:r>
        <w:rPr>
          <w:rStyle w:val="acopre"/>
        </w:rPr>
        <w:t xml:space="preserve"> ellipses around their centroid also differed between groups. Increasing deleterious mutation in both high and low recombination groups led to similar counter-clockwise rotations around the mean: 36.27 ± 1.1 degrees (t</w:t>
      </w:r>
      <w:r>
        <w:rPr>
          <w:rStyle w:val="acopre"/>
          <w:vertAlign w:val="subscript"/>
        </w:rPr>
        <w:t>103249</w:t>
      </w:r>
      <w:r>
        <w:rPr>
          <w:rStyle w:val="acopre"/>
        </w:rPr>
        <w:t xml:space="preserve"> = -32.886, p &lt; 0.0001), and 37.3 ± 1.07 degrees (t</w:t>
      </w:r>
      <w:r>
        <w:rPr>
          <w:rStyle w:val="acopre"/>
          <w:vertAlign w:val="subscript"/>
        </w:rPr>
        <w:t>103249</w:t>
      </w:r>
      <w:r>
        <w:rPr>
          <w:rStyle w:val="acopre"/>
        </w:rPr>
        <w:t xml:space="preserve"> = -34.761, p &lt; 0.0001), respectively. Intermediate levels of recombination reduced this rotation to 29.28 ± 1.12 degrees (t</w:t>
      </w:r>
      <w:r>
        <w:rPr>
          <w:rStyle w:val="acopre"/>
          <w:vertAlign w:val="subscript"/>
        </w:rPr>
        <w:t>102349</w:t>
      </w:r>
      <w:r>
        <w:rPr>
          <w:rStyle w:val="acopre"/>
        </w:rPr>
        <w:t xml:space="preserve"> = -26.072, p &lt; 0.0001). When under low levels of pleiotropy, increasing deleterious mutation led to counter-clockwise rotations of 26.51 ± 1.10 degrees (t</w:t>
      </w:r>
      <w:r>
        <w:rPr>
          <w:rStyle w:val="acopre"/>
          <w:vertAlign w:val="subscript"/>
        </w:rPr>
        <w:t>102349</w:t>
      </w:r>
      <w:r>
        <w:rPr>
          <w:rStyle w:val="acopre"/>
        </w:rPr>
        <w:t xml:space="preserve"> = -24.026, p &lt; 0.0001), whereas high rates of pleiotropy led to </w:t>
      </w:r>
      <w:r w:rsidR="00DB6553">
        <w:rPr>
          <w:rStyle w:val="acopre"/>
        </w:rPr>
        <w:t>an increase of this rotation to 48.88 ± 1.11 degrees (t</w:t>
      </w:r>
      <w:r w:rsidR="00DB6553">
        <w:rPr>
          <w:rStyle w:val="acopre"/>
          <w:vertAlign w:val="subscript"/>
        </w:rPr>
        <w:t>102349</w:t>
      </w:r>
      <w:r w:rsidR="00DB6553">
        <w:rPr>
          <w:rStyle w:val="acopre"/>
        </w:rPr>
        <w:t xml:space="preserve"> = -44.148, p &lt; 0.0001).</w:t>
      </w:r>
      <w:r w:rsidR="004669DC">
        <w:rPr>
          <w:rStyle w:val="acopre"/>
        </w:rPr>
        <w:t xml:space="preserve"> A similar effect is seen when increasing recombination rate, which has little effect individually on rotation (Figure 1). However, under high pleiotropy there is a small counter-clockwise rotation of 7.049 ± 1.09 degrees (t</w:t>
      </w:r>
      <w:r w:rsidR="004669DC">
        <w:rPr>
          <w:rStyle w:val="acopre"/>
          <w:vertAlign w:val="subscript"/>
        </w:rPr>
        <w:t>102349</w:t>
      </w:r>
      <w:r w:rsidR="004669DC">
        <w:rPr>
          <w:rStyle w:val="acopre"/>
        </w:rPr>
        <w:t xml:space="preserve"> = -6.496, p &lt; 0.0001).</w:t>
      </w:r>
    </w:p>
    <w:p w14:paraId="616A29B3" w14:textId="5313CD75" w:rsidR="000B6C20" w:rsidRPr="000B6C20" w:rsidRDefault="000B6C20" w:rsidP="004F0C57">
      <w:pPr>
        <w:rPr>
          <w:lang w:val="en-US"/>
        </w:rPr>
      </w:pPr>
      <w:r>
        <w:rPr>
          <w:rStyle w:val="acopre"/>
          <w:b/>
        </w:rPr>
        <w:t>A lot of these interactions are significant, so I’ll probably put them all in a table and only talk about the interesting ones.</w:t>
      </w:r>
    </w:p>
    <w:p w14:paraId="7BFDC3ED" w14:textId="77777777" w:rsidR="00600A5E" w:rsidRDefault="00600A5E" w:rsidP="004F0C57">
      <w:pPr>
        <w:rPr>
          <w:b/>
          <w:lang w:val="en-US"/>
        </w:rPr>
      </w:pPr>
    </w:p>
    <w:p w14:paraId="2D0384BB" w14:textId="77777777" w:rsidR="001843C9" w:rsidRDefault="001843C9" w:rsidP="004F0C57">
      <w:pPr>
        <w:rPr>
          <w:b/>
          <w:lang w:val="en-US"/>
        </w:rPr>
      </w:pPr>
    </w:p>
    <w:p w14:paraId="7B07CC6D" w14:textId="77777777" w:rsidR="001843C9" w:rsidRPr="00600A5E" w:rsidRDefault="001843C9" w:rsidP="004F0C57">
      <w:pPr>
        <w:rPr>
          <w:b/>
          <w:lang w:val="en-US"/>
        </w:rPr>
      </w:pPr>
    </w:p>
    <w:p w14:paraId="14E48323" w14:textId="70D53884" w:rsidR="00A2270D" w:rsidRDefault="00487561" w:rsidP="004F0C57">
      <w:pPr>
        <w:rPr>
          <w:rFonts w:eastAsiaTheme="minorEastAsia"/>
          <w:lang w:val="en-US"/>
        </w:rPr>
      </w:pPr>
      <w:r>
        <w:rPr>
          <w:lang w:val="en-US"/>
        </w:rPr>
        <w:lastRenderedPageBreak/>
        <w:t>To compare the effects of the parameters on total variance-covariance structure, I used relative PCA, comparing pairs of models in the same bin against those the furthest apart (i.e. relative PCA between two models with very similar values for a given parameter, compared against relative PCA between two models with maximum difference in values for a given parameter). Mean values of log generalized variance were compared between these two groups for each parameter</w:t>
      </w:r>
      <w:r w:rsidR="00D82638">
        <w:rPr>
          <w:lang w:val="en-US"/>
        </w:rPr>
        <w:t xml:space="preserve"> (</w:t>
      </w:r>
      <w:r w:rsidR="001843C9">
        <w:rPr>
          <w:highlight w:val="yellow"/>
          <w:lang w:val="en-US"/>
        </w:rPr>
        <w:t>Figure 2</w:t>
      </w:r>
      <w:r w:rsidR="00D82638">
        <w:rPr>
          <w:lang w:val="en-US"/>
        </w:rPr>
        <w:t>)</w:t>
      </w:r>
      <w:r>
        <w:rPr>
          <w:lang w:val="en-US"/>
        </w:rPr>
        <w:t>. Large discrepancies in deleterious mutation between pairs resulted in higher log generalized variance (t</w:t>
      </w:r>
      <w:r>
        <w:rPr>
          <w:vertAlign w:val="subscript"/>
          <w:lang w:val="en-US"/>
        </w:rPr>
        <w:t>17626</w:t>
      </w:r>
      <w:r>
        <w:rPr>
          <w:lang w:val="en-US"/>
        </w:rPr>
        <w:t xml:space="preserve"> = -23.433, p &lt; 0.0001), with a mean difference of 2.539 (</w:t>
      </w:r>
      <w:r>
        <w:rPr>
          <w:b/>
          <w:lang w:val="en-US"/>
        </w:rPr>
        <w:t>log generalized variance – not sure how to interpret what this number actually means in a quantitative sense</w:t>
      </w:r>
      <w:r>
        <w:rPr>
          <w:lang w:val="en-US"/>
        </w:rPr>
        <w:t>). The same was true for rate of pleiotropy (t</w:t>
      </w:r>
      <w:r>
        <w:rPr>
          <w:vertAlign w:val="subscript"/>
          <w:lang w:val="en-US"/>
        </w:rPr>
        <w:t>24740</w:t>
      </w:r>
      <w:r>
        <w:rPr>
          <w:lang w:val="en-US"/>
        </w:rPr>
        <w:t xml:space="preserve"> = -5.709,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w:t>
      </w:r>
      <w:r>
        <w:rPr>
          <w:lang w:val="en-US"/>
        </w:rPr>
        <w:t>0.61), pleiotropic covariance (t</w:t>
      </w:r>
      <w:r w:rsidR="00A2270D">
        <w:rPr>
          <w:vertAlign w:val="subscript"/>
          <w:lang w:val="en-US"/>
        </w:rPr>
        <w:t>14700</w:t>
      </w:r>
      <w:r w:rsidR="00A2270D">
        <w:rPr>
          <w:lang w:val="en-US"/>
        </w:rPr>
        <w:t xml:space="preserve"> = -7.017,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0.925), and additive effect size (t</w:t>
      </w:r>
      <w:r w:rsidR="00A2270D">
        <w:rPr>
          <w:rFonts w:eastAsiaTheme="minorEastAsia"/>
          <w:vertAlign w:val="subscript"/>
          <w:lang w:val="en-US"/>
        </w:rPr>
        <w:t>17295</w:t>
      </w:r>
      <w:r w:rsidR="00A2270D">
        <w:rPr>
          <w:rFonts w:eastAsiaTheme="minorEastAsia"/>
          <w:lang w:val="en-US"/>
        </w:rPr>
        <w:t xml:space="preserve"> = -19.961,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2.356</w:t>
      </w:r>
      <w:r w:rsidR="007C7F38">
        <w:rPr>
          <w:rFonts w:eastAsiaTheme="minorEastAsia"/>
          <w:lang w:val="en-US"/>
        </w:rPr>
        <w:t>). Recombination rate differed from the other results, with log generalized variance decreasing with increasing differences between paired models (t</w:t>
      </w:r>
      <w:r w:rsidR="007C7F38">
        <w:rPr>
          <w:rFonts w:eastAsiaTheme="minorEastAsia"/>
          <w:vertAlign w:val="subscript"/>
          <w:lang w:val="en-US"/>
        </w:rPr>
        <w:t>7275.4</w:t>
      </w:r>
      <w:r w:rsidR="007C7F38">
        <w:rPr>
          <w:rFonts w:eastAsiaTheme="minorEastAsia"/>
          <w:lang w:val="en-US"/>
        </w:rPr>
        <w:t xml:space="preserve"> = 9.405,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7C7F38">
        <w:rPr>
          <w:rFonts w:eastAsiaTheme="minorEastAsia"/>
          <w:lang w:val="en-US"/>
        </w:rPr>
        <w:t xml:space="preserve"> = -1.51). </w:t>
      </w:r>
      <w:r w:rsidR="00F77E1D">
        <w:rPr>
          <w:rFonts w:eastAsiaTheme="minorEastAsia"/>
          <w:lang w:val="en-US"/>
        </w:rPr>
        <w:t xml:space="preserve">As well as differences in means, distributions of log generalized variances also differed significantly. </w:t>
      </w:r>
    </w:p>
    <w:p w14:paraId="33BBDC54" w14:textId="1C1C1F7D" w:rsidR="00A2552C" w:rsidRDefault="00A2552C" w:rsidP="004F0C57">
      <w:pPr>
        <w:rPr>
          <w:rFonts w:eastAsiaTheme="minorEastAsia"/>
          <w:lang w:val="en-US"/>
        </w:rPr>
      </w:pPr>
      <w:r>
        <w:rPr>
          <w:rFonts w:eastAsiaTheme="minorEastAsia"/>
          <w:lang w:val="en-US"/>
        </w:rPr>
        <w:t>I used two-sample Kolmogorov-Smirnov tests to assess differences between the distributions of log generalized variance between similar- and distinct-parameter pairs (</w:t>
      </w:r>
      <w:r w:rsidR="001843C9">
        <w:rPr>
          <w:rFonts w:eastAsiaTheme="minorEastAsia"/>
          <w:highlight w:val="yellow"/>
          <w:lang w:val="en-US"/>
        </w:rPr>
        <w:t>Figure 3</w:t>
      </w:r>
      <w:r w:rsidR="00CA3EE7">
        <w:rPr>
          <w:rFonts w:eastAsiaTheme="minorEastAsia"/>
          <w:lang w:val="en-US"/>
        </w:rPr>
        <w:t>). All distributions were significantly different (Table 2).</w:t>
      </w:r>
      <w:r w:rsidR="00EF444B">
        <w:rPr>
          <w:rFonts w:eastAsiaTheme="minorEastAsia"/>
          <w:lang w:val="en-US"/>
        </w:rPr>
        <w:t xml:space="preserve"> Comparisons between models with large differences in deleterious mutation frequency showed considerable increases in frequencies of log generalized variances around zero, with bimodal peaks on either side of zero (Figure 2). Comparisons between models with large differences in either pleiotropy rates or additive effect size also led to multimodal distributions, with a bottleneck effect appearing on either side of the center, with compression of the tails</w:t>
      </w:r>
      <w:r w:rsidR="00321F8E">
        <w:rPr>
          <w:rFonts w:eastAsiaTheme="minorEastAsia"/>
          <w:lang w:val="en-US"/>
        </w:rPr>
        <w:t xml:space="preserve"> (Figure 2)</w:t>
      </w:r>
      <w:r w:rsidR="00EF444B">
        <w:rPr>
          <w:rFonts w:eastAsiaTheme="minorEastAsia"/>
          <w:lang w:val="en-US"/>
        </w:rPr>
        <w:t xml:space="preserve">. </w:t>
      </w:r>
      <w:r w:rsidR="00321F8E">
        <w:rPr>
          <w:rFonts w:eastAsiaTheme="minorEastAsia"/>
          <w:lang w:val="en-US"/>
        </w:rPr>
        <w:t xml:space="preserve">Large differences in recombination similarly compressed the range of variation in log generalized variance between models, with a strong bottleneck appearing below zero log generalized variance. Large differences in pleiotropic covariance led to more subtle patterns, where small bottlenecks and tail compression were visible, but to a much lesser extent than with the other parameters. </w:t>
      </w:r>
    </w:p>
    <w:p w14:paraId="64DDBBF1" w14:textId="77777777" w:rsidR="007E653D" w:rsidRDefault="007E653D" w:rsidP="004F0C57">
      <w:pPr>
        <w:rPr>
          <w:rFonts w:eastAsiaTheme="minorEastAsia"/>
          <w:lang w:val="en-US"/>
        </w:rPr>
      </w:pPr>
    </w:p>
    <w:p w14:paraId="2BC49B4F" w14:textId="77777777" w:rsidR="007E653D" w:rsidRDefault="007E653D" w:rsidP="004F0C57">
      <w:pPr>
        <w:rPr>
          <w:rFonts w:eastAsiaTheme="minorEastAsia"/>
          <w:lang w:val="en-US"/>
        </w:rPr>
      </w:pPr>
    </w:p>
    <w:p w14:paraId="3D45B385" w14:textId="77777777" w:rsidR="004E0ECF" w:rsidRDefault="004E0ECF" w:rsidP="004F0C57">
      <w:pPr>
        <w:rPr>
          <w:rFonts w:eastAsiaTheme="minorEastAsia"/>
          <w:lang w:val="en-US"/>
        </w:rPr>
      </w:pPr>
    </w:p>
    <w:p w14:paraId="3604C9FC" w14:textId="77777777" w:rsidR="004E0ECF" w:rsidRDefault="004E0ECF" w:rsidP="004F0C57">
      <w:pPr>
        <w:rPr>
          <w:rFonts w:eastAsiaTheme="minorEastAsia"/>
          <w:lang w:val="en-US"/>
        </w:rPr>
      </w:pPr>
    </w:p>
    <w:p w14:paraId="40D2EC2B" w14:textId="77777777" w:rsidR="00F72186" w:rsidRDefault="00F72186" w:rsidP="004F0C57">
      <w:pPr>
        <w:rPr>
          <w:rFonts w:eastAsiaTheme="minorEastAsia"/>
          <w:lang w:val="en-US"/>
        </w:rPr>
      </w:pPr>
    </w:p>
    <w:p w14:paraId="76BB13E5" w14:textId="77777777" w:rsidR="00F72186" w:rsidRDefault="00F72186" w:rsidP="004F0C57">
      <w:pPr>
        <w:rPr>
          <w:rFonts w:eastAsiaTheme="minorEastAsia"/>
          <w:lang w:val="en-US"/>
        </w:rPr>
      </w:pPr>
    </w:p>
    <w:p w14:paraId="127D65A9" w14:textId="77777777" w:rsidR="003C0FFD" w:rsidRDefault="003C0FFD" w:rsidP="004F0C57">
      <w:pPr>
        <w:rPr>
          <w:rFonts w:eastAsiaTheme="minorEastAsia"/>
          <w:lang w:val="en-US"/>
        </w:rPr>
      </w:pPr>
    </w:p>
    <w:p w14:paraId="05410060" w14:textId="29B80EB6" w:rsidR="007E653D" w:rsidRDefault="007E653D" w:rsidP="007E653D">
      <w:pPr>
        <w:pStyle w:val="Heading2"/>
      </w:pPr>
      <w:r>
        <w:lastRenderedPageBreak/>
        <w:t>Selection model</w:t>
      </w:r>
    </w:p>
    <w:p w14:paraId="41B8DC88" w14:textId="156F4871" w:rsidR="004E0ECF" w:rsidRDefault="004E0ECF" w:rsidP="004E0ECF">
      <w:pPr>
        <w:rPr>
          <w:lang w:val="en-US"/>
        </w:rPr>
      </w:pPr>
      <w:r w:rsidRPr="004E0ECF">
        <w:rPr>
          <w:lang w:val="en-US"/>
        </w:rPr>
        <w:t xml:space="preserve">To compare the effects of parameters on variance-covariance structure, I computed </w:t>
      </w:r>
      <w:r w:rsidRPr="004E0ECF">
        <w:rPr>
          <w:b/>
          <w:lang w:val="en-US"/>
        </w:rPr>
        <w:t>G</w:t>
      </w:r>
      <w:r w:rsidRPr="004E0ECF">
        <w:rPr>
          <w:lang w:val="en-US"/>
        </w:rPr>
        <w:t xml:space="preserve"> ellipses of traits 1 and 2, comparing ellipse area</w:t>
      </w:r>
      <w:r>
        <w:rPr>
          <w:lang w:val="en-US"/>
        </w:rPr>
        <w:t>,</w:t>
      </w:r>
      <w:r w:rsidRPr="004E0ECF">
        <w:rPr>
          <w:lang w:val="en-US"/>
        </w:rPr>
        <w:t xml:space="preserve"> major-minor axis ratios, and angle</w:t>
      </w:r>
      <w:r>
        <w:rPr>
          <w:lang w:val="en-US"/>
        </w:rPr>
        <w:t>s of rotation around the center</w:t>
      </w:r>
      <w:r w:rsidR="00897D18">
        <w:rPr>
          <w:lang w:val="en-US"/>
        </w:rPr>
        <w:t xml:space="preserve"> (</w:t>
      </w:r>
      <w:r w:rsidR="00897D18" w:rsidRPr="00897D18">
        <w:rPr>
          <w:highlight w:val="yellow"/>
          <w:lang w:val="en-US"/>
        </w:rPr>
        <w:t>Figure</w:t>
      </w:r>
      <w:r w:rsidR="001843C9">
        <w:rPr>
          <w:highlight w:val="yellow"/>
          <w:lang w:val="en-US"/>
        </w:rPr>
        <w:t xml:space="preserve"> 4</w:t>
      </w:r>
      <w:r w:rsidR="00E630D0">
        <w:rPr>
          <w:lang w:val="en-US"/>
        </w:rPr>
        <w:t>)</w:t>
      </w:r>
      <w:r>
        <w:rPr>
          <w:lang w:val="en-US"/>
        </w:rPr>
        <w:t xml:space="preserve">. </w:t>
      </w:r>
      <w:r w:rsidR="00752EB2">
        <w:rPr>
          <w:lang w:val="en-US"/>
        </w:rPr>
        <w:t xml:space="preserve">Within all three responses, interactions between variables were highly significant. </w:t>
      </w:r>
    </w:p>
    <w:p w14:paraId="3FFF6DD1" w14:textId="4E8445D4" w:rsidR="00A95E48" w:rsidRDefault="00A95E48" w:rsidP="004E0ECF">
      <w:pPr>
        <w:rPr>
          <w:rStyle w:val="acopre"/>
        </w:rPr>
      </w:pPr>
      <w:r>
        <w:rPr>
          <w:lang w:val="en-US"/>
        </w:rPr>
        <w:t>The area of the ellipse was greatly affected by changes in all parameters. Under strong selection, increasing background selection</w:t>
      </w:r>
      <w:r w:rsidR="00E141DE">
        <w:rPr>
          <w:lang w:val="en-US"/>
        </w:rPr>
        <w:t xml:space="preserve"> from low</w:t>
      </w:r>
      <w:r>
        <w:rPr>
          <w:lang w:val="en-US"/>
        </w:rPr>
        <w:t xml:space="preserve"> to high levels resulted in a decrease of </w:t>
      </w:r>
      <w:r w:rsidR="00E141DE">
        <w:rPr>
          <w:lang w:val="en-US"/>
        </w:rPr>
        <w:t xml:space="preserve">1671 </w:t>
      </w:r>
      <w:r w:rsidR="00A02701" w:rsidRPr="00A02701">
        <w:rPr>
          <w:lang w:val="en-US"/>
        </w:rPr>
        <w:t>±</w:t>
      </w:r>
      <w:r w:rsidR="00A02701">
        <w:rPr>
          <w:lang w:val="en-US"/>
        </w:rPr>
        <w:t xml:space="preserve"> </w:t>
      </w:r>
      <w:r w:rsidR="008A04E0">
        <w:rPr>
          <w:lang w:val="en-US"/>
        </w:rPr>
        <w:t>191</w:t>
      </w:r>
      <w:r>
        <w:rPr>
          <w:lang w:val="en-US"/>
        </w:rPr>
        <w:t xml:space="preserve"> units</w:t>
      </w:r>
      <w:r>
        <w:rPr>
          <w:vertAlign w:val="superscript"/>
          <w:lang w:val="en-US"/>
        </w:rPr>
        <w:t>2</w:t>
      </w:r>
      <w:r>
        <w:rPr>
          <w:lang w:val="en-US"/>
        </w:rPr>
        <w:t xml:space="preserve"> in area (t</w:t>
      </w:r>
      <w:r w:rsidR="00E141DE">
        <w:rPr>
          <w:vertAlign w:val="subscript"/>
          <w:lang w:val="en-US"/>
        </w:rPr>
        <w:t>255</w:t>
      </w:r>
      <w:r>
        <w:rPr>
          <w:vertAlign w:val="subscript"/>
          <w:lang w:val="en-US"/>
        </w:rPr>
        <w:t>27</w:t>
      </w:r>
      <w:r>
        <w:rPr>
          <w:lang w:val="en-US"/>
        </w:rPr>
        <w:t xml:space="preserve"> = </w:t>
      </w:r>
      <w:r w:rsidR="008A04E0">
        <w:rPr>
          <w:lang w:val="en-US"/>
        </w:rPr>
        <w:t>8.729</w:t>
      </w:r>
      <w:r>
        <w:rPr>
          <w:lang w:val="en-US"/>
        </w:rPr>
        <w:t xml:space="preserve">, p &lt; .0001). Under weak selection however, the same increase in background selection led to </w:t>
      </w:r>
      <w:r w:rsidR="00E141DE">
        <w:rPr>
          <w:lang w:val="en-US"/>
        </w:rPr>
        <w:t xml:space="preserve">larger decrease of 5002 </w:t>
      </w:r>
      <w:r w:rsidR="00E141DE" w:rsidRPr="00A02701">
        <w:rPr>
          <w:lang w:val="en-US"/>
        </w:rPr>
        <w:t>±</w:t>
      </w:r>
      <w:r w:rsidR="008A04E0">
        <w:rPr>
          <w:lang w:val="en-US"/>
        </w:rPr>
        <w:t xml:space="preserve"> 246</w:t>
      </w:r>
      <w:r w:rsidR="00E141DE">
        <w:rPr>
          <w:lang w:val="en-US"/>
        </w:rPr>
        <w:t xml:space="preserve"> units</w:t>
      </w:r>
      <w:r w:rsidR="00E141DE">
        <w:rPr>
          <w:vertAlign w:val="superscript"/>
          <w:lang w:val="en-US"/>
        </w:rPr>
        <w:t>2</w:t>
      </w:r>
      <w:r w:rsidR="00E141DE">
        <w:rPr>
          <w:lang w:val="en-US"/>
        </w:rPr>
        <w:t xml:space="preserve"> </w:t>
      </w:r>
      <w:r>
        <w:rPr>
          <w:lang w:val="en-US"/>
        </w:rPr>
        <w:t>(t</w:t>
      </w:r>
      <w:r w:rsidR="00E141DE">
        <w:rPr>
          <w:vertAlign w:val="subscript"/>
          <w:lang w:val="en-US"/>
        </w:rPr>
        <w:t>25527</w:t>
      </w:r>
      <w:r>
        <w:rPr>
          <w:lang w:val="en-US"/>
        </w:rPr>
        <w:t xml:space="preserve"> = </w:t>
      </w:r>
      <w:r w:rsidR="008A04E0">
        <w:rPr>
          <w:lang w:val="en-US"/>
        </w:rPr>
        <w:t>20.301</w:t>
      </w:r>
      <w:r>
        <w:rPr>
          <w:lang w:val="en-US"/>
        </w:rPr>
        <w:t xml:space="preserve">, p </w:t>
      </w:r>
      <w:r w:rsidR="00E141DE">
        <w:rPr>
          <w:lang w:val="en-US"/>
        </w:rPr>
        <w:t>&lt; 0.0001</w:t>
      </w:r>
      <w:r>
        <w:rPr>
          <w:lang w:val="en-US"/>
        </w:rPr>
        <w:t xml:space="preserve">). </w:t>
      </w:r>
      <w:r w:rsidR="00A02701">
        <w:rPr>
          <w:lang w:val="en-US"/>
        </w:rPr>
        <w:t xml:space="preserve">Increasing recombination rate in both cases decreased ellipse area, however more-so at high selection strength (high selection: </w:t>
      </w:r>
      <w:r w:rsidR="008A2847">
        <w:rPr>
          <w:lang w:val="en-US"/>
        </w:rPr>
        <w:t xml:space="preserve">2665.3 </w:t>
      </w:r>
      <w:r w:rsidR="00A02701">
        <w:rPr>
          <w:rStyle w:val="acopre"/>
        </w:rPr>
        <w:t>± 2</w:t>
      </w:r>
      <w:r w:rsidR="008A04E0">
        <w:rPr>
          <w:rStyle w:val="acopre"/>
        </w:rPr>
        <w:t>06</w:t>
      </w:r>
      <w:r w:rsidR="00A02701">
        <w:rPr>
          <w:rStyle w:val="acopre"/>
        </w:rPr>
        <w:t xml:space="preserve"> units</w:t>
      </w:r>
      <w:r w:rsidR="00A02701">
        <w:rPr>
          <w:rStyle w:val="acopre"/>
          <w:vertAlign w:val="superscript"/>
        </w:rPr>
        <w:t>2</w:t>
      </w:r>
      <w:r w:rsidR="00FA6A2D">
        <w:rPr>
          <w:rStyle w:val="acopre"/>
        </w:rPr>
        <w:t xml:space="preserve"> of change</w:t>
      </w:r>
      <w:r w:rsidR="00A02701">
        <w:rPr>
          <w:rStyle w:val="acopre"/>
        </w:rPr>
        <w:t>; t</w:t>
      </w:r>
      <w:r w:rsidR="00E141DE">
        <w:rPr>
          <w:rStyle w:val="acopre"/>
          <w:vertAlign w:val="subscript"/>
        </w:rPr>
        <w:t>25527</w:t>
      </w:r>
      <w:r w:rsidR="00A02701">
        <w:rPr>
          <w:rStyle w:val="acopre"/>
        </w:rPr>
        <w:t xml:space="preserve"> = </w:t>
      </w:r>
      <w:r w:rsidR="008A2847">
        <w:rPr>
          <w:rStyle w:val="acopre"/>
        </w:rPr>
        <w:t>12.</w:t>
      </w:r>
      <w:r w:rsidR="008A04E0">
        <w:rPr>
          <w:rStyle w:val="acopre"/>
        </w:rPr>
        <w:t>969</w:t>
      </w:r>
      <w:r w:rsidR="00A02701">
        <w:rPr>
          <w:rStyle w:val="acopre"/>
        </w:rPr>
        <w:t xml:space="preserve">, p &lt; 0.0001; low selection: </w:t>
      </w:r>
      <w:r w:rsidR="008A2847">
        <w:rPr>
          <w:rStyle w:val="acopre"/>
        </w:rPr>
        <w:t>3781</w:t>
      </w:r>
      <w:r w:rsidR="00A02701">
        <w:rPr>
          <w:rStyle w:val="acopre"/>
        </w:rPr>
        <w:t xml:space="preserve"> ± 2</w:t>
      </w:r>
      <w:r w:rsidR="008A04E0">
        <w:rPr>
          <w:rStyle w:val="acopre"/>
        </w:rPr>
        <w:t>43</w:t>
      </w:r>
      <w:r w:rsidR="00A02701">
        <w:rPr>
          <w:rStyle w:val="acopre"/>
        </w:rPr>
        <w:t xml:space="preserve"> units</w:t>
      </w:r>
      <w:r w:rsidR="00A02701">
        <w:rPr>
          <w:rStyle w:val="acopre"/>
          <w:vertAlign w:val="superscript"/>
        </w:rPr>
        <w:t>2</w:t>
      </w:r>
      <w:r w:rsidR="00A02701">
        <w:rPr>
          <w:rStyle w:val="acopre"/>
        </w:rPr>
        <w:t>; t</w:t>
      </w:r>
      <w:r w:rsidR="00E141DE">
        <w:rPr>
          <w:rStyle w:val="acopre"/>
          <w:vertAlign w:val="subscript"/>
        </w:rPr>
        <w:t>25527</w:t>
      </w:r>
      <w:r w:rsidR="00A02701">
        <w:t xml:space="preserve"> = </w:t>
      </w:r>
      <w:r w:rsidR="008A04E0">
        <w:t>15.545</w:t>
      </w:r>
      <w:r w:rsidR="00A02701">
        <w:t xml:space="preserve">, p &lt; 0.0001). </w:t>
      </w:r>
      <w:r w:rsidR="00AD2A73">
        <w:t xml:space="preserve">Increasing the rate of pleiotropy increases </w:t>
      </w:r>
      <w:r w:rsidR="00AD2A73">
        <w:rPr>
          <w:b/>
        </w:rPr>
        <w:t>G</w:t>
      </w:r>
      <w:r w:rsidR="00AD2A73">
        <w:t xml:space="preserve"> ellipse area, </w:t>
      </w:r>
      <w:r w:rsidR="00CC3DA5">
        <w:t xml:space="preserve">under both high and low selection strengths; this effect is stronger under high selection strengths </w:t>
      </w:r>
      <w:r w:rsidR="00AD2A73">
        <w:t>(</w:t>
      </w:r>
      <w:r w:rsidR="00CC3DA5">
        <w:t xml:space="preserve">high selection: </w:t>
      </w:r>
      <w:r w:rsidR="00F51A26">
        <w:t>4000.1</w:t>
      </w:r>
      <w:r w:rsidR="00AD2A73">
        <w:t xml:space="preserve"> </w:t>
      </w:r>
      <w:r w:rsidR="00AD2A73">
        <w:rPr>
          <w:rStyle w:val="acopre"/>
        </w:rPr>
        <w:t xml:space="preserve">± </w:t>
      </w:r>
      <w:r w:rsidR="00F51A26">
        <w:rPr>
          <w:rStyle w:val="acopre"/>
        </w:rPr>
        <w:t>212</w:t>
      </w:r>
      <w:r w:rsidR="00AD2A73">
        <w:rPr>
          <w:rStyle w:val="acopre"/>
        </w:rPr>
        <w:t xml:space="preserve"> units</w:t>
      </w:r>
      <w:r w:rsidR="00AD2A73">
        <w:rPr>
          <w:rStyle w:val="acopre"/>
          <w:vertAlign w:val="superscript"/>
        </w:rPr>
        <w:t>2</w:t>
      </w:r>
      <w:r w:rsidR="00AD2A73">
        <w:rPr>
          <w:rStyle w:val="acopre"/>
        </w:rPr>
        <w:t>; t</w:t>
      </w:r>
      <w:r w:rsidR="00E141DE">
        <w:rPr>
          <w:rStyle w:val="acopre"/>
          <w:vertAlign w:val="subscript"/>
        </w:rPr>
        <w:t>25527</w:t>
      </w:r>
      <w:r w:rsidR="00AD2A73">
        <w:rPr>
          <w:rStyle w:val="acopre"/>
        </w:rPr>
        <w:t xml:space="preserve"> = -</w:t>
      </w:r>
      <w:r w:rsidR="003A6FA5">
        <w:rPr>
          <w:rStyle w:val="acopre"/>
        </w:rPr>
        <w:t>18.84</w:t>
      </w:r>
      <w:r w:rsidR="00F51A26">
        <w:rPr>
          <w:rStyle w:val="acopre"/>
        </w:rPr>
        <w:t>6</w:t>
      </w:r>
      <w:r w:rsidR="00AD2A73">
        <w:rPr>
          <w:rStyle w:val="acopre"/>
        </w:rPr>
        <w:t>, p &lt; 0.0003</w:t>
      </w:r>
      <w:r w:rsidR="00F51A26">
        <w:rPr>
          <w:rStyle w:val="acopre"/>
        </w:rPr>
        <w:t xml:space="preserve">; low selection: 1426.7 </w:t>
      </w:r>
      <w:r w:rsidR="00F51A26" w:rsidRPr="00A02701">
        <w:rPr>
          <w:lang w:val="en-US"/>
        </w:rPr>
        <w:t>±</w:t>
      </w:r>
      <w:r w:rsidR="00F51A26">
        <w:rPr>
          <w:lang w:val="en-US"/>
        </w:rPr>
        <w:t xml:space="preserve"> 2</w:t>
      </w:r>
      <w:r w:rsidR="003A6FA5">
        <w:rPr>
          <w:lang w:val="en-US"/>
        </w:rPr>
        <w:t>50</w:t>
      </w:r>
      <w:r w:rsidR="00F51A26">
        <w:rPr>
          <w:lang w:val="en-US"/>
        </w:rPr>
        <w:t xml:space="preserve"> t</w:t>
      </w:r>
      <w:r w:rsidR="00F51A26">
        <w:rPr>
          <w:vertAlign w:val="subscript"/>
          <w:lang w:val="en-US"/>
        </w:rPr>
        <w:t>25527</w:t>
      </w:r>
      <w:r w:rsidR="00F51A26">
        <w:rPr>
          <w:lang w:val="en-US"/>
        </w:rPr>
        <w:t xml:space="preserve"> = -</w:t>
      </w:r>
      <w:r w:rsidR="003A6FA5">
        <w:rPr>
          <w:lang w:val="en-US"/>
        </w:rPr>
        <w:t>5.698</w:t>
      </w:r>
      <w:r w:rsidR="00F51A26">
        <w:rPr>
          <w:lang w:val="en-US"/>
        </w:rPr>
        <w:t>, p &lt; 0.0001</w:t>
      </w:r>
      <w:r w:rsidR="00AD2A73">
        <w:rPr>
          <w:rStyle w:val="acopre"/>
        </w:rPr>
        <w:t>).</w:t>
      </w:r>
    </w:p>
    <w:p w14:paraId="7E8056AA" w14:textId="4E2216C5" w:rsidR="00F17580" w:rsidRPr="00980383" w:rsidRDefault="002E5721" w:rsidP="004E0ECF">
      <w:r>
        <w:rPr>
          <w:rStyle w:val="acopre"/>
        </w:rPr>
        <w:t xml:space="preserve">The angle of rotation around the centroid </w:t>
      </w:r>
      <w:r w:rsidR="008349C8">
        <w:rPr>
          <w:rStyle w:val="acopre"/>
        </w:rPr>
        <w:t xml:space="preserve">significantly differed between many groups, with strong interactions. Under strong selection, increasing </w:t>
      </w:r>
      <w:r w:rsidR="005D3309">
        <w:rPr>
          <w:rStyle w:val="acopre"/>
        </w:rPr>
        <w:t xml:space="preserve">background selection </w:t>
      </w:r>
      <w:r w:rsidR="008349C8">
        <w:rPr>
          <w:rStyle w:val="acopre"/>
        </w:rPr>
        <w:t xml:space="preserve">led to </w:t>
      </w:r>
      <w:r w:rsidR="005D3309">
        <w:rPr>
          <w:rStyle w:val="acopre"/>
        </w:rPr>
        <w:t xml:space="preserve">a </w:t>
      </w:r>
      <w:r w:rsidR="00826D70">
        <w:rPr>
          <w:rStyle w:val="acopre"/>
        </w:rPr>
        <w:t>counter-clockwise</w:t>
      </w:r>
      <w:r w:rsidR="008349C8">
        <w:rPr>
          <w:rStyle w:val="acopre"/>
        </w:rPr>
        <w:t xml:space="preserve"> rotation of </w:t>
      </w:r>
      <w:r w:rsidR="00826D70">
        <w:rPr>
          <w:rStyle w:val="acopre"/>
        </w:rPr>
        <w:t>1</w:t>
      </w:r>
      <w:r w:rsidR="008349C8">
        <w:rPr>
          <w:rStyle w:val="acopre"/>
        </w:rPr>
        <w:t>3.</w:t>
      </w:r>
      <w:r w:rsidR="00D03748">
        <w:rPr>
          <w:rStyle w:val="acopre"/>
        </w:rPr>
        <w:t>55</w:t>
      </w:r>
      <w:r w:rsidR="008349C8">
        <w:rPr>
          <w:rStyle w:val="acopre"/>
        </w:rPr>
        <w:t xml:space="preserve"> ± </w:t>
      </w:r>
      <w:r w:rsidR="00D03748">
        <w:rPr>
          <w:rStyle w:val="acopre"/>
        </w:rPr>
        <w:t>1.97</w:t>
      </w:r>
      <w:r w:rsidR="008349C8">
        <w:rPr>
          <w:rStyle w:val="acopre"/>
        </w:rPr>
        <w:t xml:space="preserve"> degrees (t</w:t>
      </w:r>
      <w:r w:rsidR="00E141DE">
        <w:rPr>
          <w:rStyle w:val="acopre"/>
          <w:vertAlign w:val="subscript"/>
        </w:rPr>
        <w:t>25527</w:t>
      </w:r>
      <w:r w:rsidR="008349C8">
        <w:t>= -</w:t>
      </w:r>
      <w:r w:rsidR="00826D70">
        <w:t>6.</w:t>
      </w:r>
      <w:r w:rsidR="00D03748">
        <w:t>871</w:t>
      </w:r>
      <w:r w:rsidR="008349C8">
        <w:t>, p &lt; 0.0001)</w:t>
      </w:r>
      <w:r w:rsidR="00826D70">
        <w:t>. Under weak selection, there was no significant change</w:t>
      </w:r>
      <w:r w:rsidR="008349C8">
        <w:t xml:space="preserve"> </w:t>
      </w:r>
      <w:r w:rsidR="00826D70">
        <w:t>in rotation when background selection was increased from low to high</w:t>
      </w:r>
      <w:r w:rsidR="00D03748">
        <w:t xml:space="preserve"> (-3.96 </w:t>
      </w:r>
      <w:r w:rsidR="00D03748">
        <w:rPr>
          <w:rStyle w:val="acopre"/>
        </w:rPr>
        <w:t>± 1.91; t</w:t>
      </w:r>
      <w:r w:rsidR="00D03748">
        <w:rPr>
          <w:rStyle w:val="acopre"/>
          <w:vertAlign w:val="subscript"/>
        </w:rPr>
        <w:t>25527</w:t>
      </w:r>
      <w:r w:rsidR="00D03748">
        <w:rPr>
          <w:rStyle w:val="acopre"/>
        </w:rPr>
        <w:t xml:space="preserve"> = -2.072, p = 0.0956)</w:t>
      </w:r>
      <w:r w:rsidR="008349C8">
        <w:rPr>
          <w:rStyle w:val="acopre"/>
        </w:rPr>
        <w:t>.</w:t>
      </w:r>
      <w:r w:rsidR="00AE5BBD">
        <w:rPr>
          <w:rStyle w:val="acopre"/>
        </w:rPr>
        <w:t xml:space="preserve"> </w:t>
      </w:r>
      <w:r w:rsidR="004953B6">
        <w:rPr>
          <w:rStyle w:val="acopre"/>
        </w:rPr>
        <w:t>W</w:t>
      </w:r>
      <w:r w:rsidR="00AE5BBD">
        <w:rPr>
          <w:rStyle w:val="acopre"/>
        </w:rPr>
        <w:t>hen recombination is increased</w:t>
      </w:r>
      <w:r w:rsidR="004953B6">
        <w:rPr>
          <w:rStyle w:val="acopre"/>
        </w:rPr>
        <w:t>, selection has a similar effect on rotation</w:t>
      </w:r>
      <w:r w:rsidR="00AE5BBD">
        <w:rPr>
          <w:rStyle w:val="acopre"/>
        </w:rPr>
        <w:t>. Under strong selection, inc</w:t>
      </w:r>
      <w:r w:rsidR="00D03748">
        <w:rPr>
          <w:rStyle w:val="acopre"/>
        </w:rPr>
        <w:t>reases in recombination le</w:t>
      </w:r>
      <w:r w:rsidR="00AE5BBD">
        <w:rPr>
          <w:rStyle w:val="acopre"/>
        </w:rPr>
        <w:t xml:space="preserve">d to clockwise rotations of </w:t>
      </w:r>
      <w:r w:rsidR="004953B6">
        <w:rPr>
          <w:rStyle w:val="acopre"/>
        </w:rPr>
        <w:t>39.94</w:t>
      </w:r>
      <w:r w:rsidR="00AE5BBD">
        <w:rPr>
          <w:rStyle w:val="acopre"/>
        </w:rPr>
        <w:t xml:space="preserve"> ± </w:t>
      </w:r>
      <w:r w:rsidR="004953B6">
        <w:rPr>
          <w:rStyle w:val="acopre"/>
        </w:rPr>
        <w:t>1.</w:t>
      </w:r>
      <w:r w:rsidR="00D03748">
        <w:rPr>
          <w:rStyle w:val="acopre"/>
        </w:rPr>
        <w:t>85</w:t>
      </w:r>
      <w:r w:rsidR="00AE5BBD">
        <w:rPr>
          <w:rStyle w:val="acopre"/>
        </w:rPr>
        <w:t xml:space="preserve"> degrees (t</w:t>
      </w:r>
      <w:r w:rsidR="00E141DE">
        <w:rPr>
          <w:rStyle w:val="acopre"/>
          <w:vertAlign w:val="subscript"/>
        </w:rPr>
        <w:t>25527</w:t>
      </w:r>
      <w:r w:rsidR="00AE5BBD">
        <w:rPr>
          <w:rStyle w:val="acopre"/>
        </w:rPr>
        <w:t xml:space="preserve"> = </w:t>
      </w:r>
      <w:r w:rsidR="00D03748">
        <w:rPr>
          <w:rStyle w:val="acopre"/>
        </w:rPr>
        <w:t>21.631</w:t>
      </w:r>
      <w:r w:rsidR="00AE5BBD">
        <w:rPr>
          <w:rStyle w:val="acopre"/>
        </w:rPr>
        <w:t xml:space="preserve">, p </w:t>
      </w:r>
      <w:r w:rsidR="004953B6">
        <w:rPr>
          <w:rStyle w:val="acopre"/>
        </w:rPr>
        <w:t>&lt;</w:t>
      </w:r>
      <w:r w:rsidR="00AE5BBD">
        <w:rPr>
          <w:rStyle w:val="acopre"/>
        </w:rPr>
        <w:t xml:space="preserve"> 0.00</w:t>
      </w:r>
      <w:r w:rsidR="004953B6">
        <w:rPr>
          <w:rStyle w:val="acopre"/>
        </w:rPr>
        <w:t>01</w:t>
      </w:r>
      <w:r w:rsidR="00AE5BBD">
        <w:rPr>
          <w:rStyle w:val="acopre"/>
        </w:rPr>
        <w:t xml:space="preserve">), whereas under weak selection this effect is </w:t>
      </w:r>
      <w:r w:rsidR="004953B6">
        <w:rPr>
          <w:rStyle w:val="acopre"/>
        </w:rPr>
        <w:t>reduced</w:t>
      </w:r>
      <w:r w:rsidR="00AE5BBD">
        <w:rPr>
          <w:rStyle w:val="acopre"/>
        </w:rPr>
        <w:t xml:space="preserve"> to </w:t>
      </w:r>
      <w:r w:rsidR="004953B6">
        <w:rPr>
          <w:rStyle w:val="acopre"/>
        </w:rPr>
        <w:t>23.79</w:t>
      </w:r>
      <w:r w:rsidR="00AE5BBD">
        <w:rPr>
          <w:rStyle w:val="acopre"/>
        </w:rPr>
        <w:t xml:space="preserve"> ± </w:t>
      </w:r>
      <w:r w:rsidR="00D03748">
        <w:rPr>
          <w:rStyle w:val="acopre"/>
        </w:rPr>
        <w:t xml:space="preserve">1.95 </w:t>
      </w:r>
      <w:r w:rsidR="00AE5BBD">
        <w:rPr>
          <w:rStyle w:val="acopre"/>
        </w:rPr>
        <w:t>degrees (t</w:t>
      </w:r>
      <w:r w:rsidR="00E141DE">
        <w:rPr>
          <w:rStyle w:val="acopre"/>
          <w:vertAlign w:val="subscript"/>
        </w:rPr>
        <w:t>25527</w:t>
      </w:r>
      <w:r w:rsidR="00AE5BBD">
        <w:t xml:space="preserve">= </w:t>
      </w:r>
      <w:r w:rsidR="00D03748">
        <w:t>12.183</w:t>
      </w:r>
      <w:r w:rsidR="00AE5BBD">
        <w:t xml:space="preserve">, p &lt; 0.0001). </w:t>
      </w:r>
      <w:r w:rsidR="006A5980">
        <w:t xml:space="preserve">When increasing the rate of pleiotropy, </w:t>
      </w:r>
      <w:r w:rsidR="00980383">
        <w:t xml:space="preserve">under strong selection, there is a </w:t>
      </w:r>
      <w:r w:rsidR="00AB4E76">
        <w:t>counter-</w:t>
      </w:r>
      <w:r w:rsidR="00980383">
        <w:t xml:space="preserve">clockwise rotation of </w:t>
      </w:r>
      <w:r w:rsidR="00AB4E76">
        <w:t xml:space="preserve">16.36 </w:t>
      </w:r>
      <w:r w:rsidR="00980383">
        <w:rPr>
          <w:rStyle w:val="acopre"/>
        </w:rPr>
        <w:t xml:space="preserve">± </w:t>
      </w:r>
      <w:r w:rsidR="00D03748">
        <w:rPr>
          <w:rStyle w:val="acopre"/>
        </w:rPr>
        <w:t>2.08</w:t>
      </w:r>
      <w:r w:rsidR="00980383">
        <w:rPr>
          <w:rStyle w:val="acopre"/>
        </w:rPr>
        <w:t xml:space="preserve"> degrees (t</w:t>
      </w:r>
      <w:r w:rsidR="00E141DE">
        <w:rPr>
          <w:rStyle w:val="acopre"/>
          <w:vertAlign w:val="subscript"/>
        </w:rPr>
        <w:t>25527</w:t>
      </w:r>
      <w:r w:rsidR="00980383">
        <w:t xml:space="preserve"> = </w:t>
      </w:r>
      <w:r w:rsidR="00AB4E76">
        <w:t>-</w:t>
      </w:r>
      <w:r w:rsidR="00D03748">
        <w:t>7.853</w:t>
      </w:r>
      <w:r w:rsidR="00980383">
        <w:t>, p &lt; 0.0001). Under weak selection however, the mean rotation is</w:t>
      </w:r>
      <w:r w:rsidR="00AB4E76">
        <w:t xml:space="preserve"> increased to</w:t>
      </w:r>
      <w:r w:rsidR="00980383">
        <w:t xml:space="preserve"> </w:t>
      </w:r>
      <w:r w:rsidR="00AB4E76">
        <w:t>20.72</w:t>
      </w:r>
      <w:r w:rsidR="00980383">
        <w:t xml:space="preserve"> </w:t>
      </w:r>
      <w:r w:rsidR="00980383">
        <w:rPr>
          <w:rStyle w:val="acopre"/>
        </w:rPr>
        <w:t xml:space="preserve">± </w:t>
      </w:r>
      <w:r w:rsidR="00D03748">
        <w:rPr>
          <w:rStyle w:val="acopre"/>
        </w:rPr>
        <w:t>2.02</w:t>
      </w:r>
      <w:r w:rsidR="00980383">
        <w:rPr>
          <w:rStyle w:val="acopre"/>
        </w:rPr>
        <w:t xml:space="preserve"> degrees in the counter-clockwise direction (t</w:t>
      </w:r>
      <w:r w:rsidR="00E141DE">
        <w:rPr>
          <w:rStyle w:val="acopre"/>
          <w:vertAlign w:val="subscript"/>
        </w:rPr>
        <w:t>25527</w:t>
      </w:r>
      <w:r w:rsidR="00980383">
        <w:rPr>
          <w:rStyle w:val="acopre"/>
        </w:rPr>
        <w:t xml:space="preserve"> = -</w:t>
      </w:r>
      <w:r w:rsidR="00D03748">
        <w:rPr>
          <w:rStyle w:val="acopre"/>
        </w:rPr>
        <w:t>10.285</w:t>
      </w:r>
      <w:r w:rsidR="00980383">
        <w:rPr>
          <w:rStyle w:val="acopre"/>
        </w:rPr>
        <w:t xml:space="preserve">, p &lt; 0.0001). </w:t>
      </w:r>
    </w:p>
    <w:p w14:paraId="5A50DE2C" w14:textId="1CAEC7EB" w:rsidR="00AD2A73" w:rsidRPr="00AD2A73" w:rsidRDefault="00AD2A73" w:rsidP="004E0ECF">
      <w:r>
        <w:rPr>
          <w:rStyle w:val="acopre"/>
        </w:rPr>
        <w:t>Major-minor axis ratios were fairly static, with signific</w:t>
      </w:r>
      <w:r w:rsidR="00F17580">
        <w:rPr>
          <w:rStyle w:val="acopre"/>
        </w:rPr>
        <w:t>ant differences being less than 0.1 in magnitude.</w:t>
      </w:r>
    </w:p>
    <w:p w14:paraId="02616DE9" w14:textId="4415302A" w:rsidR="00030268" w:rsidRPr="00030268" w:rsidRDefault="00030268" w:rsidP="004E0ECF">
      <w:pPr>
        <w:rPr>
          <w:b/>
          <w:lang w:val="en-US"/>
        </w:rPr>
      </w:pPr>
      <w:r>
        <w:rPr>
          <w:b/>
          <w:lang w:val="en-US"/>
        </w:rPr>
        <w:t>Almost all comparisons are significant: I think I’ll put the total results in a table and just write out the most interesting ones that I’ll talk about in my discussion.</w:t>
      </w:r>
    </w:p>
    <w:p w14:paraId="6F201C5C" w14:textId="77777777" w:rsidR="005A3FE8" w:rsidRDefault="005A3FE8" w:rsidP="004F0C57">
      <w:pPr>
        <w:rPr>
          <w:lang w:val="en-US"/>
        </w:rPr>
      </w:pPr>
    </w:p>
    <w:p w14:paraId="0080E3A9" w14:textId="41B0E5C5" w:rsidR="0075385C" w:rsidRDefault="006834F1" w:rsidP="004F0C57">
      <w:pPr>
        <w:rPr>
          <w:rFonts w:eastAsiaTheme="minorEastAsia"/>
          <w:lang w:val="en-US"/>
        </w:rPr>
      </w:pPr>
      <w:r>
        <w:rPr>
          <w:lang w:val="en-US"/>
        </w:rPr>
        <w:t xml:space="preserve">I repeated the relative PCA analysis for the selection model, considering interactions between selection strength and the other parameters. Under strong selection, large </w:t>
      </w:r>
      <w:r>
        <w:rPr>
          <w:lang w:val="en-US"/>
        </w:rPr>
        <w:lastRenderedPageBreak/>
        <w:t xml:space="preserve">differences between models being compared led to a decrease of 0.4594 </w:t>
      </w:r>
      <w:r>
        <w:rPr>
          <w:rStyle w:val="acopre"/>
        </w:rPr>
        <w:t xml:space="preserve">± 0.165 log units of </w:t>
      </w:r>
      <w:r w:rsidR="00E82625">
        <w:rPr>
          <w:rStyle w:val="acopre"/>
        </w:rPr>
        <w:t>generalized</w:t>
      </w:r>
      <w:r>
        <w:rPr>
          <w:rStyle w:val="acopre"/>
        </w:rPr>
        <w:t xml:space="preserve"> variance (t</w:t>
      </w:r>
      <w:r>
        <w:rPr>
          <w:rStyle w:val="acopre"/>
          <w:vertAlign w:val="subscript"/>
        </w:rPr>
        <w:t>812727</w:t>
      </w:r>
      <w:r>
        <w:rPr>
          <w:rStyle w:val="acopre"/>
        </w:rPr>
        <w:t xml:space="preserve"> = 2.778, p = 0.0151) relative to a pair of similar-background-selection-rate models, regardless of what that rate was. Under weak selection, there was no effect of the similarity of models in a pair on log </w:t>
      </w:r>
      <w:r w:rsidR="00E82625">
        <w:rPr>
          <w:rStyle w:val="acopre"/>
        </w:rPr>
        <w:t>generalized</w:t>
      </w:r>
      <w:r>
        <w:rPr>
          <w:rStyle w:val="acopre"/>
        </w:rPr>
        <w:t xml:space="preserve"> variance (t</w:t>
      </w:r>
      <w:r>
        <w:rPr>
          <w:rStyle w:val="acopre"/>
          <w:vertAlign w:val="subscript"/>
        </w:rPr>
        <w:t>812727</w:t>
      </w:r>
      <w:r>
        <w:rPr>
          <w:rStyle w:val="acopre"/>
        </w:rPr>
        <w:t xml:space="preserve"> = 0.079, p = 0.9966).</w:t>
      </w:r>
      <w:r w:rsidR="004B05A5">
        <w:rPr>
          <w:rStyle w:val="acopre"/>
        </w:rPr>
        <w:t xml:space="preserve"> Differences </w:t>
      </w:r>
      <w:r w:rsidR="00B93CEB">
        <w:rPr>
          <w:rStyle w:val="acopre"/>
        </w:rPr>
        <w:t xml:space="preserve">in recombination rate </w:t>
      </w:r>
      <w:r w:rsidR="004B05A5">
        <w:rPr>
          <w:rStyle w:val="acopre"/>
        </w:rPr>
        <w:t xml:space="preserve">between pairs of </w:t>
      </w:r>
      <w:r w:rsidR="00B93CEB">
        <w:rPr>
          <w:rStyle w:val="acopre"/>
        </w:rPr>
        <w:t xml:space="preserve">models led to differences in mean log </w:t>
      </w:r>
      <w:r w:rsidR="00E82625">
        <w:rPr>
          <w:rStyle w:val="acopre"/>
        </w:rPr>
        <w:t>generalized</w:t>
      </w:r>
      <w:r w:rsidR="00B93CEB">
        <w:rPr>
          <w:rStyle w:val="acopre"/>
        </w:rPr>
        <w:t xml:space="preserve"> variance under both weak and strong selection (strong selection: 2.551 ± 0.165 log units; t</w:t>
      </w:r>
      <w:r w:rsidR="00B93CEB">
        <w:rPr>
          <w:rStyle w:val="acopre"/>
          <w:vertAlign w:val="subscript"/>
        </w:rPr>
        <w:t>812727</w:t>
      </w:r>
      <w:r w:rsidR="00B93CEB">
        <w:rPr>
          <w:rStyle w:val="acopre"/>
        </w:rPr>
        <w:t xml:space="preserve"> = -15.481, p &lt; 0.0001; weak selection: 1.555 ± 0.245 log units; t</w:t>
      </w:r>
      <w:r w:rsidR="00B93CEB">
        <w:rPr>
          <w:rStyle w:val="acopre"/>
          <w:vertAlign w:val="subscript"/>
        </w:rPr>
        <w:t>812727</w:t>
      </w:r>
      <w:r w:rsidR="00B93CEB">
        <w:rPr>
          <w:rStyle w:val="acopre"/>
        </w:rPr>
        <w:t xml:space="preserve"> = -6.336, p &lt; 0.0001). A similar effect was seen with pleiotropic covariance divergence between pairs; under high selection, shifting from a similar pair to a divergent pair resulted in a decrease of 0.895 ± 0.168 log units of </w:t>
      </w:r>
      <w:r w:rsidR="00E82625">
        <w:rPr>
          <w:rStyle w:val="acopre"/>
        </w:rPr>
        <w:t>generalized</w:t>
      </w:r>
      <w:r w:rsidR="00B93CEB">
        <w:rPr>
          <w:rStyle w:val="acopre"/>
        </w:rPr>
        <w:t xml:space="preserve"> variance (t</w:t>
      </w:r>
      <w:r w:rsidR="00B93CEB">
        <w:rPr>
          <w:rStyle w:val="acopre"/>
          <w:vertAlign w:val="subscript"/>
        </w:rPr>
        <w:t>812727</w:t>
      </w:r>
      <w:r w:rsidR="00B93CEB">
        <w:rPr>
          <w:rStyle w:val="acopre"/>
        </w:rPr>
        <w:t xml:space="preserve"> = 5.331, p &lt; 0.0001). Under low selection, this decrease was 3.432 ± 0.251 units (t</w:t>
      </w:r>
      <w:r w:rsidR="00B93CEB">
        <w:rPr>
          <w:rStyle w:val="acopre"/>
          <w:vertAlign w:val="subscript"/>
        </w:rPr>
        <w:t>812727</w:t>
      </w:r>
      <w:r w:rsidR="00B93CEB">
        <w:rPr>
          <w:rStyle w:val="acopre"/>
        </w:rPr>
        <w:t xml:space="preserve"> = 13.647, p &lt; 0.0001).</w:t>
      </w:r>
      <w:r w:rsidR="00527FB6">
        <w:rPr>
          <w:rStyle w:val="acopre"/>
        </w:rPr>
        <w:t xml:space="preserve"> Differences in pleiotropy rate </w:t>
      </w:r>
      <w:r w:rsidR="00E82625">
        <w:rPr>
          <w:rStyle w:val="acopre"/>
        </w:rPr>
        <w:t xml:space="preserve">divergence </w:t>
      </w:r>
      <w:r w:rsidR="00527FB6">
        <w:rPr>
          <w:rStyle w:val="acopre"/>
        </w:rPr>
        <w:t xml:space="preserve">between models had no effect on log generalized variance regardless of </w:t>
      </w:r>
      <w:r w:rsidR="00E82625">
        <w:rPr>
          <w:rStyle w:val="acopre"/>
        </w:rPr>
        <w:t>selection strength, but this was only true in when comparing extremes. Comparisons between models with medium amounts of divergence and either little dive</w:t>
      </w:r>
      <w:r w:rsidR="00013215">
        <w:rPr>
          <w:rStyle w:val="acopre"/>
        </w:rPr>
        <w:t xml:space="preserve">rgence or maximum divergence </w:t>
      </w:r>
      <w:r w:rsidR="00E82625">
        <w:rPr>
          <w:rStyle w:val="acopre"/>
        </w:rPr>
        <w:t>led to significant changes in log generalised variance</w:t>
      </w:r>
      <w:r w:rsidR="008B1923">
        <w:rPr>
          <w:rStyle w:val="acopre"/>
        </w:rPr>
        <w:t xml:space="preserve"> under both strong and weak selection, but not intermediate levels (high selection strength, low to medium 1.152 ± 0.13, t</w:t>
      </w:r>
      <w:r w:rsidR="008B1923">
        <w:rPr>
          <w:rStyle w:val="acopre"/>
          <w:vertAlign w:val="subscript"/>
        </w:rPr>
        <w:t>812727</w:t>
      </w:r>
      <w:r w:rsidR="008B1923">
        <w:rPr>
          <w:rStyle w:val="acopre"/>
        </w:rPr>
        <w:t xml:space="preserve"> = -8.876, p &lt; 0.0001; medium to high -1.254 ± 0.18, t</w:t>
      </w:r>
      <w:r w:rsidR="008B1923">
        <w:rPr>
          <w:rStyle w:val="acopre"/>
          <w:vertAlign w:val="subscript"/>
        </w:rPr>
        <w:t>812727</w:t>
      </w:r>
      <w:r w:rsidR="008B1923">
        <w:rPr>
          <w:rStyle w:val="acopre"/>
        </w:rPr>
        <w:t xml:space="preserve"> = 6.984, p &lt; 0.0001; low selection strength, low to medium -0.829 ± 0.222, t</w:t>
      </w:r>
      <w:r w:rsidR="008B1923">
        <w:rPr>
          <w:rStyle w:val="acopre"/>
          <w:vertAlign w:val="subscript"/>
        </w:rPr>
        <w:t>812727</w:t>
      </w:r>
      <w:r w:rsidR="008B1923">
        <w:rPr>
          <w:rStyle w:val="acopre"/>
        </w:rPr>
        <w:t xml:space="preserve"> = 3.732, p = 0.0006</w:t>
      </w:r>
      <w:r w:rsidR="005A33AA">
        <w:rPr>
          <w:rStyle w:val="acopre"/>
        </w:rPr>
        <w:t>).</w:t>
      </w:r>
      <w:r w:rsidR="00E2557D">
        <w:rPr>
          <w:rStyle w:val="acopre"/>
        </w:rPr>
        <w:t xml:space="preserve"> The exception to this was under weak selection, comparisons between medium-pleiotropy and high-pleiotropy led to a marginally insignificant difference in log generalized variance (0.636 ± 0.279, t</w:t>
      </w:r>
      <w:r w:rsidR="00E2557D">
        <w:rPr>
          <w:rStyle w:val="acopre"/>
          <w:vertAlign w:val="subscript"/>
        </w:rPr>
        <w:t>812727</w:t>
      </w:r>
      <w:r w:rsidR="00E2557D">
        <w:rPr>
          <w:rStyle w:val="acopre"/>
        </w:rPr>
        <w:t xml:space="preserve"> = -2.278, p = 0.0589).</w:t>
      </w:r>
      <w:r w:rsidR="003F7645">
        <w:rPr>
          <w:rFonts w:eastAsiaTheme="minorEastAsia"/>
          <w:lang w:val="en-US"/>
        </w:rPr>
        <w:t xml:space="preserve"> </w:t>
      </w:r>
    </w:p>
    <w:p w14:paraId="3DECEEF5" w14:textId="134A0D2D" w:rsidR="005A3FE8" w:rsidRDefault="005A3FE8" w:rsidP="004F0C57">
      <w:pPr>
        <w:rPr>
          <w:rFonts w:eastAsiaTheme="minorEastAsia"/>
          <w:lang w:val="en-US"/>
        </w:rPr>
      </w:pPr>
      <w:r>
        <w:rPr>
          <w:rFonts w:eastAsiaTheme="minorEastAsia"/>
          <w:lang w:val="en-US"/>
        </w:rPr>
        <w:t xml:space="preserve">To describe the pattern of variation resulting from different combinations of parameters under different strengths of selection, I used eigentensor decomposition and projection. I found that under weak selection, </w:t>
      </w:r>
    </w:p>
    <w:p w14:paraId="4597F875" w14:textId="77777777" w:rsidR="005A3FE8" w:rsidRDefault="005A3FE8" w:rsidP="004F0C57">
      <w:pPr>
        <w:rPr>
          <w:rFonts w:eastAsiaTheme="minorEastAsia"/>
          <w:lang w:val="en-US"/>
        </w:rPr>
      </w:pPr>
    </w:p>
    <w:p w14:paraId="722376F8" w14:textId="037437BF" w:rsidR="005A3FE8" w:rsidRDefault="005A3FE8" w:rsidP="004F0C57">
      <w:pPr>
        <w:rPr>
          <w:rFonts w:eastAsiaTheme="minorEastAsia"/>
          <w:lang w:val="en-US"/>
        </w:rPr>
      </w:pPr>
    </w:p>
    <w:p w14:paraId="1C8B5582" w14:textId="285C1BC4" w:rsidR="00DD5C25" w:rsidRDefault="00DD5C25" w:rsidP="004F0C57">
      <w:pPr>
        <w:rPr>
          <w:rFonts w:eastAsiaTheme="minorEastAsia"/>
          <w:lang w:val="en-US"/>
        </w:rPr>
      </w:pPr>
    </w:p>
    <w:p w14:paraId="70A2093D" w14:textId="13495D9A" w:rsidR="00DD5C25" w:rsidRDefault="00DD5C25" w:rsidP="004F0C57">
      <w:pPr>
        <w:rPr>
          <w:rFonts w:eastAsiaTheme="minorEastAsia"/>
          <w:lang w:val="en-US"/>
        </w:rPr>
      </w:pPr>
    </w:p>
    <w:p w14:paraId="00989AEA" w14:textId="797BBECC" w:rsidR="00DD5C25" w:rsidRDefault="00DD5C25" w:rsidP="004F0C57">
      <w:pPr>
        <w:rPr>
          <w:rFonts w:eastAsiaTheme="minorEastAsia"/>
          <w:lang w:val="en-US"/>
        </w:rPr>
      </w:pPr>
    </w:p>
    <w:p w14:paraId="1B53965E" w14:textId="77777777" w:rsidR="00DD5C25" w:rsidRDefault="00DD5C25" w:rsidP="004F0C57">
      <w:pPr>
        <w:rPr>
          <w:rFonts w:eastAsiaTheme="minorEastAsia"/>
          <w:lang w:val="en-US"/>
        </w:rPr>
      </w:pPr>
    </w:p>
    <w:p w14:paraId="6C6BED1C" w14:textId="71673109" w:rsidR="00DD5C25" w:rsidRDefault="00895210" w:rsidP="004F0C57">
      <w:pPr>
        <w:rPr>
          <w:rStyle w:val="acopre"/>
        </w:rPr>
      </w:pPr>
      <w:r>
        <w:rPr>
          <w:rFonts w:eastAsiaTheme="minorEastAsia"/>
          <w:lang w:val="en-US"/>
        </w:rPr>
        <w:t>Euclidean distances from the optimum were also computed for selection models</w:t>
      </w:r>
      <w:r w:rsidR="008D4724">
        <w:rPr>
          <w:rFonts w:eastAsiaTheme="minorEastAsia"/>
          <w:lang w:val="en-US"/>
        </w:rPr>
        <w:t xml:space="preserve"> (Figure 7)</w:t>
      </w:r>
      <w:r>
        <w:rPr>
          <w:rFonts w:eastAsiaTheme="minorEastAsia"/>
          <w:lang w:val="en-US"/>
        </w:rPr>
        <w:t xml:space="preserve">. </w:t>
      </w:r>
      <w:r w:rsidR="00F04D37">
        <w:rPr>
          <w:rFonts w:eastAsiaTheme="minorEastAsia"/>
          <w:lang w:val="en-US"/>
        </w:rPr>
        <w:t xml:space="preserve">The resulting linear model described 70.46% of variation. </w:t>
      </w:r>
      <w:r w:rsidR="00FA7980">
        <w:rPr>
          <w:rFonts w:eastAsiaTheme="minorEastAsia"/>
          <w:lang w:val="en-US"/>
        </w:rPr>
        <w:t xml:space="preserve">Multiple significant interactions between parameters were found. </w:t>
      </w:r>
      <w:r>
        <w:rPr>
          <w:rFonts w:eastAsiaTheme="minorEastAsia"/>
          <w:lang w:val="en-US"/>
        </w:rPr>
        <w:t xml:space="preserve">Under strong selection, increasing </w:t>
      </w:r>
      <w:r>
        <w:rPr>
          <w:rFonts w:eastAsiaTheme="minorEastAsia"/>
          <w:lang w:val="en-US"/>
        </w:rPr>
        <w:lastRenderedPageBreak/>
        <w:t xml:space="preserve">background selection from low to high resulted in an average decrease in distance from the optimum of </w:t>
      </w:r>
      <w:r w:rsidR="000565C4">
        <w:rPr>
          <w:rFonts w:eastAsiaTheme="minorEastAsia"/>
          <w:lang w:val="en-US"/>
        </w:rPr>
        <w:t>136.5</w:t>
      </w:r>
      <w:r>
        <w:rPr>
          <w:rFonts w:eastAsiaTheme="minorEastAsia"/>
          <w:lang w:val="en-US"/>
        </w:rPr>
        <w:t xml:space="preserve"> </w:t>
      </w:r>
      <w:r>
        <w:rPr>
          <w:rStyle w:val="acopre"/>
        </w:rPr>
        <w:t xml:space="preserve">± </w:t>
      </w:r>
      <w:r w:rsidR="000565C4">
        <w:rPr>
          <w:rStyle w:val="acopre"/>
        </w:rPr>
        <w:t>2.94</w:t>
      </w:r>
      <w:r>
        <w:rPr>
          <w:rStyle w:val="acopre"/>
        </w:rPr>
        <w:t xml:space="preserve"> units (t</w:t>
      </w:r>
      <w:r>
        <w:rPr>
          <w:rStyle w:val="acopre"/>
          <w:vertAlign w:val="subscript"/>
        </w:rPr>
        <w:t>25</w:t>
      </w:r>
      <w:r w:rsidR="00FA7980">
        <w:rPr>
          <w:rStyle w:val="acopre"/>
          <w:vertAlign w:val="subscript"/>
        </w:rPr>
        <w:t>471</w:t>
      </w:r>
      <w:r>
        <w:rPr>
          <w:rStyle w:val="acopre"/>
        </w:rPr>
        <w:t xml:space="preserve"> = </w:t>
      </w:r>
      <w:r w:rsidR="000565C4">
        <w:rPr>
          <w:rStyle w:val="acopre"/>
        </w:rPr>
        <w:t>46.467</w:t>
      </w:r>
      <w:r>
        <w:rPr>
          <w:rStyle w:val="acopre"/>
        </w:rPr>
        <w:t xml:space="preserve">, p &lt; 0.0001). </w:t>
      </w:r>
      <w:r w:rsidR="000565C4">
        <w:rPr>
          <w:rStyle w:val="acopre"/>
        </w:rPr>
        <w:t>Under intermediate selection, recombination rate interacted with deleterious mutation</w:t>
      </w:r>
      <w:r>
        <w:rPr>
          <w:rStyle w:val="acopre"/>
        </w:rPr>
        <w:t xml:space="preserve">, </w:t>
      </w:r>
      <w:r w:rsidR="000565C4">
        <w:rPr>
          <w:rStyle w:val="acopre"/>
        </w:rPr>
        <w:t>reducing the effect of deleterious mutation on distance. Under intermediate selection and low recombination, when increasing deleterious mutation, distance from the optimum declined 247.80</w:t>
      </w:r>
      <w:r>
        <w:rPr>
          <w:rStyle w:val="acopre"/>
        </w:rPr>
        <w:t xml:space="preserve"> ± </w:t>
      </w:r>
      <w:r w:rsidR="000565C4">
        <w:rPr>
          <w:rStyle w:val="acopre"/>
        </w:rPr>
        <w:t xml:space="preserve">7.68 </w:t>
      </w:r>
      <w:r>
        <w:rPr>
          <w:rStyle w:val="acopre"/>
        </w:rPr>
        <w:t>units (t</w:t>
      </w:r>
      <w:r w:rsidR="00FA7980">
        <w:rPr>
          <w:rStyle w:val="acopre"/>
          <w:vertAlign w:val="subscript"/>
        </w:rPr>
        <w:t>25471</w:t>
      </w:r>
      <w:r>
        <w:rPr>
          <w:rStyle w:val="acopre"/>
          <w:vertAlign w:val="subscript"/>
        </w:rPr>
        <w:t xml:space="preserve"> </w:t>
      </w:r>
      <w:r w:rsidRPr="00895210">
        <w:rPr>
          <w:rStyle w:val="acopre"/>
        </w:rPr>
        <w:t xml:space="preserve">= </w:t>
      </w:r>
      <w:r w:rsidR="000565C4">
        <w:rPr>
          <w:rStyle w:val="acopre"/>
        </w:rPr>
        <w:t>32.248</w:t>
      </w:r>
      <w:r>
        <w:rPr>
          <w:rStyle w:val="acopre"/>
        </w:rPr>
        <w:t xml:space="preserve">, p &lt; 0.0001). </w:t>
      </w:r>
      <w:r w:rsidR="000565C4">
        <w:rPr>
          <w:rStyle w:val="acopre"/>
        </w:rPr>
        <w:t xml:space="preserve">Under high recombination rates, this decline was 92.26 </w:t>
      </w:r>
      <w:r w:rsidR="000565C4">
        <w:rPr>
          <w:rStyle w:val="acopre"/>
        </w:rPr>
        <w:t>±</w:t>
      </w:r>
      <w:r w:rsidR="000565C4">
        <w:rPr>
          <w:rStyle w:val="acopre"/>
        </w:rPr>
        <w:t xml:space="preserve"> 5.10 units </w:t>
      </w:r>
      <w:r w:rsidR="000565C4">
        <w:rPr>
          <w:rStyle w:val="acopre"/>
        </w:rPr>
        <w:t>(t</w:t>
      </w:r>
      <w:r w:rsidR="000565C4">
        <w:rPr>
          <w:rStyle w:val="acopre"/>
          <w:vertAlign w:val="subscript"/>
        </w:rPr>
        <w:t xml:space="preserve">25471 </w:t>
      </w:r>
      <w:r w:rsidR="000565C4" w:rsidRPr="00895210">
        <w:rPr>
          <w:rStyle w:val="acopre"/>
        </w:rPr>
        <w:t xml:space="preserve">= </w:t>
      </w:r>
      <w:r w:rsidR="000565C4">
        <w:rPr>
          <w:rStyle w:val="acopre"/>
        </w:rPr>
        <w:t>18.077</w:t>
      </w:r>
      <w:r w:rsidR="000565C4">
        <w:rPr>
          <w:rStyle w:val="acopre"/>
        </w:rPr>
        <w:t>, p &lt; 0.0001)</w:t>
      </w:r>
      <w:r w:rsidR="000565C4">
        <w:rPr>
          <w:rStyle w:val="acopre"/>
        </w:rPr>
        <w:t xml:space="preserve">. </w:t>
      </w:r>
      <w:r w:rsidR="00332BE3">
        <w:rPr>
          <w:rStyle w:val="acopre"/>
        </w:rPr>
        <w:t xml:space="preserve">This drop of 155.5 </w:t>
      </w:r>
      <w:r w:rsidR="00332BE3">
        <w:rPr>
          <w:rStyle w:val="acopre"/>
        </w:rPr>
        <w:t>±</w:t>
      </w:r>
      <w:r w:rsidR="00332BE3">
        <w:rPr>
          <w:rStyle w:val="acopre"/>
        </w:rPr>
        <w:t xml:space="preserve"> 9.16 units between contrasts was highly significant </w:t>
      </w:r>
      <w:r w:rsidR="00332BE3">
        <w:rPr>
          <w:rStyle w:val="acopre"/>
        </w:rPr>
        <w:t>(t</w:t>
      </w:r>
      <w:r w:rsidR="00332BE3">
        <w:rPr>
          <w:rStyle w:val="acopre"/>
          <w:vertAlign w:val="subscript"/>
        </w:rPr>
        <w:t xml:space="preserve">25471 </w:t>
      </w:r>
      <w:r w:rsidR="00332BE3" w:rsidRPr="00895210">
        <w:rPr>
          <w:rStyle w:val="acopre"/>
        </w:rPr>
        <w:t xml:space="preserve">= </w:t>
      </w:r>
      <w:r w:rsidR="00332BE3">
        <w:rPr>
          <w:rStyle w:val="acopre"/>
        </w:rPr>
        <w:t>16.983</w:t>
      </w:r>
      <w:r w:rsidR="00332BE3">
        <w:rPr>
          <w:rStyle w:val="acopre"/>
        </w:rPr>
        <w:t>, p &lt; 0.0001).</w:t>
      </w:r>
      <w:r w:rsidR="00332BE3">
        <w:rPr>
          <w:rStyle w:val="acopre"/>
        </w:rPr>
        <w:t xml:space="preserve"> </w:t>
      </w:r>
      <w:r w:rsidR="00DD5C25">
        <w:rPr>
          <w:rStyle w:val="acopre"/>
        </w:rPr>
        <w:t xml:space="preserve">A similar effect was seen under weak </w:t>
      </w:r>
      <w:r w:rsidR="00705975">
        <w:rPr>
          <w:rStyle w:val="acopre"/>
        </w:rPr>
        <w:t>selection</w:t>
      </w:r>
      <w:r w:rsidR="009B5521">
        <w:rPr>
          <w:rStyle w:val="acopre"/>
        </w:rPr>
        <w:t>,</w:t>
      </w:r>
      <w:r w:rsidR="00705975">
        <w:rPr>
          <w:rStyle w:val="acopre"/>
        </w:rPr>
        <w:t xml:space="preserve"> however </w:t>
      </w:r>
      <w:r w:rsidR="00DD5C25">
        <w:rPr>
          <w:rStyle w:val="acopre"/>
        </w:rPr>
        <w:t>the contrast was marginally insignificant (decrease of 28.3</w:t>
      </w:r>
      <w:r w:rsidR="00DD5C25">
        <w:rPr>
          <w:rStyle w:val="acopre"/>
        </w:rPr>
        <w:t xml:space="preserve"> ± </w:t>
      </w:r>
      <w:r w:rsidR="00DD5C25">
        <w:rPr>
          <w:rStyle w:val="acopre"/>
        </w:rPr>
        <w:t>10.01</w:t>
      </w:r>
      <w:r w:rsidR="00DD5C25">
        <w:rPr>
          <w:rStyle w:val="acopre"/>
        </w:rPr>
        <w:t xml:space="preserve"> units</w:t>
      </w:r>
      <w:r w:rsidR="00DD5C25">
        <w:rPr>
          <w:rStyle w:val="acopre"/>
        </w:rPr>
        <w:t xml:space="preserve"> between low and high recombination when deleterious mutation increased from low to high; t</w:t>
      </w:r>
      <w:r w:rsidR="00DD5C25" w:rsidRPr="00DD5C25">
        <w:rPr>
          <w:rStyle w:val="acopre"/>
          <w:vertAlign w:val="subscript"/>
        </w:rPr>
        <w:t>25471</w:t>
      </w:r>
      <w:r w:rsidR="00DD5C25">
        <w:rPr>
          <w:rStyle w:val="acopre"/>
        </w:rPr>
        <w:t xml:space="preserve"> = 2.830, </w:t>
      </w:r>
      <w:r w:rsidR="0011724E">
        <w:rPr>
          <w:rStyle w:val="acopre"/>
        </w:rPr>
        <w:t>p</w:t>
      </w:r>
      <w:r w:rsidR="00DD5C25">
        <w:rPr>
          <w:rStyle w:val="acopre"/>
        </w:rPr>
        <w:t xml:space="preserve"> = 0.0528).</w:t>
      </w:r>
      <w:r w:rsidR="0011724E">
        <w:rPr>
          <w:rStyle w:val="acopre"/>
        </w:rPr>
        <w:t xml:space="preserve"> Recombination had more consistent interactions with pleiotropy rate.</w:t>
      </w:r>
    </w:p>
    <w:p w14:paraId="77AD94BB" w14:textId="46B57593" w:rsidR="00523F2A" w:rsidRDefault="0011724E" w:rsidP="004F0C57">
      <w:pPr>
        <w:rPr>
          <w:rStyle w:val="acopre"/>
        </w:rPr>
      </w:pPr>
      <w:r>
        <w:rPr>
          <w:rStyle w:val="acopre"/>
        </w:rPr>
        <w:t xml:space="preserve">The rate of pleiotropy was correlated with distance from the optimum, however recombination interacted to reduce this effect. Under strong selection and low recombination, increasing pleiotropy rate increased distance from the optimum by 72.42 </w:t>
      </w:r>
      <w:r>
        <w:rPr>
          <w:rStyle w:val="acopre"/>
        </w:rPr>
        <w:t xml:space="preserve">± </w:t>
      </w:r>
      <w:r>
        <w:rPr>
          <w:rStyle w:val="acopre"/>
        </w:rPr>
        <w:t>6.08</w:t>
      </w:r>
      <w:r>
        <w:rPr>
          <w:rStyle w:val="acopre"/>
        </w:rPr>
        <w:t xml:space="preserve"> units (t</w:t>
      </w:r>
      <w:r>
        <w:rPr>
          <w:rStyle w:val="acopre"/>
          <w:vertAlign w:val="subscript"/>
        </w:rPr>
        <w:t xml:space="preserve">25471 </w:t>
      </w:r>
      <w:r w:rsidRPr="00895210">
        <w:rPr>
          <w:rStyle w:val="acopre"/>
        </w:rPr>
        <w:t xml:space="preserve">= </w:t>
      </w:r>
      <w:r>
        <w:rPr>
          <w:rStyle w:val="acopre"/>
        </w:rPr>
        <w:t>-11.903</w:t>
      </w:r>
      <w:r>
        <w:rPr>
          <w:rStyle w:val="acopre"/>
        </w:rPr>
        <w:t>, p &lt; 0.0001).</w:t>
      </w:r>
      <w:r>
        <w:rPr>
          <w:rStyle w:val="acopre"/>
        </w:rPr>
        <w:t xml:space="preserve"> Under high recombination, this increase in distance was reduced to 39.93 </w:t>
      </w:r>
      <w:r>
        <w:rPr>
          <w:rStyle w:val="acopre"/>
        </w:rPr>
        <w:t xml:space="preserve">± </w:t>
      </w:r>
      <w:r>
        <w:rPr>
          <w:rStyle w:val="acopre"/>
        </w:rPr>
        <w:t>5.69</w:t>
      </w:r>
      <w:r>
        <w:rPr>
          <w:rStyle w:val="acopre"/>
        </w:rPr>
        <w:t xml:space="preserve"> units (t</w:t>
      </w:r>
      <w:r>
        <w:rPr>
          <w:rStyle w:val="acopre"/>
          <w:vertAlign w:val="subscript"/>
        </w:rPr>
        <w:t xml:space="preserve">25471 </w:t>
      </w:r>
      <w:r w:rsidRPr="00895210">
        <w:rPr>
          <w:rStyle w:val="acopre"/>
        </w:rPr>
        <w:t xml:space="preserve">= </w:t>
      </w:r>
      <w:r>
        <w:rPr>
          <w:rStyle w:val="acopre"/>
        </w:rPr>
        <w:t>-7.014</w:t>
      </w:r>
      <w:r>
        <w:rPr>
          <w:rStyle w:val="acopre"/>
        </w:rPr>
        <w:t>, p &lt; 0.0001)</w:t>
      </w:r>
      <w:r>
        <w:rPr>
          <w:rStyle w:val="acopre"/>
        </w:rPr>
        <w:t xml:space="preserve">, a reduction of 32.5 </w:t>
      </w:r>
      <w:r>
        <w:rPr>
          <w:rStyle w:val="acopre"/>
        </w:rPr>
        <w:t xml:space="preserve">± </w:t>
      </w:r>
      <w:r>
        <w:rPr>
          <w:rStyle w:val="acopre"/>
        </w:rPr>
        <w:t xml:space="preserve">9.69 </w:t>
      </w:r>
      <w:r>
        <w:rPr>
          <w:rStyle w:val="acopre"/>
        </w:rPr>
        <w:t>units (t</w:t>
      </w:r>
      <w:r>
        <w:rPr>
          <w:rStyle w:val="acopre"/>
          <w:vertAlign w:val="subscript"/>
        </w:rPr>
        <w:t xml:space="preserve">25471 </w:t>
      </w:r>
      <w:r w:rsidRPr="00895210">
        <w:rPr>
          <w:rStyle w:val="acopre"/>
        </w:rPr>
        <w:t xml:space="preserve">= </w:t>
      </w:r>
      <w:r>
        <w:rPr>
          <w:rStyle w:val="acopre"/>
        </w:rPr>
        <w:t>-</w:t>
      </w:r>
      <w:r>
        <w:rPr>
          <w:rStyle w:val="acopre"/>
        </w:rPr>
        <w:t>3.355</w:t>
      </w:r>
      <w:r>
        <w:rPr>
          <w:rStyle w:val="acopre"/>
        </w:rPr>
        <w:t xml:space="preserve">, p </w:t>
      </w:r>
      <w:r>
        <w:rPr>
          <w:rStyle w:val="acopre"/>
        </w:rPr>
        <w:t>= 0.0103)</w:t>
      </w:r>
      <w:r w:rsidR="00562583">
        <w:rPr>
          <w:rStyle w:val="acopre"/>
        </w:rPr>
        <w:t xml:space="preserve">. Under weak selection, </w:t>
      </w:r>
      <w:r w:rsidR="004F7619">
        <w:rPr>
          <w:rStyle w:val="acopre"/>
        </w:rPr>
        <w:t>the opposite</w:t>
      </w:r>
      <w:r w:rsidR="00562583">
        <w:rPr>
          <w:rStyle w:val="acopre"/>
        </w:rPr>
        <w:t xml:space="preserve"> effect was </w:t>
      </w:r>
      <w:r w:rsidR="004F7619">
        <w:rPr>
          <w:rStyle w:val="acopre"/>
        </w:rPr>
        <w:t xml:space="preserve">observed. </w:t>
      </w:r>
      <w:r w:rsidR="00562583">
        <w:rPr>
          <w:rStyle w:val="acopre"/>
        </w:rPr>
        <w:t xml:space="preserve">With low recombination, an increase in pleiotropy rate </w:t>
      </w:r>
      <w:r w:rsidR="004F7619">
        <w:rPr>
          <w:rStyle w:val="acopre"/>
        </w:rPr>
        <w:t xml:space="preserve">did not significantly change distance, however with high recombination, distance was increased by 41.828 </w:t>
      </w:r>
      <w:r w:rsidR="004F7619">
        <w:rPr>
          <w:rStyle w:val="acopre"/>
        </w:rPr>
        <w:t xml:space="preserve">± </w:t>
      </w:r>
      <w:r w:rsidR="004F7619">
        <w:rPr>
          <w:rStyle w:val="acopre"/>
        </w:rPr>
        <w:t>7.78</w:t>
      </w:r>
      <w:r w:rsidR="004F7619">
        <w:rPr>
          <w:rStyle w:val="acopre"/>
        </w:rPr>
        <w:t xml:space="preserve"> units (t</w:t>
      </w:r>
      <w:r w:rsidR="004F7619">
        <w:rPr>
          <w:rStyle w:val="acopre"/>
          <w:vertAlign w:val="subscript"/>
        </w:rPr>
        <w:t xml:space="preserve">25471 </w:t>
      </w:r>
      <w:r w:rsidR="004F7619" w:rsidRPr="00895210">
        <w:rPr>
          <w:rStyle w:val="acopre"/>
        </w:rPr>
        <w:t xml:space="preserve">= </w:t>
      </w:r>
      <w:r w:rsidR="004F7619">
        <w:rPr>
          <w:rStyle w:val="acopre"/>
        </w:rPr>
        <w:t>-</w:t>
      </w:r>
      <w:r w:rsidR="004F7619">
        <w:rPr>
          <w:rStyle w:val="acopre"/>
        </w:rPr>
        <w:t>5.378</w:t>
      </w:r>
      <w:r w:rsidR="004F7619">
        <w:rPr>
          <w:rStyle w:val="acopre"/>
        </w:rPr>
        <w:t>, p &lt; 0.0001</w:t>
      </w:r>
      <w:r w:rsidR="004F7619">
        <w:rPr>
          <w:rStyle w:val="acopre"/>
        </w:rPr>
        <w:t>).</w:t>
      </w:r>
      <w:r w:rsidR="00784E88">
        <w:rPr>
          <w:rStyle w:val="acopre"/>
        </w:rPr>
        <w:t xml:space="preserve"> Intermediate levels of selection led to distance increases of 39.373 </w:t>
      </w:r>
      <w:r w:rsidR="00784E88">
        <w:rPr>
          <w:rStyle w:val="acopre"/>
        </w:rPr>
        <w:t xml:space="preserve">± </w:t>
      </w:r>
      <w:r w:rsidR="00784E88">
        <w:rPr>
          <w:rStyle w:val="acopre"/>
        </w:rPr>
        <w:t>8.51</w:t>
      </w:r>
      <w:r w:rsidR="00784E88">
        <w:rPr>
          <w:rStyle w:val="acopre"/>
        </w:rPr>
        <w:t xml:space="preserve"> units (t</w:t>
      </w:r>
      <w:r w:rsidR="00784E88">
        <w:rPr>
          <w:rStyle w:val="acopre"/>
          <w:vertAlign w:val="subscript"/>
        </w:rPr>
        <w:t xml:space="preserve">25471 </w:t>
      </w:r>
      <w:r w:rsidR="00784E88" w:rsidRPr="00895210">
        <w:rPr>
          <w:rStyle w:val="acopre"/>
        </w:rPr>
        <w:t xml:space="preserve">= </w:t>
      </w:r>
      <w:r w:rsidR="00784E88">
        <w:rPr>
          <w:rStyle w:val="acopre"/>
        </w:rPr>
        <w:t>-</w:t>
      </w:r>
      <w:r w:rsidR="00784E88">
        <w:rPr>
          <w:rStyle w:val="acopre"/>
        </w:rPr>
        <w:t>4.628</w:t>
      </w:r>
      <w:r w:rsidR="00784E88">
        <w:rPr>
          <w:rStyle w:val="acopre"/>
        </w:rPr>
        <w:t xml:space="preserve">, p </w:t>
      </w:r>
      <w:r w:rsidR="00784E88">
        <w:rPr>
          <w:rStyle w:val="acopre"/>
        </w:rPr>
        <w:t>=</w:t>
      </w:r>
      <w:r w:rsidR="00784E88">
        <w:rPr>
          <w:rStyle w:val="acopre"/>
        </w:rPr>
        <w:t xml:space="preserve"> 0.0001</w:t>
      </w:r>
      <w:r w:rsidR="00784E88">
        <w:rPr>
          <w:rStyle w:val="acopre"/>
        </w:rPr>
        <w:t>) with increasing pleiotropy rate and low recombination; high recombination led to no significant change in distance</w:t>
      </w:r>
      <w:r w:rsidR="00E147CA">
        <w:rPr>
          <w:rStyle w:val="acopre"/>
        </w:rPr>
        <w:t xml:space="preserve"> (</w:t>
      </w:r>
      <w:r w:rsidR="00E147CA">
        <w:rPr>
          <w:rStyle w:val="acopre"/>
        </w:rPr>
        <w:t>t</w:t>
      </w:r>
      <w:r w:rsidR="00E147CA">
        <w:rPr>
          <w:rStyle w:val="acopre"/>
          <w:vertAlign w:val="subscript"/>
        </w:rPr>
        <w:t xml:space="preserve">25471 </w:t>
      </w:r>
      <w:r w:rsidR="00E147CA" w:rsidRPr="00895210">
        <w:rPr>
          <w:rStyle w:val="acopre"/>
        </w:rPr>
        <w:t xml:space="preserve">= </w:t>
      </w:r>
      <w:r w:rsidR="00E147CA">
        <w:rPr>
          <w:rStyle w:val="acopre"/>
        </w:rPr>
        <w:t>-</w:t>
      </w:r>
      <w:r w:rsidR="00E147CA">
        <w:rPr>
          <w:rStyle w:val="acopre"/>
        </w:rPr>
        <w:t>2.368</w:t>
      </w:r>
      <w:r w:rsidR="00E147CA">
        <w:rPr>
          <w:rStyle w:val="acopre"/>
        </w:rPr>
        <w:t xml:space="preserve">, p </w:t>
      </w:r>
      <w:r w:rsidR="00E147CA">
        <w:rPr>
          <w:rStyle w:val="acopre"/>
        </w:rPr>
        <w:t>= 0.3015)</w:t>
      </w:r>
      <w:r w:rsidR="00784E88">
        <w:rPr>
          <w:rStyle w:val="acopre"/>
        </w:rPr>
        <w:t>.</w:t>
      </w:r>
      <w:r w:rsidR="00523F2A">
        <w:rPr>
          <w:rStyle w:val="acopre"/>
        </w:rPr>
        <w:t xml:space="preserve"> </w:t>
      </w:r>
    </w:p>
    <w:p w14:paraId="7086E08F" w14:textId="028FD304" w:rsidR="002A06F1" w:rsidRDefault="00523F2A" w:rsidP="004F0C57">
      <w:pPr>
        <w:rPr>
          <w:rStyle w:val="acopre"/>
        </w:rPr>
      </w:pPr>
      <w:r>
        <w:rPr>
          <w:rStyle w:val="acopre"/>
        </w:rPr>
        <w:t xml:space="preserve">Under strong selection and low deleterious mutation rate, increasing pleiotropy rate led to increases in distance of 62.26 </w:t>
      </w:r>
      <w:r>
        <w:rPr>
          <w:rStyle w:val="acopre"/>
        </w:rPr>
        <w:t xml:space="preserve">± </w:t>
      </w:r>
      <w:r>
        <w:rPr>
          <w:rStyle w:val="acopre"/>
        </w:rPr>
        <w:t>5.56</w:t>
      </w:r>
      <w:r>
        <w:rPr>
          <w:rStyle w:val="acopre"/>
        </w:rPr>
        <w:t xml:space="preserve"> units (t</w:t>
      </w:r>
      <w:r>
        <w:rPr>
          <w:rStyle w:val="acopre"/>
          <w:vertAlign w:val="subscript"/>
        </w:rPr>
        <w:t xml:space="preserve">25471 </w:t>
      </w:r>
      <w:r w:rsidRPr="00895210">
        <w:rPr>
          <w:rStyle w:val="acopre"/>
        </w:rPr>
        <w:t xml:space="preserve">= </w:t>
      </w:r>
      <w:r>
        <w:rPr>
          <w:rStyle w:val="acopre"/>
        </w:rPr>
        <w:t>-</w:t>
      </w:r>
      <w:r>
        <w:rPr>
          <w:rStyle w:val="acopre"/>
        </w:rPr>
        <w:t>11.2</w:t>
      </w:r>
      <w:r>
        <w:rPr>
          <w:rStyle w:val="acopre"/>
        </w:rPr>
        <w:t xml:space="preserve">, p </w:t>
      </w:r>
      <w:r>
        <w:rPr>
          <w:rStyle w:val="acopre"/>
        </w:rPr>
        <w:t>&lt;</w:t>
      </w:r>
      <w:r>
        <w:rPr>
          <w:rStyle w:val="acopre"/>
        </w:rPr>
        <w:t xml:space="preserve"> 0.0001)</w:t>
      </w:r>
      <w:r>
        <w:rPr>
          <w:rStyle w:val="acopre"/>
        </w:rPr>
        <w:t>.</w:t>
      </w:r>
      <w:r w:rsidR="00AB53A2">
        <w:rPr>
          <w:rStyle w:val="acopre"/>
        </w:rPr>
        <w:t xml:space="preserve"> Under the same conditions but high deleterious mutation rate, there was no significant difference between pleiotropy levels in distance from the optimum </w:t>
      </w:r>
      <w:r w:rsidR="00561508">
        <w:rPr>
          <w:rStyle w:val="acopre"/>
        </w:rPr>
        <w:t>(t</w:t>
      </w:r>
      <w:r w:rsidR="00561508">
        <w:rPr>
          <w:rStyle w:val="acopre"/>
          <w:vertAlign w:val="subscript"/>
        </w:rPr>
        <w:t xml:space="preserve">25471 </w:t>
      </w:r>
      <w:r w:rsidR="00561508" w:rsidRPr="00895210">
        <w:rPr>
          <w:rStyle w:val="acopre"/>
        </w:rPr>
        <w:t xml:space="preserve">= </w:t>
      </w:r>
      <w:r w:rsidR="00561508">
        <w:rPr>
          <w:rStyle w:val="acopre"/>
        </w:rPr>
        <w:t>0.938</w:t>
      </w:r>
      <w:r w:rsidR="00561508">
        <w:rPr>
          <w:rStyle w:val="acopre"/>
        </w:rPr>
        <w:t xml:space="preserve">, p </w:t>
      </w:r>
      <w:r w:rsidR="00561508">
        <w:rPr>
          <w:rStyle w:val="acopre"/>
        </w:rPr>
        <w:t>= 0.9908</w:t>
      </w:r>
      <w:r w:rsidR="00561508">
        <w:rPr>
          <w:rStyle w:val="acopre"/>
        </w:rPr>
        <w:t>)</w:t>
      </w:r>
      <w:r w:rsidR="00AB53A2">
        <w:rPr>
          <w:rStyle w:val="acopre"/>
        </w:rPr>
        <w:t>.</w:t>
      </w:r>
      <w:r w:rsidR="00561508">
        <w:rPr>
          <w:rStyle w:val="acopre"/>
        </w:rPr>
        <w:t xml:space="preserve"> </w:t>
      </w:r>
      <w:r w:rsidR="006943D2">
        <w:rPr>
          <w:rStyle w:val="acopre"/>
        </w:rPr>
        <w:t>The same effect was observed under both intermediate selectio</w:t>
      </w:r>
      <w:r w:rsidR="0028160A">
        <w:rPr>
          <w:rStyle w:val="acopre"/>
        </w:rPr>
        <w:t>n</w:t>
      </w:r>
      <w:r w:rsidR="006943D2">
        <w:rPr>
          <w:rStyle w:val="acopre"/>
        </w:rPr>
        <w:t xml:space="preserve">, however under weak selection, increasing pleiotropy rate with low deleterious mutation led to an increase of 38.16 </w:t>
      </w:r>
      <w:r w:rsidR="006943D2">
        <w:rPr>
          <w:rStyle w:val="acopre"/>
        </w:rPr>
        <w:t xml:space="preserve">± </w:t>
      </w:r>
      <w:r w:rsidR="006943D2">
        <w:rPr>
          <w:rStyle w:val="acopre"/>
        </w:rPr>
        <w:t>8.23</w:t>
      </w:r>
      <w:r w:rsidR="006943D2">
        <w:rPr>
          <w:rStyle w:val="acopre"/>
        </w:rPr>
        <w:t xml:space="preserve"> units (t</w:t>
      </w:r>
      <w:r w:rsidR="006943D2">
        <w:rPr>
          <w:rStyle w:val="acopre"/>
          <w:vertAlign w:val="subscript"/>
        </w:rPr>
        <w:t xml:space="preserve">25471 </w:t>
      </w:r>
      <w:r w:rsidR="006943D2" w:rsidRPr="00895210">
        <w:rPr>
          <w:rStyle w:val="acopre"/>
        </w:rPr>
        <w:t xml:space="preserve">= </w:t>
      </w:r>
      <w:r w:rsidR="006943D2">
        <w:rPr>
          <w:rStyle w:val="acopre"/>
        </w:rPr>
        <w:t>-</w:t>
      </w:r>
      <w:r w:rsidR="006943D2">
        <w:rPr>
          <w:rStyle w:val="acopre"/>
        </w:rPr>
        <w:t>4.637</w:t>
      </w:r>
      <w:r w:rsidR="006943D2">
        <w:rPr>
          <w:rStyle w:val="acopre"/>
        </w:rPr>
        <w:t xml:space="preserve">, p </w:t>
      </w:r>
      <w:r w:rsidR="006943D2">
        <w:rPr>
          <w:rStyle w:val="acopre"/>
        </w:rPr>
        <w:t>=</w:t>
      </w:r>
      <w:r w:rsidR="006943D2">
        <w:rPr>
          <w:rStyle w:val="acopre"/>
        </w:rPr>
        <w:t xml:space="preserve"> 0.0001)</w:t>
      </w:r>
      <w:r w:rsidR="006943D2">
        <w:rPr>
          <w:rStyle w:val="acopre"/>
        </w:rPr>
        <w:t xml:space="preserve">. With high deleterious mutation, </w:t>
      </w:r>
      <w:r w:rsidR="0028160A">
        <w:rPr>
          <w:rStyle w:val="acopre"/>
        </w:rPr>
        <w:t xml:space="preserve">there was a significant increase of 28.83 </w:t>
      </w:r>
      <w:r w:rsidR="0028160A">
        <w:rPr>
          <w:rStyle w:val="acopre"/>
        </w:rPr>
        <w:t xml:space="preserve">± </w:t>
      </w:r>
      <w:r w:rsidR="0028160A">
        <w:rPr>
          <w:rStyle w:val="acopre"/>
        </w:rPr>
        <w:t>6.94</w:t>
      </w:r>
      <w:r w:rsidR="0028160A">
        <w:rPr>
          <w:rStyle w:val="acopre"/>
        </w:rPr>
        <w:t xml:space="preserve"> units (t</w:t>
      </w:r>
      <w:r w:rsidR="0028160A">
        <w:rPr>
          <w:rStyle w:val="acopre"/>
          <w:vertAlign w:val="subscript"/>
        </w:rPr>
        <w:t xml:space="preserve">25471 </w:t>
      </w:r>
      <w:r w:rsidR="0028160A" w:rsidRPr="00895210">
        <w:rPr>
          <w:rStyle w:val="acopre"/>
        </w:rPr>
        <w:t xml:space="preserve">= </w:t>
      </w:r>
      <w:r w:rsidR="0028160A">
        <w:rPr>
          <w:rStyle w:val="acopre"/>
        </w:rPr>
        <w:t>-</w:t>
      </w:r>
      <w:r w:rsidR="0028160A">
        <w:rPr>
          <w:rStyle w:val="acopre"/>
        </w:rPr>
        <w:t>4.152</w:t>
      </w:r>
      <w:r w:rsidR="0028160A">
        <w:rPr>
          <w:rStyle w:val="acopre"/>
        </w:rPr>
        <w:t>, p = 0.00</w:t>
      </w:r>
      <w:r w:rsidR="0028160A">
        <w:rPr>
          <w:rStyle w:val="acopre"/>
        </w:rPr>
        <w:t>1</w:t>
      </w:r>
      <w:r w:rsidR="0028160A">
        <w:rPr>
          <w:rStyle w:val="acopre"/>
        </w:rPr>
        <w:t>1)</w:t>
      </w:r>
      <w:r w:rsidR="0028160A">
        <w:rPr>
          <w:rStyle w:val="acopre"/>
        </w:rPr>
        <w:t>, however this effect was not significantly different to the effect of pleiotropy under weak selection and low deleterious mutation rate</w:t>
      </w:r>
      <w:r w:rsidR="0028160A">
        <w:rPr>
          <w:rStyle w:val="acopre"/>
        </w:rPr>
        <w:t>.</w:t>
      </w:r>
      <w:r w:rsidR="002A06F1">
        <w:rPr>
          <w:rStyle w:val="acopre"/>
        </w:rPr>
        <w:t xml:space="preserve"> </w:t>
      </w:r>
    </w:p>
    <w:p w14:paraId="629EFD11" w14:textId="77777777" w:rsidR="002A06F1" w:rsidRDefault="002A06F1" w:rsidP="004F0C57">
      <w:pPr>
        <w:rPr>
          <w:rStyle w:val="acopre"/>
        </w:rPr>
      </w:pPr>
    </w:p>
    <w:p w14:paraId="4AF7E834" w14:textId="59775AB2" w:rsidR="002A06F1" w:rsidRDefault="002A06F1" w:rsidP="004F0C57">
      <w:pPr>
        <w:rPr>
          <w:rStyle w:val="acopre"/>
        </w:rPr>
      </w:pPr>
      <w:r>
        <w:rPr>
          <w:rStyle w:val="acopre"/>
        </w:rPr>
        <w:t xml:space="preserve">Additive effect size also </w:t>
      </w:r>
      <w:r w:rsidR="003D05BF">
        <w:rPr>
          <w:rStyle w:val="acopre"/>
        </w:rPr>
        <w:t>interacted with</w:t>
      </w:r>
      <w:r>
        <w:rPr>
          <w:rStyle w:val="acopre"/>
        </w:rPr>
        <w:t xml:space="preserve"> pleiotropy’s deleterious effects on adaptation, however the extent of this depended on the strength of selection. Under strong selection and low additive effect sizes, increasing pleiotropy resulted in no significant change in </w:t>
      </w:r>
      <w:r>
        <w:rPr>
          <w:rStyle w:val="acopre"/>
        </w:rPr>
        <w:lastRenderedPageBreak/>
        <w:t xml:space="preserve">distance to the optimum (-13.74 </w:t>
      </w:r>
      <w:r>
        <w:rPr>
          <w:rStyle w:val="acopre"/>
        </w:rPr>
        <w:t xml:space="preserve">± </w:t>
      </w:r>
      <w:r>
        <w:rPr>
          <w:rStyle w:val="acopre"/>
        </w:rPr>
        <w:t>4.55</w:t>
      </w:r>
      <w:r>
        <w:rPr>
          <w:rStyle w:val="acopre"/>
        </w:rPr>
        <w:t xml:space="preserve"> units</w:t>
      </w:r>
      <w:r>
        <w:rPr>
          <w:rStyle w:val="acopre"/>
        </w:rPr>
        <w:t xml:space="preserve">; </w:t>
      </w:r>
      <w:r>
        <w:rPr>
          <w:rStyle w:val="acopre"/>
        </w:rPr>
        <w:t>t</w:t>
      </w:r>
      <w:r>
        <w:rPr>
          <w:rStyle w:val="acopre"/>
          <w:vertAlign w:val="subscript"/>
        </w:rPr>
        <w:t xml:space="preserve">25471 </w:t>
      </w:r>
      <w:r w:rsidRPr="00895210">
        <w:rPr>
          <w:rStyle w:val="acopre"/>
        </w:rPr>
        <w:t xml:space="preserve">= </w:t>
      </w:r>
      <w:r>
        <w:rPr>
          <w:rStyle w:val="acopre"/>
        </w:rPr>
        <w:t>-</w:t>
      </w:r>
      <w:r>
        <w:rPr>
          <w:rStyle w:val="acopre"/>
        </w:rPr>
        <w:t>3.019</w:t>
      </w:r>
      <w:r>
        <w:rPr>
          <w:rStyle w:val="acopre"/>
        </w:rPr>
        <w:t>, p = 0.0</w:t>
      </w:r>
      <w:r>
        <w:rPr>
          <w:rStyle w:val="acopre"/>
        </w:rPr>
        <w:t>636)</w:t>
      </w:r>
      <w:r>
        <w:rPr>
          <w:rStyle w:val="acopre"/>
        </w:rPr>
        <w:t>.</w:t>
      </w:r>
      <w:r>
        <w:rPr>
          <w:rStyle w:val="acopre"/>
        </w:rPr>
        <w:t xml:space="preserve"> However, large additive effect sizes saw pleiotropy rate increase the distance to the optimum by 76.15 </w:t>
      </w:r>
      <w:r>
        <w:rPr>
          <w:rStyle w:val="acopre"/>
        </w:rPr>
        <w:t xml:space="preserve">± </w:t>
      </w:r>
      <w:r>
        <w:rPr>
          <w:rStyle w:val="acopre"/>
        </w:rPr>
        <w:t xml:space="preserve">6.99 </w:t>
      </w:r>
      <w:r>
        <w:rPr>
          <w:rStyle w:val="acopre"/>
        </w:rPr>
        <w:t>units (t</w:t>
      </w:r>
      <w:r>
        <w:rPr>
          <w:rStyle w:val="acopre"/>
          <w:vertAlign w:val="subscript"/>
        </w:rPr>
        <w:t xml:space="preserve">25471 </w:t>
      </w:r>
      <w:r w:rsidRPr="00895210">
        <w:rPr>
          <w:rStyle w:val="acopre"/>
        </w:rPr>
        <w:t xml:space="preserve">= </w:t>
      </w:r>
      <w:r>
        <w:rPr>
          <w:rStyle w:val="acopre"/>
        </w:rPr>
        <w:t>-</w:t>
      </w:r>
      <w:r>
        <w:rPr>
          <w:rStyle w:val="acopre"/>
        </w:rPr>
        <w:t>10.901</w:t>
      </w:r>
      <w:r>
        <w:rPr>
          <w:rStyle w:val="acopre"/>
        </w:rPr>
        <w:t xml:space="preserve">, p </w:t>
      </w:r>
      <w:r>
        <w:rPr>
          <w:rStyle w:val="acopre"/>
        </w:rPr>
        <w:t>&lt;</w:t>
      </w:r>
      <w:r>
        <w:rPr>
          <w:rStyle w:val="acopre"/>
        </w:rPr>
        <w:t xml:space="preserve"> 0.0001).</w:t>
      </w:r>
      <w:r w:rsidR="009623F1">
        <w:rPr>
          <w:rStyle w:val="acopre"/>
        </w:rPr>
        <w:t xml:space="preserve"> Under intermediate selection and low effect sizes, increasing pleiotropy increased distance by 27.46 </w:t>
      </w:r>
      <w:r w:rsidR="009623F1">
        <w:rPr>
          <w:rStyle w:val="acopre"/>
        </w:rPr>
        <w:t xml:space="preserve">± </w:t>
      </w:r>
      <w:r w:rsidR="009623F1">
        <w:rPr>
          <w:rStyle w:val="acopre"/>
        </w:rPr>
        <w:t>7.29</w:t>
      </w:r>
      <w:r w:rsidR="009623F1">
        <w:rPr>
          <w:rStyle w:val="acopre"/>
        </w:rPr>
        <w:t xml:space="preserve"> units (t</w:t>
      </w:r>
      <w:r w:rsidR="009623F1">
        <w:rPr>
          <w:rStyle w:val="acopre"/>
          <w:vertAlign w:val="subscript"/>
        </w:rPr>
        <w:t xml:space="preserve">25471 </w:t>
      </w:r>
      <w:r w:rsidR="009623F1" w:rsidRPr="00895210">
        <w:rPr>
          <w:rStyle w:val="acopre"/>
        </w:rPr>
        <w:t xml:space="preserve">= </w:t>
      </w:r>
      <w:r w:rsidR="009623F1">
        <w:rPr>
          <w:rStyle w:val="acopre"/>
        </w:rPr>
        <w:t>-</w:t>
      </w:r>
      <w:r w:rsidR="009623F1">
        <w:rPr>
          <w:rStyle w:val="acopre"/>
        </w:rPr>
        <w:t>3.767</w:t>
      </w:r>
      <w:r w:rsidR="009623F1">
        <w:rPr>
          <w:rStyle w:val="acopre"/>
        </w:rPr>
        <w:t>, p = 0.00</w:t>
      </w:r>
      <w:r w:rsidR="009623F1">
        <w:rPr>
          <w:rStyle w:val="acopre"/>
        </w:rPr>
        <w:t>52</w:t>
      </w:r>
      <w:r w:rsidR="009623F1">
        <w:rPr>
          <w:rStyle w:val="acopre"/>
        </w:rPr>
        <w:t>).</w:t>
      </w:r>
      <w:r w:rsidR="009623F1">
        <w:rPr>
          <w:rStyle w:val="acopre"/>
        </w:rPr>
        <w:t xml:space="preserve"> High additive effect sizes resulted in the same increase in pleiotropy having no significant effect on distance (-27.41 </w:t>
      </w:r>
      <w:r w:rsidR="009623F1">
        <w:rPr>
          <w:rStyle w:val="acopre"/>
        </w:rPr>
        <w:t xml:space="preserve">± </w:t>
      </w:r>
      <w:r w:rsidR="009623F1">
        <w:rPr>
          <w:rStyle w:val="acopre"/>
        </w:rPr>
        <w:t>9.38</w:t>
      </w:r>
      <w:r w:rsidR="009623F1">
        <w:rPr>
          <w:rStyle w:val="acopre"/>
        </w:rPr>
        <w:t xml:space="preserve"> unit</w:t>
      </w:r>
      <w:r w:rsidR="009623F1">
        <w:rPr>
          <w:rStyle w:val="acopre"/>
        </w:rPr>
        <w:t xml:space="preserve">s; </w:t>
      </w:r>
      <w:r w:rsidR="009623F1">
        <w:rPr>
          <w:rStyle w:val="acopre"/>
        </w:rPr>
        <w:t>t</w:t>
      </w:r>
      <w:r w:rsidR="009623F1">
        <w:rPr>
          <w:rStyle w:val="acopre"/>
          <w:vertAlign w:val="subscript"/>
        </w:rPr>
        <w:t xml:space="preserve">25471 </w:t>
      </w:r>
      <w:r w:rsidR="009623F1" w:rsidRPr="00895210">
        <w:rPr>
          <w:rStyle w:val="acopre"/>
        </w:rPr>
        <w:t xml:space="preserve">= </w:t>
      </w:r>
      <w:r w:rsidR="009623F1">
        <w:rPr>
          <w:rStyle w:val="acopre"/>
        </w:rPr>
        <w:t>2.923</w:t>
      </w:r>
      <w:r w:rsidR="009623F1">
        <w:rPr>
          <w:rStyle w:val="acopre"/>
        </w:rPr>
        <w:t>, p = 0.0</w:t>
      </w:r>
      <w:r w:rsidR="009623F1">
        <w:rPr>
          <w:rStyle w:val="acopre"/>
        </w:rPr>
        <w:t>833</w:t>
      </w:r>
      <w:r w:rsidR="009623F1">
        <w:rPr>
          <w:rStyle w:val="acopre"/>
        </w:rPr>
        <w:t>).</w:t>
      </w:r>
      <w:r w:rsidR="009623F1">
        <w:rPr>
          <w:rStyle w:val="acopre"/>
        </w:rPr>
        <w:t xml:space="preserve"> Under weak selection, the effects flipped relative to strong selection, with small effect sizes and increasing pleiotropy leading to a distance increase of 69 </w:t>
      </w:r>
      <w:r w:rsidR="009623F1">
        <w:rPr>
          <w:rStyle w:val="acopre"/>
        </w:rPr>
        <w:t xml:space="preserve">± </w:t>
      </w:r>
      <w:r w:rsidR="009623F1">
        <w:rPr>
          <w:rStyle w:val="acopre"/>
        </w:rPr>
        <w:t>6.5</w:t>
      </w:r>
      <w:r w:rsidR="009623F1">
        <w:rPr>
          <w:rStyle w:val="acopre"/>
        </w:rPr>
        <w:t xml:space="preserve"> units (t</w:t>
      </w:r>
      <w:r w:rsidR="009623F1">
        <w:rPr>
          <w:rStyle w:val="acopre"/>
          <w:vertAlign w:val="subscript"/>
        </w:rPr>
        <w:t xml:space="preserve">25471 </w:t>
      </w:r>
      <w:r w:rsidR="009623F1" w:rsidRPr="00895210">
        <w:rPr>
          <w:rStyle w:val="acopre"/>
        </w:rPr>
        <w:t xml:space="preserve">= </w:t>
      </w:r>
      <w:r w:rsidR="009623F1">
        <w:rPr>
          <w:rStyle w:val="acopre"/>
        </w:rPr>
        <w:t>-</w:t>
      </w:r>
      <w:r w:rsidR="009623F1">
        <w:rPr>
          <w:rStyle w:val="acopre"/>
        </w:rPr>
        <w:t>10.613</w:t>
      </w:r>
      <w:r w:rsidR="009623F1">
        <w:rPr>
          <w:rStyle w:val="acopre"/>
        </w:rPr>
        <w:t xml:space="preserve">, p </w:t>
      </w:r>
      <w:r w:rsidR="009623F1">
        <w:rPr>
          <w:rStyle w:val="acopre"/>
        </w:rPr>
        <w:t>&lt;</w:t>
      </w:r>
      <w:r w:rsidR="009623F1">
        <w:rPr>
          <w:rStyle w:val="acopre"/>
        </w:rPr>
        <w:t xml:space="preserve"> 0.0001)</w:t>
      </w:r>
      <w:r w:rsidR="009623F1">
        <w:rPr>
          <w:rStyle w:val="acopre"/>
        </w:rPr>
        <w:t xml:space="preserve">, and large effects with increasing pleiotropy reducing distance by 35.26 </w:t>
      </w:r>
      <w:r w:rsidR="009623F1">
        <w:rPr>
          <w:rStyle w:val="acopre"/>
        </w:rPr>
        <w:t xml:space="preserve">± </w:t>
      </w:r>
      <w:r w:rsidR="009623F1">
        <w:rPr>
          <w:rStyle w:val="acopre"/>
        </w:rPr>
        <w:t>7.65</w:t>
      </w:r>
      <w:r w:rsidR="009623F1">
        <w:rPr>
          <w:rStyle w:val="acopre"/>
        </w:rPr>
        <w:t xml:space="preserve"> units (t</w:t>
      </w:r>
      <w:r w:rsidR="009623F1">
        <w:rPr>
          <w:rStyle w:val="acopre"/>
          <w:vertAlign w:val="subscript"/>
        </w:rPr>
        <w:t xml:space="preserve">25471 </w:t>
      </w:r>
      <w:r w:rsidR="009623F1" w:rsidRPr="00895210">
        <w:rPr>
          <w:rStyle w:val="acopre"/>
        </w:rPr>
        <w:t xml:space="preserve">= </w:t>
      </w:r>
      <w:r w:rsidR="009623F1">
        <w:rPr>
          <w:rStyle w:val="acopre"/>
        </w:rPr>
        <w:t>4.607</w:t>
      </w:r>
      <w:r w:rsidR="009623F1">
        <w:rPr>
          <w:rStyle w:val="acopre"/>
        </w:rPr>
        <w:t>, p = 0.0001).</w:t>
      </w:r>
    </w:p>
    <w:p w14:paraId="13BECB75" w14:textId="77777777" w:rsidR="003C0FFD" w:rsidRDefault="003C0FFD" w:rsidP="004F0C57">
      <w:pPr>
        <w:rPr>
          <w:lang w:val="en-US"/>
        </w:rPr>
      </w:pPr>
    </w:p>
    <w:p w14:paraId="19900493" w14:textId="77777777" w:rsidR="003C0FFD" w:rsidRDefault="003C0FFD" w:rsidP="004F0C57">
      <w:pPr>
        <w:rPr>
          <w:lang w:val="en-US"/>
        </w:rPr>
      </w:pPr>
    </w:p>
    <w:p w14:paraId="450C304D" w14:textId="77777777" w:rsidR="003C0FFD" w:rsidRDefault="003C0FFD" w:rsidP="004F0C57">
      <w:pPr>
        <w:rPr>
          <w:lang w:val="en-US"/>
        </w:rPr>
      </w:pPr>
    </w:p>
    <w:p w14:paraId="7FA5DCF3" w14:textId="77777777" w:rsidR="003C0FFD" w:rsidRDefault="003C0FFD" w:rsidP="004F0C57">
      <w:pPr>
        <w:rPr>
          <w:lang w:val="en-US"/>
        </w:rPr>
      </w:pPr>
    </w:p>
    <w:p w14:paraId="191A5476" w14:textId="77777777" w:rsidR="003C0FFD" w:rsidRDefault="003C0FFD" w:rsidP="004F0C57">
      <w:pPr>
        <w:rPr>
          <w:lang w:val="en-US"/>
        </w:rPr>
      </w:pPr>
    </w:p>
    <w:p w14:paraId="2226E1D9" w14:textId="77777777" w:rsidR="003C0FFD" w:rsidRDefault="003C0FFD" w:rsidP="004F0C57">
      <w:pPr>
        <w:rPr>
          <w:lang w:val="en-US"/>
        </w:rPr>
      </w:pPr>
    </w:p>
    <w:p w14:paraId="0604ED31" w14:textId="700AE375" w:rsidR="0075385C" w:rsidRDefault="001843C9" w:rsidP="001843C9">
      <w:pPr>
        <w:pStyle w:val="Heading1"/>
      </w:pPr>
      <w:r>
        <w:t xml:space="preserve">Snippets </w:t>
      </w:r>
    </w:p>
    <w:p w14:paraId="2CE9496E" w14:textId="219773D6" w:rsidR="00EA1E67" w:rsidRDefault="0075385C" w:rsidP="004F0C57">
      <w:pPr>
        <w:rPr>
          <w:lang w:val="en-US"/>
        </w:rPr>
      </w:pPr>
      <w:r>
        <w:rPr>
          <w:lang w:val="en-US"/>
        </w:rPr>
        <w:t>, rate of pleiotropy (β = 0.012, p &lt; 0.0001), and additive effect size (β = 0.00022, p = 0.0023) on heterozygosity, as well as significant interactions. The most biologically meaningful of these interactions included interactions between deleterious mutation and recombination rate (β = 122.9</w:t>
      </w:r>
      <w:r w:rsidR="00EA1E67">
        <w:rPr>
          <w:lang w:val="en-US"/>
        </w:rPr>
        <w:t>, p &lt; 0.0001).</w:t>
      </w:r>
    </w:p>
    <w:p w14:paraId="3BE3E9DE" w14:textId="77777777" w:rsidR="00316740" w:rsidRDefault="00316740" w:rsidP="00316740">
      <w:pPr>
        <w:rPr>
          <w:lang w:val="en-US"/>
        </w:rPr>
      </w:pPr>
      <w:r>
        <w:rPr>
          <w:lang w:val="en-US"/>
        </w:rPr>
        <w:t xml:space="preserve">I then </w:t>
      </w:r>
      <w:proofErr w:type="spellStart"/>
      <w:r>
        <w:rPr>
          <w:lang w:val="en-US"/>
        </w:rPr>
        <w:t>analysed</w:t>
      </w:r>
      <w:proofErr w:type="spellEnd"/>
      <w:r>
        <w:rPr>
          <w:lang w:val="en-US"/>
        </w:rPr>
        <w:t xml:space="preserve"> the effects of the parameters on variance and covariance, again using a linear mixed effects model, and choosing to focus on the variance of trait 1 and covariance between traits 1 and 2 as a proxy for all of the variance and covariance terms. I did a more complete analysis of the total variance-covariance structure with PCA and relative PCA later on. </w:t>
      </w:r>
      <w:r>
        <w:rPr>
          <w:b/>
          <w:lang w:val="en-US"/>
        </w:rPr>
        <w:t xml:space="preserve">Nonsense linear regression results – by adding other factors, </w:t>
      </w:r>
      <w:proofErr w:type="spellStart"/>
      <w:r>
        <w:rPr>
          <w:b/>
          <w:lang w:val="en-US"/>
        </w:rPr>
        <w:t>delmu</w:t>
      </w:r>
      <w:proofErr w:type="spellEnd"/>
      <w:r>
        <w:rPr>
          <w:b/>
          <w:lang w:val="en-US"/>
        </w:rPr>
        <w:t xml:space="preserve"> increases variation (?), despite the actual data not fitting that trend at all, but by excluding the other factors </w:t>
      </w:r>
      <w:proofErr w:type="spellStart"/>
      <w:r>
        <w:rPr>
          <w:b/>
          <w:lang w:val="en-US"/>
        </w:rPr>
        <w:t>delmu</w:t>
      </w:r>
      <w:proofErr w:type="spellEnd"/>
      <w:r>
        <w:rPr>
          <w:b/>
          <w:lang w:val="en-US"/>
        </w:rPr>
        <w:t xml:space="preserve"> decreases variation?</w:t>
      </w:r>
    </w:p>
    <w:p w14:paraId="3165EE66" w14:textId="77777777" w:rsidR="00316740" w:rsidRDefault="00316740" w:rsidP="004F0C57">
      <w:pPr>
        <w:rPr>
          <w:lang w:val="en-US"/>
        </w:rPr>
      </w:pPr>
    </w:p>
    <w:p w14:paraId="2E779034" w14:textId="56439834" w:rsidR="00316740" w:rsidRDefault="00EA3377" w:rsidP="004F0C57">
      <w:pPr>
        <w:rPr>
          <w:lang w:val="en-US"/>
        </w:rPr>
      </w:pPr>
      <w:r>
        <w:rPr>
          <w:noProof/>
          <w:lang w:eastAsia="en-AU"/>
        </w:rPr>
        <w:lastRenderedPageBreak/>
        <w:drawing>
          <wp:inline distT="0" distB="0" distL="0" distR="0" wp14:anchorId="6781E1C1" wp14:editId="538FFF57">
            <wp:extent cx="5924550" cy="2609850"/>
            <wp:effectExtent l="0" t="0" r="0" b="0"/>
            <wp:docPr id="2" name="Picture 2" descr="C:\Users\Nick\AppData\Local\Microsoft\Windows\INetCache\Content.Word\GEllips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k\AppData\Local\Microsoft\Windows\INetCache\Content.Word\GEllipse_pl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609850"/>
                    </a:xfrm>
                    <a:prstGeom prst="rect">
                      <a:avLst/>
                    </a:prstGeom>
                    <a:noFill/>
                    <a:ln>
                      <a:noFill/>
                    </a:ln>
                  </pic:spPr>
                </pic:pic>
              </a:graphicData>
            </a:graphic>
          </wp:inline>
        </w:drawing>
      </w:r>
    </w:p>
    <w:p w14:paraId="72C8EF76" w14:textId="67A70190" w:rsidR="00EA1E67" w:rsidRDefault="00EA1E67" w:rsidP="004F0C57">
      <w:pPr>
        <w:rPr>
          <w:lang w:val="en-US"/>
        </w:rPr>
      </w:pPr>
    </w:p>
    <w:p w14:paraId="2819E874" w14:textId="19382610" w:rsidR="001843C9" w:rsidRPr="00EA3377" w:rsidRDefault="00E27891" w:rsidP="004F0C57">
      <w:pPr>
        <w:rPr>
          <w:lang w:val="en-US"/>
        </w:rPr>
      </w:pPr>
      <w:r>
        <w:rPr>
          <w:lang w:val="en-US"/>
        </w:rPr>
        <w:t xml:space="preserve">Figure 1 </w:t>
      </w:r>
      <w:r w:rsidR="00EA3377">
        <w:rPr>
          <w:lang w:val="en-US"/>
        </w:rPr>
        <w:t xml:space="preserve">– </w:t>
      </w:r>
      <w:r w:rsidR="00EA3377">
        <w:rPr>
          <w:b/>
          <w:lang w:val="en-US"/>
        </w:rPr>
        <w:t xml:space="preserve">G </w:t>
      </w:r>
      <w:r w:rsidR="00EA3377">
        <w:rPr>
          <w:lang w:val="en-US"/>
        </w:rPr>
        <w:t>ellipses by the parameters. Parameter values increase from left to right.</w:t>
      </w:r>
    </w:p>
    <w:p w14:paraId="38D2FDF3" w14:textId="77777777" w:rsidR="00521BDE" w:rsidRDefault="00521BDE" w:rsidP="004F0C57">
      <w:pPr>
        <w:rPr>
          <w:lang w:val="en-US"/>
        </w:rPr>
      </w:pPr>
    </w:p>
    <w:p w14:paraId="116518D0" w14:textId="279406BA" w:rsidR="00521BDE" w:rsidRDefault="00F04D37" w:rsidP="004F0C57">
      <w:pPr>
        <w:rPr>
          <w:lang w:val="en-US"/>
        </w:rPr>
      </w:pPr>
      <w:r>
        <w:rPr>
          <w:lang w:val="en-US"/>
        </w:rPr>
        <w:pict w14:anchorId="0796F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26pt">
            <v:imagedata r:id="rId7" o:title="logGV_means"/>
          </v:shape>
        </w:pict>
      </w:r>
    </w:p>
    <w:p w14:paraId="2289A97C" w14:textId="11BD1498" w:rsidR="00445817" w:rsidRDefault="00521BDE" w:rsidP="004F0C57">
      <w:pPr>
        <w:rPr>
          <w:lang w:val="en-US"/>
        </w:rPr>
      </w:pPr>
      <w:r>
        <w:rPr>
          <w:lang w:val="en-US"/>
        </w:rPr>
        <w:t>Figure</w:t>
      </w:r>
      <w:r w:rsidR="001843C9">
        <w:rPr>
          <w:lang w:val="en-US"/>
        </w:rPr>
        <w:t xml:space="preserve"> 2</w:t>
      </w:r>
      <w:r>
        <w:rPr>
          <w:lang w:val="en-US"/>
        </w:rPr>
        <w:t xml:space="preserve"> – Mean differences in log generalized variance between relative principal components analysis outcomes comparing similar models and distinctive models by deleterious mutation rate/background selection prevalence, mutational pleiotropic correlation, rate of pleiotropy, recombination rate, and additive effect size. </w:t>
      </w:r>
      <w:r w:rsidR="00E316DF">
        <w:rPr>
          <w:lang w:val="en-US"/>
        </w:rPr>
        <w:t>All pairwise comparisons were significant.</w:t>
      </w: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30860AFC" w:rsidR="00445817" w:rsidRDefault="00445817" w:rsidP="004F0C57">
      <w:pPr>
        <w:rPr>
          <w:lang w:val="en-US"/>
        </w:rPr>
      </w:pPr>
      <w:r>
        <w:rPr>
          <w:noProof/>
          <w:lang w:eastAsia="en-AU"/>
        </w:rPr>
        <w:drawing>
          <wp:inline distT="0" distB="0" distL="0" distR="0" wp14:anchorId="48625904" wp14:editId="395CEAEB">
            <wp:extent cx="5943600" cy="2819400"/>
            <wp:effectExtent l="0" t="0" r="0" b="0"/>
            <wp:docPr id="1" name="Picture 1" descr="C:\Users\Nick\AppData\Local\Microsoft\Windows\INetCache\Content.Word\logGV_d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AppData\Local\Microsoft\Windows\INetCache\Content.Word\logGV_de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117ADEA6" w14:textId="6E9E424C" w:rsidR="00445817" w:rsidRDefault="00F04D37" w:rsidP="004F0C57">
      <w:pPr>
        <w:rPr>
          <w:lang w:val="en-US"/>
        </w:rPr>
      </w:pPr>
      <w:r>
        <w:rPr>
          <w:lang w:val="en-US"/>
        </w:rPr>
        <w:lastRenderedPageBreak/>
        <w:pict w14:anchorId="11A7A1BF">
          <v:shape id="_x0000_i1026" type="#_x0000_t75" style="width:467.7pt;height:224.75pt">
            <v:imagedata r:id="rId9" o:title="logGV_dists"/>
          </v:shape>
        </w:pict>
      </w:r>
      <w:r>
        <w:rPr>
          <w:lang w:val="en-US"/>
        </w:rPr>
        <w:pict w14:anchorId="068B767C">
          <v:shape id="_x0000_i1027" type="#_x0000_t75" style="width:467.7pt;height:281.1pt">
            <v:imagedata r:id="rId10" o:title="violin_logGV_extremes_PW"/>
          </v:shape>
        </w:pict>
      </w:r>
    </w:p>
    <w:p w14:paraId="3CAD1B14" w14:textId="77777777" w:rsidR="00445817" w:rsidRDefault="00445817" w:rsidP="004F0C57">
      <w:pPr>
        <w:rPr>
          <w:lang w:val="en-US"/>
        </w:rPr>
      </w:pPr>
    </w:p>
    <w:p w14:paraId="57F4A2B5" w14:textId="2E08F132" w:rsidR="00445817" w:rsidRDefault="00445817" w:rsidP="004F0C57">
      <w:pPr>
        <w:rPr>
          <w:lang w:val="en-US"/>
        </w:rPr>
      </w:pPr>
      <w:r w:rsidRPr="0044538A">
        <w:rPr>
          <w:highlight w:val="yellow"/>
          <w:lang w:val="en-US"/>
        </w:rPr>
        <w:t>One of these for Figure</w:t>
      </w:r>
      <w:r w:rsidR="001843C9">
        <w:rPr>
          <w:highlight w:val="yellow"/>
          <w:lang w:val="en-US"/>
        </w:rPr>
        <w:t xml:space="preserve"> 3</w:t>
      </w:r>
    </w:p>
    <w:p w14:paraId="1382B74C" w14:textId="77777777" w:rsidR="00C95026" w:rsidRDefault="00C95026" w:rsidP="004F0C57">
      <w:pPr>
        <w:rPr>
          <w:lang w:val="en-US"/>
        </w:rPr>
      </w:pPr>
    </w:p>
    <w:p w14:paraId="18BE9A08" w14:textId="77777777" w:rsidR="00C95026" w:rsidRDefault="00C95026" w:rsidP="004F0C57">
      <w:pPr>
        <w:rPr>
          <w:lang w:val="en-US"/>
        </w:rPr>
      </w:pPr>
    </w:p>
    <w:p w14:paraId="6327D9F4" w14:textId="77777777" w:rsidR="00C95026" w:rsidRDefault="00C95026" w:rsidP="004F0C57">
      <w:pPr>
        <w:rPr>
          <w:lang w:val="en-US"/>
        </w:rPr>
      </w:pPr>
    </w:p>
    <w:p w14:paraId="0AE15690" w14:textId="40C731EC" w:rsidR="00C95026" w:rsidRDefault="008563F4" w:rsidP="004F0C57">
      <w:pPr>
        <w:rPr>
          <w:lang w:val="en-US"/>
        </w:rPr>
      </w:pPr>
      <w:r>
        <w:rPr>
          <w:noProof/>
          <w:lang w:eastAsia="en-AU"/>
        </w:rPr>
        <w:lastRenderedPageBreak/>
        <w:drawing>
          <wp:inline distT="0" distB="0" distL="0" distR="0" wp14:anchorId="7B249B2A" wp14:editId="05A25C9A">
            <wp:extent cx="5931535" cy="2623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2623820"/>
                    </a:xfrm>
                    <a:prstGeom prst="rect">
                      <a:avLst/>
                    </a:prstGeom>
                    <a:noFill/>
                    <a:ln>
                      <a:noFill/>
                    </a:ln>
                  </pic:spPr>
                </pic:pic>
              </a:graphicData>
            </a:graphic>
          </wp:inline>
        </w:drawing>
      </w:r>
    </w:p>
    <w:p w14:paraId="01C27B87" w14:textId="1C57C929" w:rsidR="00C95026" w:rsidRDefault="00E27891" w:rsidP="004F0C57">
      <w:pPr>
        <w:rPr>
          <w:lang w:val="en-US"/>
        </w:rPr>
      </w:pPr>
      <w:r>
        <w:rPr>
          <w:lang w:val="en-US"/>
        </w:rPr>
        <w:t xml:space="preserve">Figure 4 – </w:t>
      </w:r>
      <w:r w:rsidRPr="00E27891">
        <w:rPr>
          <w:b/>
          <w:lang w:val="en-US"/>
        </w:rPr>
        <w:t>G</w:t>
      </w:r>
      <w:r>
        <w:rPr>
          <w:lang w:val="en-US"/>
        </w:rPr>
        <w:t xml:space="preserve"> Ellipses for different parameters: left to right is increasing values of the given parameter, top to bottom is decreasing strength of selection.</w:t>
      </w:r>
    </w:p>
    <w:p w14:paraId="4A0312AA" w14:textId="77777777" w:rsidR="00EF7908" w:rsidRDefault="00EF7908" w:rsidP="004F0C57">
      <w:pPr>
        <w:rPr>
          <w:lang w:val="en-US"/>
        </w:rPr>
      </w:pPr>
    </w:p>
    <w:p w14:paraId="02FC8298" w14:textId="77777777" w:rsidR="00EF7908" w:rsidRDefault="00EF7908" w:rsidP="004F0C57">
      <w:pPr>
        <w:rPr>
          <w:lang w:val="en-US"/>
        </w:rPr>
      </w:pPr>
    </w:p>
    <w:p w14:paraId="2C2AB5E5" w14:textId="546134AE" w:rsidR="00EF7908" w:rsidRDefault="008563F4" w:rsidP="004F0C57">
      <w:pPr>
        <w:rPr>
          <w:lang w:val="en-US"/>
        </w:rPr>
      </w:pPr>
      <w:r>
        <w:rPr>
          <w:noProof/>
          <w:lang w:eastAsia="en-AU"/>
        </w:rPr>
        <w:drawing>
          <wp:inline distT="0" distB="0" distL="0" distR="0" wp14:anchorId="028BCAB5" wp14:editId="78223BE8">
            <wp:extent cx="5939790" cy="27031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7D90E044" w14:textId="77777777" w:rsidR="00EF7908" w:rsidRDefault="00EF7908" w:rsidP="004F0C57">
      <w:pPr>
        <w:rPr>
          <w:lang w:val="en-US"/>
        </w:rPr>
      </w:pPr>
    </w:p>
    <w:p w14:paraId="72EFD713" w14:textId="3CEF648E" w:rsidR="00EF7908" w:rsidRDefault="00EF7908" w:rsidP="004F0C57">
      <w:pPr>
        <w:rPr>
          <w:lang w:val="en-US"/>
        </w:rPr>
      </w:pPr>
      <w:r>
        <w:rPr>
          <w:lang w:val="en-US"/>
        </w:rPr>
        <w:t>Figure 5 – Mean differences in log generalized variance among groups under selection</w:t>
      </w:r>
    </w:p>
    <w:p w14:paraId="04E87123" w14:textId="77777777" w:rsidR="00EF7908" w:rsidRDefault="00EF7908" w:rsidP="004F0C57">
      <w:pPr>
        <w:rPr>
          <w:lang w:val="en-US"/>
        </w:rPr>
      </w:pPr>
    </w:p>
    <w:p w14:paraId="60C03D78" w14:textId="77777777" w:rsidR="00EF7908" w:rsidRDefault="00EF7908" w:rsidP="004F0C57">
      <w:pPr>
        <w:rPr>
          <w:lang w:val="en-US"/>
        </w:rPr>
      </w:pPr>
    </w:p>
    <w:p w14:paraId="5BCB0E6E" w14:textId="1316035C" w:rsidR="001F7463" w:rsidRDefault="001F7463" w:rsidP="004F0C57">
      <w:pPr>
        <w:rPr>
          <w:lang w:val="en-US"/>
        </w:rPr>
      </w:pPr>
    </w:p>
    <w:p w14:paraId="17F585BA" w14:textId="04F52DA5" w:rsidR="001F7463" w:rsidRDefault="008563F4" w:rsidP="004F0C57">
      <w:pPr>
        <w:rPr>
          <w:lang w:val="en-US"/>
        </w:rPr>
      </w:pPr>
      <w:r>
        <w:rPr>
          <w:noProof/>
          <w:lang w:eastAsia="en-AU"/>
        </w:rPr>
        <w:drawing>
          <wp:inline distT="0" distB="0" distL="0" distR="0" wp14:anchorId="2CA10E93" wp14:editId="2F08B37C">
            <wp:extent cx="5939790" cy="27031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r>
        <w:rPr>
          <w:noProof/>
          <w:lang w:eastAsia="en-AU"/>
        </w:rPr>
        <w:drawing>
          <wp:inline distT="0" distB="0" distL="0" distR="0" wp14:anchorId="0ADC3981" wp14:editId="2C2F1607">
            <wp:extent cx="5939790" cy="27031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4CE4BA21" w14:textId="6CA166ED" w:rsidR="008563F4" w:rsidRDefault="008563F4" w:rsidP="004F0C57">
      <w:pPr>
        <w:rPr>
          <w:lang w:val="en-US"/>
        </w:rPr>
      </w:pPr>
      <w:r>
        <w:rPr>
          <w:noProof/>
          <w:lang w:eastAsia="en-AU"/>
        </w:rPr>
        <w:lastRenderedPageBreak/>
        <w:drawing>
          <wp:inline distT="0" distB="0" distL="0" distR="0" wp14:anchorId="12F9A693" wp14:editId="13638992">
            <wp:extent cx="5939790" cy="270319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61213B23" w14:textId="52E68A2D" w:rsidR="001F7463" w:rsidRPr="001F7463" w:rsidRDefault="001F7463" w:rsidP="004F0C57">
      <w:pPr>
        <w:rPr>
          <w:b/>
          <w:lang w:val="en-US"/>
        </w:rPr>
      </w:pPr>
      <w:r>
        <w:rPr>
          <w:b/>
          <w:lang w:val="en-US"/>
        </w:rPr>
        <w:t>One of these for figure 6</w:t>
      </w:r>
    </w:p>
    <w:p w14:paraId="4117FC66" w14:textId="77777777" w:rsidR="001F7463" w:rsidRDefault="001F7463" w:rsidP="004F0C57">
      <w:pPr>
        <w:rPr>
          <w:lang w:val="en-US"/>
        </w:rPr>
      </w:pPr>
    </w:p>
    <w:p w14:paraId="20CA34C5" w14:textId="77777777" w:rsidR="00CF3C11" w:rsidRDefault="00CF3C11" w:rsidP="004F0C57">
      <w:pPr>
        <w:rPr>
          <w:lang w:val="en-US"/>
        </w:rPr>
      </w:pPr>
    </w:p>
    <w:p w14:paraId="08573F70" w14:textId="4CDF14F5" w:rsidR="00CF3C11" w:rsidRDefault="00F04D37" w:rsidP="004F0C57">
      <w:pPr>
        <w:rPr>
          <w:lang w:val="en-US"/>
        </w:rPr>
      </w:pPr>
      <w:r>
        <w:rPr>
          <w:lang w:val="en-US"/>
        </w:rPr>
        <w:pict w14:anchorId="0D64980D">
          <v:shape id="_x0000_i1028" type="#_x0000_t75" style="width:467.05pt;height:206.6pt">
            <v:imagedata r:id="rId16" o:title="sel_eucdist"/>
          </v:shape>
        </w:pict>
      </w:r>
    </w:p>
    <w:p w14:paraId="5050F5F3" w14:textId="77777777" w:rsidR="00CF3C11" w:rsidRDefault="00CF3C11" w:rsidP="004F0C57">
      <w:pPr>
        <w:rPr>
          <w:lang w:val="en-US"/>
        </w:rPr>
      </w:pPr>
    </w:p>
    <w:p w14:paraId="4CF857FF" w14:textId="48644718" w:rsidR="00CF3C11" w:rsidRDefault="00CF3C11" w:rsidP="004F0C57">
      <w:pPr>
        <w:rPr>
          <w:lang w:val="en-US"/>
        </w:rPr>
        <w:sectPr w:rsidR="00CF3C11">
          <w:pgSz w:w="12240" w:h="15840"/>
          <w:pgMar w:top="1440" w:right="1440" w:bottom="1440" w:left="1440" w:header="720" w:footer="720" w:gutter="0"/>
          <w:cols w:space="720"/>
          <w:docGrid w:linePitch="360"/>
        </w:sectPr>
      </w:pPr>
      <w:r>
        <w:rPr>
          <w:lang w:val="en-US"/>
        </w:rPr>
        <w:t>Figure 7 – Euclidean distance from the optimum by parameter and selection strength</w:t>
      </w: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E3C36F7" w:rsidR="00564ED3" w:rsidRDefault="003E2D3D" w:rsidP="003E2D3D">
            <w:pPr>
              <w:tabs>
                <w:tab w:val="left" w:pos="300"/>
                <w:tab w:val="center" w:pos="817"/>
              </w:tabs>
              <w:rPr>
                <w:lang w:val="en-US"/>
              </w:rPr>
            </w:pPr>
            <w:r>
              <w:rPr>
                <w:lang w:val="en-US"/>
              </w:rPr>
              <w:tab/>
            </w:r>
            <w:r>
              <w:rPr>
                <w:lang w:val="en-US"/>
              </w:rPr>
              <w:tab/>
            </w:r>
            <w:r w:rsidR="00564ED3">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proofErr w:type="spellStart"/>
            <w:r>
              <w:rPr>
                <w:lang w:val="en-US"/>
              </w:rPr>
              <w:t>Stapley</w:t>
            </w:r>
            <w:proofErr w:type="spellEnd"/>
            <w:r>
              <w:rPr>
                <w:lang w:val="en-US"/>
              </w:rPr>
              <w:t xml:space="preserve">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non-trait</w:t>
            </w:r>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ay be changed by this parameter. H</w:t>
            </w:r>
            <w:r>
              <w:rPr>
                <w:lang w:val="en-US"/>
              </w:rPr>
              <w:t xml:space="preserve">owever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proofErr w:type="spellStart"/>
            <w:r>
              <w:rPr>
                <w:lang w:val="en-US"/>
              </w:rPr>
              <w:t>Chesmore</w:t>
            </w:r>
            <w:proofErr w:type="spellEnd"/>
            <w:r>
              <w:rPr>
                <w:lang w:val="en-US"/>
              </w:rPr>
              <w:t xml:space="preserv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Additive effect size controls the variance of trait effect size around mean 0, so that N(0,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D0999C6" w14:textId="6CC96FE7" w:rsidR="00C95026" w:rsidRDefault="00C95026" w:rsidP="00C95026">
      <w:r w:rsidRPr="00C95026">
        <w:lastRenderedPageBreak/>
        <w:t>Table 2:</w:t>
      </w:r>
      <w:r>
        <w:t xml:space="preserve"> Test results for Kolmogorov-Smirnov tests between distributions of log </w:t>
      </w:r>
      <w:r w:rsidR="00E82625">
        <w:t>generalized</w:t>
      </w:r>
      <w:r>
        <w:t xml:space="preserve"> variance, the output of relative PCA comparing similar and distinct pairs of parameter models.</w:t>
      </w:r>
      <w:r w:rsidR="00C51B89">
        <w:t xml:space="preserve"> All tests were two-sided.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1B89" w14:paraId="42ABC0F2" w14:textId="77777777" w:rsidTr="009D5B9C">
        <w:tc>
          <w:tcPr>
            <w:tcW w:w="3116" w:type="dxa"/>
            <w:tcBorders>
              <w:bottom w:val="single" w:sz="4" w:space="0" w:color="auto"/>
            </w:tcBorders>
          </w:tcPr>
          <w:p w14:paraId="1DDF9BF5" w14:textId="7B83607C" w:rsidR="00C51B89" w:rsidRDefault="00C51B89" w:rsidP="00CE774A">
            <w:r>
              <w:t>Model parameter</w:t>
            </w:r>
          </w:p>
        </w:tc>
        <w:tc>
          <w:tcPr>
            <w:tcW w:w="3117" w:type="dxa"/>
            <w:tcBorders>
              <w:bottom w:val="single" w:sz="4" w:space="0" w:color="auto"/>
            </w:tcBorders>
          </w:tcPr>
          <w:p w14:paraId="266EB715" w14:textId="1B452E9D" w:rsidR="00C51B89" w:rsidRDefault="00C51B89" w:rsidP="00CE774A">
            <w:r>
              <w:t>D statistic</w:t>
            </w:r>
          </w:p>
        </w:tc>
        <w:tc>
          <w:tcPr>
            <w:tcW w:w="3117" w:type="dxa"/>
            <w:tcBorders>
              <w:bottom w:val="single" w:sz="4" w:space="0" w:color="auto"/>
            </w:tcBorders>
          </w:tcPr>
          <w:p w14:paraId="00727980" w14:textId="1FDC1B1E" w:rsidR="00C51B89" w:rsidRDefault="00C51B89" w:rsidP="00CE774A">
            <w:r>
              <w:t>p-value</w:t>
            </w:r>
          </w:p>
        </w:tc>
      </w:tr>
      <w:tr w:rsidR="00C51B89" w14:paraId="49BB5996" w14:textId="77777777" w:rsidTr="009D5B9C">
        <w:tc>
          <w:tcPr>
            <w:tcW w:w="3116" w:type="dxa"/>
            <w:tcBorders>
              <w:top w:val="single" w:sz="4" w:space="0" w:color="auto"/>
            </w:tcBorders>
          </w:tcPr>
          <w:p w14:paraId="5215EC84" w14:textId="481A027E" w:rsidR="00C51B89" w:rsidRDefault="00C51B89" w:rsidP="00C95026">
            <w:r>
              <w:t>Deleterious mutation</w:t>
            </w:r>
          </w:p>
        </w:tc>
        <w:tc>
          <w:tcPr>
            <w:tcW w:w="3117" w:type="dxa"/>
            <w:tcBorders>
              <w:top w:val="single" w:sz="4" w:space="0" w:color="auto"/>
            </w:tcBorders>
          </w:tcPr>
          <w:p w14:paraId="2E1F58C6" w14:textId="7E384E7D" w:rsidR="00C51B89" w:rsidRDefault="00C51B89" w:rsidP="00CE774A">
            <w:r>
              <w:t>0.13168</w:t>
            </w:r>
          </w:p>
        </w:tc>
        <w:tc>
          <w:tcPr>
            <w:tcW w:w="3117" w:type="dxa"/>
            <w:tcBorders>
              <w:top w:val="single" w:sz="4" w:space="0" w:color="auto"/>
            </w:tcBorders>
          </w:tcPr>
          <w:p w14:paraId="039D6F16" w14:textId="5128161C" w:rsidR="00C51B89" w:rsidRDefault="00C51B89" w:rsidP="00CE774A">
            <w:r>
              <w:t>&lt;0.0001</w:t>
            </w:r>
          </w:p>
        </w:tc>
      </w:tr>
      <w:tr w:rsidR="00C51B89" w14:paraId="7120D6B8" w14:textId="77777777" w:rsidTr="009D5B9C">
        <w:tc>
          <w:tcPr>
            <w:tcW w:w="3116" w:type="dxa"/>
          </w:tcPr>
          <w:p w14:paraId="3368AAFB" w14:textId="7A1976D2" w:rsidR="00C51B89" w:rsidRDefault="00C51B89" w:rsidP="00C95026">
            <w:r>
              <w:t>Recombination rate</w:t>
            </w:r>
          </w:p>
        </w:tc>
        <w:tc>
          <w:tcPr>
            <w:tcW w:w="3117" w:type="dxa"/>
          </w:tcPr>
          <w:p w14:paraId="517430B4" w14:textId="09E4FE07" w:rsidR="00C51B89" w:rsidRDefault="00C51B89" w:rsidP="00CE774A">
            <w:r>
              <w:t>0.11125</w:t>
            </w:r>
          </w:p>
        </w:tc>
        <w:tc>
          <w:tcPr>
            <w:tcW w:w="3117" w:type="dxa"/>
          </w:tcPr>
          <w:p w14:paraId="717D5B34" w14:textId="30F1FB74" w:rsidR="00C51B89" w:rsidRDefault="00C51B89" w:rsidP="00CE774A">
            <w:r>
              <w:t>&lt;0.0001</w:t>
            </w:r>
          </w:p>
        </w:tc>
      </w:tr>
      <w:tr w:rsidR="00C51B89" w14:paraId="0D7F32FD" w14:textId="77777777" w:rsidTr="009D5B9C">
        <w:tc>
          <w:tcPr>
            <w:tcW w:w="3116" w:type="dxa"/>
          </w:tcPr>
          <w:p w14:paraId="13DA425D" w14:textId="3DF04735" w:rsidR="00C51B89" w:rsidRDefault="00C51B89" w:rsidP="00C95026">
            <w:r>
              <w:t>Pleiotropic correlation</w:t>
            </w:r>
          </w:p>
        </w:tc>
        <w:tc>
          <w:tcPr>
            <w:tcW w:w="3117" w:type="dxa"/>
          </w:tcPr>
          <w:p w14:paraId="3730A474" w14:textId="4C3FA537" w:rsidR="00C51B89" w:rsidRDefault="00C51B89" w:rsidP="00CE774A">
            <w:r>
              <w:t>0.061734</w:t>
            </w:r>
          </w:p>
        </w:tc>
        <w:tc>
          <w:tcPr>
            <w:tcW w:w="3117" w:type="dxa"/>
          </w:tcPr>
          <w:p w14:paraId="6021D898" w14:textId="40B2151C" w:rsidR="00C51B89" w:rsidRDefault="00C51B89" w:rsidP="00CE774A">
            <w:r>
              <w:t>&lt;0.0001</w:t>
            </w:r>
          </w:p>
        </w:tc>
      </w:tr>
      <w:tr w:rsidR="00C51B89" w14:paraId="4EEFE29E" w14:textId="77777777" w:rsidTr="009D5B9C">
        <w:tc>
          <w:tcPr>
            <w:tcW w:w="3116" w:type="dxa"/>
          </w:tcPr>
          <w:p w14:paraId="63D3B95F" w14:textId="45E88BE7" w:rsidR="00C51B89" w:rsidRDefault="00C51B89" w:rsidP="00C95026">
            <w:r>
              <w:t>Pleiotropy rate</w:t>
            </w:r>
          </w:p>
        </w:tc>
        <w:tc>
          <w:tcPr>
            <w:tcW w:w="3117" w:type="dxa"/>
          </w:tcPr>
          <w:p w14:paraId="4C7B6AD2" w14:textId="0AE09CC1" w:rsidR="00C51B89" w:rsidRDefault="00C51B89" w:rsidP="00CE774A">
            <w:r>
              <w:t>0.073615</w:t>
            </w:r>
          </w:p>
        </w:tc>
        <w:tc>
          <w:tcPr>
            <w:tcW w:w="3117" w:type="dxa"/>
          </w:tcPr>
          <w:p w14:paraId="35BDD70D" w14:textId="65EA59D3" w:rsidR="00C51B89" w:rsidRDefault="00C51B89" w:rsidP="00CE774A">
            <w:r>
              <w:t>&lt;0.0001</w:t>
            </w:r>
          </w:p>
        </w:tc>
      </w:tr>
      <w:tr w:rsidR="00C51B89" w14:paraId="1CE3C4E9" w14:textId="77777777" w:rsidTr="009D5B9C">
        <w:tc>
          <w:tcPr>
            <w:tcW w:w="3116" w:type="dxa"/>
            <w:tcBorders>
              <w:bottom w:val="single" w:sz="4" w:space="0" w:color="auto"/>
            </w:tcBorders>
          </w:tcPr>
          <w:p w14:paraId="63D59985" w14:textId="054BF9FC" w:rsidR="00C51B89" w:rsidRDefault="00C51B89" w:rsidP="00C95026">
            <w:r>
              <w:t>Additive effect size</w:t>
            </w:r>
          </w:p>
        </w:tc>
        <w:tc>
          <w:tcPr>
            <w:tcW w:w="3117" w:type="dxa"/>
            <w:tcBorders>
              <w:bottom w:val="single" w:sz="4" w:space="0" w:color="auto"/>
            </w:tcBorders>
          </w:tcPr>
          <w:p w14:paraId="146F6028" w14:textId="6A84D8F4" w:rsidR="00C51B89" w:rsidRDefault="00C51B89" w:rsidP="00CE774A">
            <w:r>
              <w:t>0.1044</w:t>
            </w:r>
          </w:p>
        </w:tc>
        <w:tc>
          <w:tcPr>
            <w:tcW w:w="3117" w:type="dxa"/>
            <w:tcBorders>
              <w:bottom w:val="single" w:sz="4" w:space="0" w:color="auto"/>
            </w:tcBorders>
          </w:tcPr>
          <w:p w14:paraId="0FC89409" w14:textId="0583F8AA" w:rsidR="00C51B89" w:rsidRDefault="00C51B89" w:rsidP="00CE774A">
            <w:r>
              <w:t>&lt;0.0001</w:t>
            </w:r>
          </w:p>
        </w:tc>
      </w:tr>
    </w:tbl>
    <w:p w14:paraId="145D0F76" w14:textId="77777777" w:rsidR="00C95026" w:rsidRDefault="00C95026" w:rsidP="00EF444B"/>
    <w:p w14:paraId="5126D3C5" w14:textId="77777777" w:rsidR="00C95026" w:rsidRDefault="00C95026" w:rsidP="00EF444B"/>
    <w:p w14:paraId="5997055B" w14:textId="77777777" w:rsidR="00C95026" w:rsidRDefault="00C95026" w:rsidP="00EF444B"/>
    <w:p w14:paraId="11B55744" w14:textId="77777777" w:rsidR="00C95026" w:rsidRDefault="00C95026" w:rsidP="00EF444B"/>
    <w:p w14:paraId="559E4BE5" w14:textId="77777777" w:rsidR="00684609" w:rsidRDefault="001D7B57" w:rsidP="001D7B57">
      <w:pPr>
        <w:pStyle w:val="Heading1"/>
      </w:pPr>
      <w:r>
        <w:t>References</w:t>
      </w:r>
    </w:p>
    <w:p w14:paraId="7C898D1C" w14:textId="77777777" w:rsidR="00D952B4" w:rsidRPr="00D952B4" w:rsidRDefault="00684609" w:rsidP="00D952B4">
      <w:pPr>
        <w:pStyle w:val="EndNoteBibliography"/>
        <w:spacing w:after="0"/>
        <w:ind w:left="720" w:hanging="720"/>
      </w:pPr>
      <w:r>
        <w:fldChar w:fldCharType="begin"/>
      </w:r>
      <w:r>
        <w:instrText xml:space="preserve"> ADDIN EN.REFLIST </w:instrText>
      </w:r>
      <w:r>
        <w:fldChar w:fldCharType="separate"/>
      </w:r>
      <w:r w:rsidR="00D952B4" w:rsidRPr="00D952B4">
        <w:t>Aguirre, J. D., E. Hine, K. McGuigan and M. W. Blows, 2014 Comparing G: multivariate analysis of genetic variation in multiple populations. Heredity 112</w:t>
      </w:r>
      <w:r w:rsidR="00D952B4" w:rsidRPr="00D952B4">
        <w:rPr>
          <w:b/>
        </w:rPr>
        <w:t>:</w:t>
      </w:r>
      <w:r w:rsidR="00D952B4" w:rsidRPr="00D952B4">
        <w:t xml:space="preserve"> 21-29.</w:t>
      </w:r>
    </w:p>
    <w:p w14:paraId="38B28D2E" w14:textId="77777777" w:rsidR="00D952B4" w:rsidRPr="00D952B4" w:rsidRDefault="00D952B4" w:rsidP="00D952B4">
      <w:pPr>
        <w:pStyle w:val="EndNoteBibliography"/>
        <w:spacing w:after="0"/>
        <w:ind w:left="720" w:hanging="720"/>
      </w:pPr>
      <w:r w:rsidRPr="00D952B4">
        <w:t>Aston, E., A. Channon, R. V. Belavkin, D. R. Gifford, R. Krasovec</w:t>
      </w:r>
      <w:r w:rsidRPr="00D952B4">
        <w:rPr>
          <w:i/>
        </w:rPr>
        <w:t xml:space="preserve"> et al.</w:t>
      </w:r>
      <w:r w:rsidRPr="00D952B4">
        <w:t>, 2017 Critical Mutation Rate has an Exponential Dependence on Population Size for Eukaryotic-length Genomes with Crossover. Sci Rep 7</w:t>
      </w:r>
      <w:r w:rsidRPr="00D952B4">
        <w:rPr>
          <w:b/>
        </w:rPr>
        <w:t>:</w:t>
      </w:r>
      <w:r w:rsidRPr="00D952B4">
        <w:t xml:space="preserve"> 15519.</w:t>
      </w:r>
    </w:p>
    <w:p w14:paraId="5965A8DB" w14:textId="77777777" w:rsidR="00D952B4" w:rsidRPr="00D952B4" w:rsidRDefault="00D952B4" w:rsidP="00D952B4">
      <w:pPr>
        <w:pStyle w:val="EndNoteBibliography"/>
        <w:spacing w:after="0"/>
        <w:ind w:left="720" w:hanging="720"/>
      </w:pPr>
      <w:r w:rsidRPr="00D952B4">
        <w:t>Careau, V., M. E. Wolak, P. A. Carter and T. Garland, Jr., 2015 Evolution of the additive genetic variance-covariance matrix under continuous directional selection on a complex behavioural phenotype. Proc Biol Sci 282.</w:t>
      </w:r>
    </w:p>
    <w:p w14:paraId="6D4B6352" w14:textId="77777777" w:rsidR="00D952B4" w:rsidRPr="00D952B4" w:rsidRDefault="00D952B4" w:rsidP="00D952B4">
      <w:pPr>
        <w:pStyle w:val="EndNoteBibliography"/>
        <w:spacing w:after="0"/>
        <w:ind w:left="720" w:hanging="720"/>
      </w:pPr>
      <w:r w:rsidRPr="00D952B4">
        <w:t xml:space="preserve">Eicker, F., 1967 Limit theorems for regressions with unequal and dependent errors, pp. 59-82 in </w:t>
      </w:r>
      <w:r w:rsidRPr="00D952B4">
        <w:rPr>
          <w:i/>
        </w:rPr>
        <w:t>Proceedings of the Fifth Berkeley Symposium on Mathematical Statistics and Probability, Volume 1: Statistics</w:t>
      </w:r>
      <w:r w:rsidRPr="00D952B4">
        <w:t>. University of California Press, Berkeley, Calif.</w:t>
      </w:r>
    </w:p>
    <w:p w14:paraId="06724533" w14:textId="77777777" w:rsidR="00D952B4" w:rsidRPr="00D952B4" w:rsidRDefault="00D952B4" w:rsidP="00D952B4">
      <w:pPr>
        <w:pStyle w:val="EndNoteBibliography"/>
        <w:spacing w:after="0"/>
        <w:ind w:left="720" w:hanging="720"/>
      </w:pPr>
      <w:r w:rsidRPr="00D952B4">
        <w:t>Haller, B. C., and P. W. Messer, 2019 SLiM 3: Forward Genetic Simulations Beyond the Wright-Fisher Model. Molecular Biology and Evolution 36</w:t>
      </w:r>
      <w:r w:rsidRPr="00D952B4">
        <w:rPr>
          <w:b/>
        </w:rPr>
        <w:t>:</w:t>
      </w:r>
      <w:r w:rsidRPr="00D952B4">
        <w:t xml:space="preserve"> 632-637.</w:t>
      </w:r>
    </w:p>
    <w:p w14:paraId="4B8C6921" w14:textId="77777777" w:rsidR="00D952B4" w:rsidRPr="00D952B4" w:rsidRDefault="00D952B4" w:rsidP="00D952B4">
      <w:pPr>
        <w:pStyle w:val="EndNoteBibliography"/>
        <w:spacing w:after="0"/>
        <w:ind w:left="720" w:hanging="720"/>
      </w:pPr>
      <w:r w:rsidRPr="00D952B4">
        <w:t>Hine, E., S. F. Chenoweth, H. D. Rundle and M. W. Blows, 2009 Characterizing the evolution of genetic variance using genetic covariance tensors. Philos Trans R Soc Lond B Biol Sci 364</w:t>
      </w:r>
      <w:r w:rsidRPr="00D952B4">
        <w:rPr>
          <w:b/>
        </w:rPr>
        <w:t>:</w:t>
      </w:r>
      <w:r w:rsidRPr="00D952B4">
        <w:t xml:space="preserve"> 1567-1578.</w:t>
      </w:r>
    </w:p>
    <w:p w14:paraId="4C0BAADE" w14:textId="77777777" w:rsidR="00D952B4" w:rsidRPr="00D952B4" w:rsidRDefault="00D952B4" w:rsidP="00D952B4">
      <w:pPr>
        <w:pStyle w:val="EndNoteBibliography"/>
        <w:spacing w:after="0"/>
        <w:ind w:left="720" w:hanging="720"/>
      </w:pPr>
      <w:r w:rsidRPr="00D952B4">
        <w:t xml:space="preserve">Huber, P. J., 1967 The behavior of maximum likelihood estimates under nonstandard conditions, pp. 221-233 in </w:t>
      </w:r>
      <w:r w:rsidRPr="00D952B4">
        <w:rPr>
          <w:i/>
        </w:rPr>
        <w:t>Proceedings of the Fifth Berkeley Symposium on Mathematical Statistics and Probability, Volume 1: Statistics</w:t>
      </w:r>
      <w:r w:rsidRPr="00D952B4">
        <w:t>. University of California Press, Berkeley, Calif.</w:t>
      </w:r>
    </w:p>
    <w:p w14:paraId="28F21CDA" w14:textId="77777777" w:rsidR="00D952B4" w:rsidRPr="00D952B4" w:rsidRDefault="00D952B4" w:rsidP="00D952B4">
      <w:pPr>
        <w:pStyle w:val="EndNoteBibliography"/>
        <w:spacing w:after="0"/>
        <w:ind w:left="720" w:hanging="720"/>
      </w:pPr>
      <w:r w:rsidRPr="00D952B4">
        <w:t>Kimura, M., and J. F. Crow, 1964 The Number of Alleles That Can Be Maintained in a Finite Population. Genetics 49</w:t>
      </w:r>
      <w:r w:rsidRPr="00D952B4">
        <w:rPr>
          <w:b/>
        </w:rPr>
        <w:t>:</w:t>
      </w:r>
      <w:r w:rsidRPr="00D952B4">
        <w:t xml:space="preserve"> 725-738.</w:t>
      </w:r>
    </w:p>
    <w:p w14:paraId="04B1FC9A" w14:textId="77777777" w:rsidR="00D952B4" w:rsidRPr="00D952B4" w:rsidRDefault="00D952B4" w:rsidP="00D952B4">
      <w:pPr>
        <w:pStyle w:val="EndNoteBibliography"/>
        <w:spacing w:after="0"/>
        <w:ind w:left="720" w:hanging="720"/>
      </w:pPr>
      <w:r w:rsidRPr="00D952B4">
        <w:t>Le Maître, A., and P. Mitteroecker, 2019 Multivariate comparison of variance in R. Methods in Ecology and Evolution 10</w:t>
      </w:r>
      <w:r w:rsidRPr="00D952B4">
        <w:rPr>
          <w:b/>
        </w:rPr>
        <w:t>:</w:t>
      </w:r>
      <w:r w:rsidRPr="00D952B4">
        <w:t xml:space="preserve"> 1380-1392.</w:t>
      </w:r>
    </w:p>
    <w:p w14:paraId="4947008B" w14:textId="77777777" w:rsidR="00D952B4" w:rsidRPr="00D952B4" w:rsidRDefault="00D952B4" w:rsidP="00D952B4">
      <w:pPr>
        <w:pStyle w:val="EndNoteBibliography"/>
        <w:ind w:left="720" w:hanging="720"/>
      </w:pPr>
      <w:r w:rsidRPr="00D952B4">
        <w:rPr>
          <w:sz w:val="20"/>
        </w:rPr>
        <w:t>Long, J. A.</w:t>
      </w:r>
      <w:r w:rsidRPr="00D952B4">
        <w:t>, 2020 jtools: Analysis and Presentation of Social Scientific Data</w:t>
      </w:r>
    </w:p>
    <w:p w14:paraId="69E04B4D" w14:textId="77777777" w:rsidR="00D952B4" w:rsidRPr="00D952B4" w:rsidRDefault="00D952B4" w:rsidP="00D952B4">
      <w:pPr>
        <w:pStyle w:val="EndNoteBibliography"/>
        <w:spacing w:after="0"/>
      </w:pPr>
    </w:p>
    <w:p w14:paraId="40FCE2AC" w14:textId="77777777" w:rsidR="00D952B4" w:rsidRPr="00D952B4" w:rsidRDefault="00D952B4" w:rsidP="00D952B4">
      <w:pPr>
        <w:pStyle w:val="EndNoteBibliography"/>
        <w:spacing w:after="0"/>
        <w:ind w:left="720" w:hanging="720"/>
      </w:pPr>
      <w:r w:rsidRPr="00D952B4">
        <w:t>Lumley, T., P. Diehr, S. Emerson and L. Chen, 2002 The importance of the normality assumption in large public health data sets. Annu Rev Public Health 23</w:t>
      </w:r>
      <w:r w:rsidRPr="00D952B4">
        <w:rPr>
          <w:b/>
        </w:rPr>
        <w:t>:</w:t>
      </w:r>
      <w:r w:rsidRPr="00D952B4">
        <w:t xml:space="preserve"> 151-169.</w:t>
      </w:r>
    </w:p>
    <w:p w14:paraId="4505AE2E" w14:textId="77777777" w:rsidR="00D952B4" w:rsidRPr="00D952B4" w:rsidRDefault="00D952B4" w:rsidP="00D952B4">
      <w:pPr>
        <w:pStyle w:val="EndNoteBibliography"/>
        <w:spacing w:after="0"/>
        <w:ind w:left="720" w:hanging="720"/>
      </w:pPr>
      <w:r w:rsidRPr="00D952B4">
        <w:t>Lynch, M., and R. Lande, 1998 The critical effective size for a genetically secure population. Animal Conservation 1</w:t>
      </w:r>
      <w:r w:rsidRPr="00D952B4">
        <w:rPr>
          <w:b/>
        </w:rPr>
        <w:t>:</w:t>
      </w:r>
      <w:r w:rsidRPr="00D952B4">
        <w:t xml:space="preserve"> 70-72.</w:t>
      </w:r>
    </w:p>
    <w:p w14:paraId="15CC471F" w14:textId="77777777" w:rsidR="00D952B4" w:rsidRPr="00D952B4" w:rsidRDefault="00D952B4" w:rsidP="00D952B4">
      <w:pPr>
        <w:pStyle w:val="EndNoteBibliography"/>
        <w:spacing w:after="0"/>
        <w:ind w:left="720" w:hanging="720"/>
      </w:pPr>
      <w:r w:rsidRPr="00D952B4">
        <w:t>Melo, D., G. Garcia, A. Hubbe, A. P. Assis and G. Marroig, 2015 EvolQG - An R package for evolutionary quantitative genetics. F1000Research 4</w:t>
      </w:r>
      <w:r w:rsidRPr="00D952B4">
        <w:rPr>
          <w:b/>
        </w:rPr>
        <w:t>:</w:t>
      </w:r>
      <w:r w:rsidRPr="00D952B4">
        <w:t xml:space="preserve"> 925.</w:t>
      </w:r>
    </w:p>
    <w:p w14:paraId="7BEE53D3" w14:textId="77777777" w:rsidR="00D952B4" w:rsidRPr="00D952B4" w:rsidRDefault="00D952B4" w:rsidP="00D952B4">
      <w:pPr>
        <w:pStyle w:val="EndNoteBibliography"/>
        <w:spacing w:after="0"/>
        <w:ind w:left="720" w:hanging="720"/>
      </w:pPr>
      <w:r w:rsidRPr="00D952B4">
        <w:t>R Developmental Core Team, 2019 R: A language and environment for statistical computing, pp. R Foundation for Statistical Computing, Vienna, Austria.</w:t>
      </w:r>
    </w:p>
    <w:p w14:paraId="7CB72897" w14:textId="77777777" w:rsidR="00D952B4" w:rsidRPr="00D952B4" w:rsidRDefault="00D952B4" w:rsidP="00D952B4">
      <w:pPr>
        <w:pStyle w:val="EndNoteBibliography"/>
        <w:spacing w:after="0"/>
        <w:ind w:left="720" w:hanging="720"/>
      </w:pPr>
      <w:r w:rsidRPr="00D952B4">
        <w:t>Thornton, K. R., 2019 Polygenic Adaptation to an Environmental Shift: Temporal Dynamics of Variation Under Gaussian Stabilizing Selection and Additive Effects on a Single Trait. Genetics 213</w:t>
      </w:r>
      <w:r w:rsidRPr="00D952B4">
        <w:rPr>
          <w:b/>
        </w:rPr>
        <w:t>:</w:t>
      </w:r>
      <w:r w:rsidRPr="00D952B4">
        <w:t xml:space="preserve"> 1513-1530.</w:t>
      </w:r>
    </w:p>
    <w:p w14:paraId="3AAAB3E3" w14:textId="77777777" w:rsidR="00D952B4" w:rsidRPr="00D952B4" w:rsidRDefault="00D952B4" w:rsidP="00D952B4">
      <w:pPr>
        <w:pStyle w:val="EndNoteBibliography"/>
        <w:spacing w:after="0"/>
        <w:ind w:left="720" w:hanging="720"/>
      </w:pPr>
      <w:r w:rsidRPr="00D952B4">
        <w:t>Walter, G. M., J. D. Aguirre, M. W. Blows and D. Ortiz-Barrientos, 2018 Evolution of Genetic Variance during Adaptive Radiation. The American Naturalist 191</w:t>
      </w:r>
      <w:r w:rsidRPr="00D952B4">
        <w:rPr>
          <w:b/>
        </w:rPr>
        <w:t>:</w:t>
      </w:r>
      <w:r w:rsidRPr="00D952B4">
        <w:t xml:space="preserve"> E108-E128.</w:t>
      </w:r>
    </w:p>
    <w:p w14:paraId="6F3FD5D9" w14:textId="77777777" w:rsidR="00D952B4" w:rsidRPr="00D952B4" w:rsidRDefault="00D952B4" w:rsidP="00D952B4">
      <w:pPr>
        <w:pStyle w:val="EndNoteBibliography"/>
        <w:spacing w:after="0"/>
        <w:ind w:left="720" w:hanging="720"/>
      </w:pPr>
      <w:r w:rsidRPr="00D952B4">
        <w:t>White, H., 1980 A Heteroskedasticity-Consistent Covariance-Matrix Estimator and a Direct Test for Heteroskedasticity. Econometrica 48</w:t>
      </w:r>
      <w:r w:rsidRPr="00D952B4">
        <w:rPr>
          <w:b/>
        </w:rPr>
        <w:t>:</w:t>
      </w:r>
      <w:r w:rsidRPr="00D952B4">
        <w:t xml:space="preserve"> 817-838.</w:t>
      </w:r>
    </w:p>
    <w:p w14:paraId="3326DD80" w14:textId="77777777" w:rsidR="00D952B4" w:rsidRPr="00D952B4" w:rsidRDefault="00D952B4" w:rsidP="00D952B4">
      <w:pPr>
        <w:pStyle w:val="EndNoteBibliography"/>
        <w:ind w:left="720" w:hanging="720"/>
      </w:pPr>
      <w:r w:rsidRPr="00D952B4">
        <w:t>Xu, L., H. Chen, X. Hu, R. Zhang, Z. Zhang</w:t>
      </w:r>
      <w:r w:rsidRPr="00D952B4">
        <w:rPr>
          <w:i/>
        </w:rPr>
        <w:t xml:space="preserve"> et al.</w:t>
      </w:r>
      <w:r w:rsidRPr="00D952B4">
        <w:t>, 2006 Average gene length is highly conserved in prokaryotes and eukaryotes and diverges only between the two kingdoms. Mol Biol Evol 23</w:t>
      </w:r>
      <w:r w:rsidRPr="00D952B4">
        <w:rPr>
          <w:b/>
        </w:rPr>
        <w:t>:</w:t>
      </w:r>
      <w:r w:rsidRPr="00D952B4">
        <w:t xml:space="preserve"> 1107-1108.</w:t>
      </w:r>
    </w:p>
    <w:p w14:paraId="1C337693" w14:textId="3C2B121C"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9&lt;/item&gt;&lt;item&gt;27&lt;/item&gt;&lt;item&gt;29&lt;/item&gt;&lt;item&gt;66&lt;/item&gt;&lt;item&gt;70&lt;/item&gt;&lt;item&gt;97&lt;/item&gt;&lt;item&gt;112&lt;/item&gt;&lt;item&gt;129&lt;/item&gt;&lt;item&gt;133&lt;/item&gt;&lt;item&gt;153&lt;/item&gt;&lt;item&gt;154&lt;/item&gt;&lt;item&gt;155&lt;/item&gt;&lt;item&gt;156&lt;/item&gt;&lt;item&gt;157&lt;/item&gt;&lt;item&gt;158&lt;/item&gt;&lt;item&gt;159&lt;/item&gt;&lt;item&gt;160&lt;/item&gt;&lt;item&gt;161&lt;/item&gt;&lt;/record-ids&gt;&lt;/item&gt;&lt;/Libraries&gt;"/>
  </w:docVars>
  <w:rsids>
    <w:rsidRoot w:val="004F0C57"/>
    <w:rsid w:val="0001140F"/>
    <w:rsid w:val="00013167"/>
    <w:rsid w:val="00013215"/>
    <w:rsid w:val="000148E6"/>
    <w:rsid w:val="00023792"/>
    <w:rsid w:val="00026414"/>
    <w:rsid w:val="00030268"/>
    <w:rsid w:val="000338FD"/>
    <w:rsid w:val="00034011"/>
    <w:rsid w:val="00055CC2"/>
    <w:rsid w:val="0005601C"/>
    <w:rsid w:val="000565C4"/>
    <w:rsid w:val="00086730"/>
    <w:rsid w:val="00094A10"/>
    <w:rsid w:val="000A17B9"/>
    <w:rsid w:val="000A5207"/>
    <w:rsid w:val="000A78C8"/>
    <w:rsid w:val="000B6C20"/>
    <w:rsid w:val="000C19EF"/>
    <w:rsid w:val="000D52A0"/>
    <w:rsid w:val="000E7C40"/>
    <w:rsid w:val="00101F4B"/>
    <w:rsid w:val="00110238"/>
    <w:rsid w:val="00116403"/>
    <w:rsid w:val="00116AEC"/>
    <w:rsid w:val="0011724E"/>
    <w:rsid w:val="00126EB6"/>
    <w:rsid w:val="00131663"/>
    <w:rsid w:val="0013636E"/>
    <w:rsid w:val="00137A3B"/>
    <w:rsid w:val="00140D67"/>
    <w:rsid w:val="001453C0"/>
    <w:rsid w:val="001463EA"/>
    <w:rsid w:val="001525A9"/>
    <w:rsid w:val="00154450"/>
    <w:rsid w:val="00156C50"/>
    <w:rsid w:val="001746A2"/>
    <w:rsid w:val="00175EF6"/>
    <w:rsid w:val="001775B8"/>
    <w:rsid w:val="001843C9"/>
    <w:rsid w:val="00185B2B"/>
    <w:rsid w:val="00195473"/>
    <w:rsid w:val="001A09EB"/>
    <w:rsid w:val="001A6709"/>
    <w:rsid w:val="001C11E6"/>
    <w:rsid w:val="001C465B"/>
    <w:rsid w:val="001C6F41"/>
    <w:rsid w:val="001D2170"/>
    <w:rsid w:val="001D7B57"/>
    <w:rsid w:val="001E2A26"/>
    <w:rsid w:val="001E45A9"/>
    <w:rsid w:val="001E5A0A"/>
    <w:rsid w:val="001E75DE"/>
    <w:rsid w:val="001F7463"/>
    <w:rsid w:val="00207704"/>
    <w:rsid w:val="00213F3E"/>
    <w:rsid w:val="00216D8C"/>
    <w:rsid w:val="002236D4"/>
    <w:rsid w:val="0022375E"/>
    <w:rsid w:val="00223B5C"/>
    <w:rsid w:val="00225F14"/>
    <w:rsid w:val="00231959"/>
    <w:rsid w:val="00244216"/>
    <w:rsid w:val="00252178"/>
    <w:rsid w:val="00254E87"/>
    <w:rsid w:val="00260698"/>
    <w:rsid w:val="00261DAC"/>
    <w:rsid w:val="00264C81"/>
    <w:rsid w:val="00272A74"/>
    <w:rsid w:val="0028160A"/>
    <w:rsid w:val="002816DF"/>
    <w:rsid w:val="00285B32"/>
    <w:rsid w:val="00293F52"/>
    <w:rsid w:val="0029447D"/>
    <w:rsid w:val="002A06F1"/>
    <w:rsid w:val="002A417C"/>
    <w:rsid w:val="002B286E"/>
    <w:rsid w:val="002B3D60"/>
    <w:rsid w:val="002B6382"/>
    <w:rsid w:val="002B6AEB"/>
    <w:rsid w:val="002C10C6"/>
    <w:rsid w:val="002C408E"/>
    <w:rsid w:val="002C6592"/>
    <w:rsid w:val="002D2218"/>
    <w:rsid w:val="002D3AFB"/>
    <w:rsid w:val="002D5442"/>
    <w:rsid w:val="002E28E0"/>
    <w:rsid w:val="002E5721"/>
    <w:rsid w:val="002F00AC"/>
    <w:rsid w:val="003027A4"/>
    <w:rsid w:val="00313F85"/>
    <w:rsid w:val="00316740"/>
    <w:rsid w:val="00321F8E"/>
    <w:rsid w:val="00332BE3"/>
    <w:rsid w:val="00334741"/>
    <w:rsid w:val="00337A3D"/>
    <w:rsid w:val="003539B9"/>
    <w:rsid w:val="00354519"/>
    <w:rsid w:val="00370DEA"/>
    <w:rsid w:val="00380507"/>
    <w:rsid w:val="00390426"/>
    <w:rsid w:val="00395219"/>
    <w:rsid w:val="003A1132"/>
    <w:rsid w:val="003A6FA5"/>
    <w:rsid w:val="003B3051"/>
    <w:rsid w:val="003B71FA"/>
    <w:rsid w:val="003C0FFD"/>
    <w:rsid w:val="003C13A0"/>
    <w:rsid w:val="003D05BF"/>
    <w:rsid w:val="003D331B"/>
    <w:rsid w:val="003E02F0"/>
    <w:rsid w:val="003E2D3D"/>
    <w:rsid w:val="003E42BB"/>
    <w:rsid w:val="003E72C0"/>
    <w:rsid w:val="003F6258"/>
    <w:rsid w:val="003F73C8"/>
    <w:rsid w:val="003F7645"/>
    <w:rsid w:val="00422EA1"/>
    <w:rsid w:val="0042703B"/>
    <w:rsid w:val="004270CD"/>
    <w:rsid w:val="0043696D"/>
    <w:rsid w:val="00437AD1"/>
    <w:rsid w:val="0044538A"/>
    <w:rsid w:val="00445817"/>
    <w:rsid w:val="004567F3"/>
    <w:rsid w:val="004669DC"/>
    <w:rsid w:val="00467A73"/>
    <w:rsid w:val="00470115"/>
    <w:rsid w:val="00487561"/>
    <w:rsid w:val="00494E5C"/>
    <w:rsid w:val="004953B6"/>
    <w:rsid w:val="004A0BB9"/>
    <w:rsid w:val="004B05A5"/>
    <w:rsid w:val="004B1416"/>
    <w:rsid w:val="004B1956"/>
    <w:rsid w:val="004B4692"/>
    <w:rsid w:val="004C63D1"/>
    <w:rsid w:val="004D4A4F"/>
    <w:rsid w:val="004D5EB8"/>
    <w:rsid w:val="004E0ECF"/>
    <w:rsid w:val="004E2F6B"/>
    <w:rsid w:val="004E5966"/>
    <w:rsid w:val="004F0C57"/>
    <w:rsid w:val="004F7619"/>
    <w:rsid w:val="0050335C"/>
    <w:rsid w:val="00521BDE"/>
    <w:rsid w:val="00523F2A"/>
    <w:rsid w:val="00527FB6"/>
    <w:rsid w:val="00545C7E"/>
    <w:rsid w:val="00561508"/>
    <w:rsid w:val="00562583"/>
    <w:rsid w:val="00563568"/>
    <w:rsid w:val="00564ED3"/>
    <w:rsid w:val="00567DCF"/>
    <w:rsid w:val="00576558"/>
    <w:rsid w:val="005930F4"/>
    <w:rsid w:val="005A16E0"/>
    <w:rsid w:val="005A33AA"/>
    <w:rsid w:val="005A3B84"/>
    <w:rsid w:val="005A3FE8"/>
    <w:rsid w:val="005B324A"/>
    <w:rsid w:val="005B7EF5"/>
    <w:rsid w:val="005C3EB4"/>
    <w:rsid w:val="005D3309"/>
    <w:rsid w:val="005D5C1F"/>
    <w:rsid w:val="00600A5E"/>
    <w:rsid w:val="00605CD1"/>
    <w:rsid w:val="0061349B"/>
    <w:rsid w:val="00615120"/>
    <w:rsid w:val="006220DA"/>
    <w:rsid w:val="0062262A"/>
    <w:rsid w:val="006278B7"/>
    <w:rsid w:val="00627FDB"/>
    <w:rsid w:val="00641FB8"/>
    <w:rsid w:val="00644A27"/>
    <w:rsid w:val="0064752F"/>
    <w:rsid w:val="00650703"/>
    <w:rsid w:val="006614CA"/>
    <w:rsid w:val="00661621"/>
    <w:rsid w:val="006661CB"/>
    <w:rsid w:val="00670465"/>
    <w:rsid w:val="00671225"/>
    <w:rsid w:val="006827A1"/>
    <w:rsid w:val="006834F1"/>
    <w:rsid w:val="00684609"/>
    <w:rsid w:val="0069389C"/>
    <w:rsid w:val="00694149"/>
    <w:rsid w:val="006943D2"/>
    <w:rsid w:val="006A41CE"/>
    <w:rsid w:val="006A5980"/>
    <w:rsid w:val="006B6C5E"/>
    <w:rsid w:val="006C2FF1"/>
    <w:rsid w:val="006C35AB"/>
    <w:rsid w:val="006D15A5"/>
    <w:rsid w:val="006D2E7D"/>
    <w:rsid w:val="006E0C52"/>
    <w:rsid w:val="006F0488"/>
    <w:rsid w:val="006F5D7C"/>
    <w:rsid w:val="00705975"/>
    <w:rsid w:val="00715667"/>
    <w:rsid w:val="007410E2"/>
    <w:rsid w:val="00742DB2"/>
    <w:rsid w:val="00743ED1"/>
    <w:rsid w:val="00747EBA"/>
    <w:rsid w:val="00750B46"/>
    <w:rsid w:val="00752EB2"/>
    <w:rsid w:val="0075385C"/>
    <w:rsid w:val="0076067A"/>
    <w:rsid w:val="00767477"/>
    <w:rsid w:val="007836DB"/>
    <w:rsid w:val="00784E88"/>
    <w:rsid w:val="007B2B62"/>
    <w:rsid w:val="007C7F38"/>
    <w:rsid w:val="007D7DA5"/>
    <w:rsid w:val="007E383D"/>
    <w:rsid w:val="007E653D"/>
    <w:rsid w:val="007F39D0"/>
    <w:rsid w:val="007F3EDF"/>
    <w:rsid w:val="007F6053"/>
    <w:rsid w:val="00806FBF"/>
    <w:rsid w:val="00811DD4"/>
    <w:rsid w:val="00826D70"/>
    <w:rsid w:val="008349C8"/>
    <w:rsid w:val="00835609"/>
    <w:rsid w:val="008563F4"/>
    <w:rsid w:val="00862DBD"/>
    <w:rsid w:val="00867601"/>
    <w:rsid w:val="008703C8"/>
    <w:rsid w:val="00876045"/>
    <w:rsid w:val="00890206"/>
    <w:rsid w:val="00895210"/>
    <w:rsid w:val="0089662F"/>
    <w:rsid w:val="00897D18"/>
    <w:rsid w:val="008A04E0"/>
    <w:rsid w:val="008A1502"/>
    <w:rsid w:val="008A2847"/>
    <w:rsid w:val="008B1923"/>
    <w:rsid w:val="008D078B"/>
    <w:rsid w:val="008D4724"/>
    <w:rsid w:val="008F235D"/>
    <w:rsid w:val="0090468E"/>
    <w:rsid w:val="00913620"/>
    <w:rsid w:val="00915125"/>
    <w:rsid w:val="009302A4"/>
    <w:rsid w:val="009348D8"/>
    <w:rsid w:val="00952652"/>
    <w:rsid w:val="009623F1"/>
    <w:rsid w:val="00976B70"/>
    <w:rsid w:val="00976FCF"/>
    <w:rsid w:val="00980383"/>
    <w:rsid w:val="00981368"/>
    <w:rsid w:val="00984986"/>
    <w:rsid w:val="00993860"/>
    <w:rsid w:val="00994321"/>
    <w:rsid w:val="009A23CA"/>
    <w:rsid w:val="009A464C"/>
    <w:rsid w:val="009A6796"/>
    <w:rsid w:val="009B1353"/>
    <w:rsid w:val="009B3896"/>
    <w:rsid w:val="009B5521"/>
    <w:rsid w:val="009C2C14"/>
    <w:rsid w:val="009C4CC6"/>
    <w:rsid w:val="009D0D47"/>
    <w:rsid w:val="009D4A51"/>
    <w:rsid w:val="009D572C"/>
    <w:rsid w:val="009D5B9C"/>
    <w:rsid w:val="009E28DE"/>
    <w:rsid w:val="00A02701"/>
    <w:rsid w:val="00A17EAD"/>
    <w:rsid w:val="00A2270D"/>
    <w:rsid w:val="00A22B5B"/>
    <w:rsid w:val="00A2552C"/>
    <w:rsid w:val="00A444BB"/>
    <w:rsid w:val="00A54AFE"/>
    <w:rsid w:val="00A62907"/>
    <w:rsid w:val="00A63C6E"/>
    <w:rsid w:val="00A72E83"/>
    <w:rsid w:val="00A85692"/>
    <w:rsid w:val="00A87266"/>
    <w:rsid w:val="00A879B2"/>
    <w:rsid w:val="00A95E48"/>
    <w:rsid w:val="00AB4E76"/>
    <w:rsid w:val="00AB53A2"/>
    <w:rsid w:val="00AC154F"/>
    <w:rsid w:val="00AC307C"/>
    <w:rsid w:val="00AC70B0"/>
    <w:rsid w:val="00AD2A73"/>
    <w:rsid w:val="00AD4B13"/>
    <w:rsid w:val="00AD62A5"/>
    <w:rsid w:val="00AE015D"/>
    <w:rsid w:val="00AE3E2D"/>
    <w:rsid w:val="00AE499B"/>
    <w:rsid w:val="00AE502E"/>
    <w:rsid w:val="00AE5BBD"/>
    <w:rsid w:val="00AF07FF"/>
    <w:rsid w:val="00AF78B6"/>
    <w:rsid w:val="00B00A38"/>
    <w:rsid w:val="00B31E46"/>
    <w:rsid w:val="00B32810"/>
    <w:rsid w:val="00B34A3B"/>
    <w:rsid w:val="00B3652F"/>
    <w:rsid w:val="00B43D42"/>
    <w:rsid w:val="00B55D73"/>
    <w:rsid w:val="00B66FAF"/>
    <w:rsid w:val="00B71BD6"/>
    <w:rsid w:val="00B7464A"/>
    <w:rsid w:val="00B81C6E"/>
    <w:rsid w:val="00B84227"/>
    <w:rsid w:val="00B93CEB"/>
    <w:rsid w:val="00BA68FC"/>
    <w:rsid w:val="00BB3CA6"/>
    <w:rsid w:val="00BB7422"/>
    <w:rsid w:val="00BC73DE"/>
    <w:rsid w:val="00BD0A45"/>
    <w:rsid w:val="00BD3E5C"/>
    <w:rsid w:val="00BE2813"/>
    <w:rsid w:val="00BE7E96"/>
    <w:rsid w:val="00BF6376"/>
    <w:rsid w:val="00C115D2"/>
    <w:rsid w:val="00C121FD"/>
    <w:rsid w:val="00C168CB"/>
    <w:rsid w:val="00C37F0A"/>
    <w:rsid w:val="00C51073"/>
    <w:rsid w:val="00C51B89"/>
    <w:rsid w:val="00C572BD"/>
    <w:rsid w:val="00C642BC"/>
    <w:rsid w:val="00C81D6D"/>
    <w:rsid w:val="00C95026"/>
    <w:rsid w:val="00C95F6B"/>
    <w:rsid w:val="00CA3EE7"/>
    <w:rsid w:val="00CA5672"/>
    <w:rsid w:val="00CC3DA5"/>
    <w:rsid w:val="00CC77F7"/>
    <w:rsid w:val="00CD5941"/>
    <w:rsid w:val="00CE02EC"/>
    <w:rsid w:val="00CE774A"/>
    <w:rsid w:val="00CF3C11"/>
    <w:rsid w:val="00D035BE"/>
    <w:rsid w:val="00D03748"/>
    <w:rsid w:val="00D175F6"/>
    <w:rsid w:val="00D244C3"/>
    <w:rsid w:val="00D33077"/>
    <w:rsid w:val="00D36D3F"/>
    <w:rsid w:val="00D46F7A"/>
    <w:rsid w:val="00D533B9"/>
    <w:rsid w:val="00D54DC2"/>
    <w:rsid w:val="00D642CC"/>
    <w:rsid w:val="00D72F80"/>
    <w:rsid w:val="00D82638"/>
    <w:rsid w:val="00D952B4"/>
    <w:rsid w:val="00DA3108"/>
    <w:rsid w:val="00DA5DB8"/>
    <w:rsid w:val="00DB3412"/>
    <w:rsid w:val="00DB3C2C"/>
    <w:rsid w:val="00DB6553"/>
    <w:rsid w:val="00DC08B5"/>
    <w:rsid w:val="00DD1F75"/>
    <w:rsid w:val="00DD5C25"/>
    <w:rsid w:val="00DE23FE"/>
    <w:rsid w:val="00DF137C"/>
    <w:rsid w:val="00E0611C"/>
    <w:rsid w:val="00E11C3E"/>
    <w:rsid w:val="00E1306F"/>
    <w:rsid w:val="00E13A54"/>
    <w:rsid w:val="00E141DE"/>
    <w:rsid w:val="00E147CA"/>
    <w:rsid w:val="00E2557D"/>
    <w:rsid w:val="00E27891"/>
    <w:rsid w:val="00E316DF"/>
    <w:rsid w:val="00E545B1"/>
    <w:rsid w:val="00E56334"/>
    <w:rsid w:val="00E630D0"/>
    <w:rsid w:val="00E718A1"/>
    <w:rsid w:val="00E82625"/>
    <w:rsid w:val="00EA1E67"/>
    <w:rsid w:val="00EA3377"/>
    <w:rsid w:val="00EB3C50"/>
    <w:rsid w:val="00ED18BB"/>
    <w:rsid w:val="00ED2FDB"/>
    <w:rsid w:val="00ED49CB"/>
    <w:rsid w:val="00ED73A8"/>
    <w:rsid w:val="00EF444B"/>
    <w:rsid w:val="00EF4938"/>
    <w:rsid w:val="00EF7908"/>
    <w:rsid w:val="00F04D37"/>
    <w:rsid w:val="00F120DB"/>
    <w:rsid w:val="00F147D5"/>
    <w:rsid w:val="00F17580"/>
    <w:rsid w:val="00F2298B"/>
    <w:rsid w:val="00F3005C"/>
    <w:rsid w:val="00F33542"/>
    <w:rsid w:val="00F51A26"/>
    <w:rsid w:val="00F56DE6"/>
    <w:rsid w:val="00F63F27"/>
    <w:rsid w:val="00F6621B"/>
    <w:rsid w:val="00F71B00"/>
    <w:rsid w:val="00F72186"/>
    <w:rsid w:val="00F731BF"/>
    <w:rsid w:val="00F77E1D"/>
    <w:rsid w:val="00F840E0"/>
    <w:rsid w:val="00F93E1B"/>
    <w:rsid w:val="00F9461E"/>
    <w:rsid w:val="00F9643C"/>
    <w:rsid w:val="00FA6A2D"/>
    <w:rsid w:val="00FA6E19"/>
    <w:rsid w:val="00FA7980"/>
    <w:rsid w:val="00FA7F4B"/>
    <w:rsid w:val="00FB0206"/>
    <w:rsid w:val="00FC5B3A"/>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24AFF2-4F49-4457-9BDF-99401152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17547</TotalTime>
  <Pages>22</Pages>
  <Words>8220</Words>
  <Characters>46856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Nicholas Obrien</cp:lastModifiedBy>
  <cp:revision>346</cp:revision>
  <dcterms:created xsi:type="dcterms:W3CDTF">2020-08-30T04:22:00Z</dcterms:created>
  <dcterms:modified xsi:type="dcterms:W3CDTF">2020-10-15T02:01:00Z</dcterms:modified>
</cp:coreProperties>
</file>