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Lande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r>
        <w:t>SLiM as a tool to computationally study these effects over long time scales</w:t>
      </w:r>
    </w:p>
    <w:p w14:paraId="34C5287C" w14:textId="0086DA92" w:rsidR="00E11C3E" w:rsidRDefault="00E11C3E" w:rsidP="00E11C3E">
      <w:pPr>
        <w:pStyle w:val="ListParagraph"/>
        <w:numPr>
          <w:ilvl w:val="0"/>
          <w:numId w:val="1"/>
        </w:numPr>
      </w:pPr>
      <w:r>
        <w:t>Introduction of aims – to quantify the effects of deleterious mutation and pleiotropy on neutral evolution in an intermediate-sized population &amp; to quantify the effects of del muts and pleio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r>
        <w:rPr>
          <w:lang w:val="en-US"/>
        </w:rPr>
        <w:t>SLiM</w:t>
      </w:r>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Both of my experimental models consisted of a SLiM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mutationally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8563F4"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A population at equilibrium was assumed sufficiently burnt-in. Trials indicated that 50,000 generations was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8563F4"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8563F4"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n is the number of traits, and x</w:t>
      </w:r>
      <w:r w:rsidR="00D46F7A">
        <w:rPr>
          <w:rFonts w:eastAsiaTheme="minorEastAsia"/>
          <w:vertAlign w:val="subscript"/>
          <w:lang w:val="en-US"/>
        </w:rPr>
        <w:t>n</w:t>
      </w:r>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32B7D92B"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6220DA">
        <w:rPr>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‘DoE.Wrapper’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Each model was repeated 100 times, using 100 seed values fed to SLiM.</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r</w:t>
      </w:r>
      <w:r w:rsidR="00742DB2">
        <w:rPr>
          <w:lang w:val="en-US"/>
        </w:rPr>
        <w:t>unif</w:t>
      </w:r>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r w:rsidR="0050335C">
        <w:rPr>
          <w:lang w:val="en-US"/>
        </w:rPr>
        <w:t>SLiM</w:t>
      </w:r>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t>Null model analysis</w:t>
      </w:r>
    </w:p>
    <w:p w14:paraId="6F8E7FC7" w14:textId="5BEA6A24" w:rsidR="00D33077" w:rsidRDefault="006F5D7C" w:rsidP="004F0C57">
      <w:pPr>
        <w:rPr>
          <w:lang w:val="en-US"/>
        </w:rPr>
      </w:pPr>
      <w:r>
        <w:rPr>
          <w:lang w:val="en-US"/>
        </w:rPr>
        <w:t>To compare null models generally</w:t>
      </w:r>
      <w:r w:rsidR="000A78C8">
        <w:rPr>
          <w:lang w:val="en-US"/>
        </w:rPr>
        <w:t xml:space="preserve">, I </w:t>
      </w:r>
      <w:r w:rsidR="001C11E6">
        <w:rPr>
          <w:lang w:val="en-US"/>
        </w:rPr>
        <w:t xml:space="preserve">compared </w:t>
      </w:r>
      <w:r w:rsidR="005C3EB4">
        <w:rPr>
          <w:lang w:val="en-US"/>
        </w:rPr>
        <w:t>heterozygosities at generation 150,000</w:t>
      </w:r>
      <w:r w:rsidR="0022375E">
        <w:rPr>
          <w:lang w:val="en-US"/>
        </w:rPr>
        <w:t xml:space="preserve"> using </w:t>
      </w:r>
      <w:r>
        <w:rPr>
          <w:lang w:val="en-US"/>
        </w:rPr>
        <w:t xml:space="preserve">a linear </w:t>
      </w:r>
      <w:r w:rsidR="00670465">
        <w:rPr>
          <w:lang w:val="en-US"/>
        </w:rPr>
        <w:t>mixed effects model</w:t>
      </w:r>
      <w:r w:rsidR="00DD1F75">
        <w:rPr>
          <w:lang w:val="en-US"/>
        </w:rPr>
        <w:t>, with the SLiM seed</w:t>
      </w:r>
      <w:r w:rsidR="00B55D73">
        <w:rPr>
          <w:lang w:val="en-US"/>
        </w:rPr>
        <w:t xml:space="preserve"> </w:t>
      </w:r>
      <w:r w:rsidR="00DD1F75">
        <w:rPr>
          <w:lang w:val="en-US"/>
        </w:rPr>
        <w:t xml:space="preserve">value </w:t>
      </w:r>
      <w:r w:rsidR="00B55D73">
        <w:rPr>
          <w:lang w:val="en-US"/>
        </w:rPr>
        <w:t>as a random effect</w:t>
      </w:r>
      <w:r>
        <w:rPr>
          <w:lang w:val="en-US"/>
        </w:rPr>
        <w:t>.</w:t>
      </w:r>
      <w:r w:rsidR="00670465">
        <w:rPr>
          <w:lang w:val="en-US"/>
        </w:rPr>
        <w:t xml:space="preserve"> </w:t>
      </w:r>
      <w:r w:rsidR="000A5207">
        <w:rPr>
          <w:lang w:val="en-US"/>
        </w:rPr>
        <w:t xml:space="preserve"> </w:t>
      </w:r>
      <w:r w:rsidR="00670465">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 xml:space="preserve">coefficient estimates are approximately normally distributed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“jtools”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2E28E0">
        <w:rPr>
          <w:lang w:val="en-US"/>
        </w:rPr>
        <w:t>, along with the homoscedasticity of variance</w:t>
      </w:r>
      <w:r w:rsidR="007E653D">
        <w:rPr>
          <w:lang w:val="en-US"/>
        </w:rPr>
        <w:t>, which was good across all data</w:t>
      </w:r>
      <w:r w:rsidR="002E28E0">
        <w:rPr>
          <w:lang w:val="en-US"/>
        </w:rPr>
        <w:t>.</w:t>
      </w:r>
    </w:p>
    <w:p w14:paraId="5D052254" w14:textId="08D98C34"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xml:space="preserve">, I binned each parameter into </w:t>
      </w:r>
      <w:r w:rsidR="00576558">
        <w:rPr>
          <w:lang w:val="en-US"/>
        </w:rPr>
        <w:t>three</w:t>
      </w:r>
      <w:r>
        <w:rPr>
          <w:lang w:val="en-US"/>
        </w:rPr>
        <w:t xml:space="preserve"> equidistant factor levels</w:t>
      </w:r>
      <w:r w:rsidR="00576558">
        <w:rPr>
          <w:lang w:val="en-US"/>
        </w:rPr>
        <w:t>, representing high, medium, and low factor levels for each variable</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r w:rsidR="00981368">
        <w:rPr>
          <w:lang w:val="en-US"/>
        </w:rPr>
        <w:t>factor level</w:t>
      </w:r>
      <w:r w:rsidR="00B00A38">
        <w:rPr>
          <w:lang w:val="en-US"/>
        </w:rPr>
        <w:t>.</w:t>
      </w:r>
      <w:r w:rsidR="00FB0206">
        <w:rPr>
          <w:lang w:val="en-US"/>
        </w:rPr>
        <w:t xml:space="preserve"> Using </w:t>
      </w:r>
      <w:r w:rsidR="00370DEA">
        <w:rPr>
          <w:lang w:val="en-US"/>
        </w:rPr>
        <w:t>five</w:t>
      </w:r>
      <w:r w:rsidR="00254E87">
        <w:rPr>
          <w:lang w:val="en-US"/>
        </w:rPr>
        <w:t xml:space="preserve">-way </w:t>
      </w:r>
      <w:r w:rsidR="002A417C">
        <w:rPr>
          <w:lang w:val="en-US"/>
        </w:rPr>
        <w:t>type-</w:t>
      </w:r>
      <w:r w:rsidR="00984986">
        <w:rPr>
          <w:lang w:val="en-US"/>
        </w:rPr>
        <w:t>II</w:t>
      </w:r>
      <w:r w:rsidR="002A417C">
        <w:rPr>
          <w:lang w:val="en-US"/>
        </w:rPr>
        <w:t xml:space="preserve">I </w:t>
      </w:r>
      <w:r w:rsidR="00FB0206">
        <w:rPr>
          <w:lang w:val="en-US"/>
        </w:rPr>
        <w:t>ANOVA</w:t>
      </w:r>
      <w:r w:rsidR="00370DEA">
        <w:rPr>
          <w:lang w:val="en-US"/>
        </w:rPr>
        <w:t>s</w:t>
      </w:r>
      <w:r w:rsidR="00641FB8">
        <w:rPr>
          <w:lang w:val="en-US"/>
        </w:rPr>
        <w:t xml:space="preserve"> (comparing only first-order interactions between predictor variables)</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E28E0">
        <w:rPr>
          <w:lang w:val="en-US"/>
        </w:rPr>
        <w:t xml:space="preserve"> I then </w:t>
      </w:r>
      <w:r w:rsidR="00C115D2">
        <w:rPr>
          <w:lang w:val="en-US"/>
        </w:rPr>
        <w:t xml:space="preserve">performed post-hoc </w:t>
      </w:r>
      <w:r w:rsidR="00576558">
        <w:rPr>
          <w:lang w:val="en-US"/>
        </w:rPr>
        <w:t>least-squares means</w:t>
      </w:r>
      <w:r w:rsidR="00C115D2">
        <w:rPr>
          <w:lang w:val="en-US"/>
        </w:rPr>
        <w:t xml:space="preserve"> tests</w:t>
      </w:r>
      <w:r w:rsidR="00576558">
        <w:rPr>
          <w:lang w:val="en-US"/>
        </w:rPr>
        <w:t xml:space="preserve"> (adjusted for multiple comparisons with Tukey’s correction)</w:t>
      </w:r>
      <w:r w:rsidR="00C115D2">
        <w:rPr>
          <w:lang w:val="en-US"/>
        </w:rPr>
        <w:t xml:space="preserve"> to determine which groups were significantly different.</w:t>
      </w:r>
      <w:r w:rsidR="002E28E0">
        <w:rPr>
          <w:lang w:val="en-US"/>
        </w:rPr>
        <w:t xml:space="preserve"> </w:t>
      </w:r>
    </w:p>
    <w:p w14:paraId="52111282" w14:textId="439BE6A2"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9C4CC6">
        <w:rPr>
          <w:lang w:val="en-US"/>
        </w:rPr>
        <w:t>levels</w:t>
      </w:r>
      <w:r w:rsidR="00AE015D">
        <w:rPr>
          <w:lang w:val="en-US"/>
        </w:rPr>
        <w:t xml:space="preserve"> of each </w:t>
      </w:r>
      <w:r w:rsidR="009C4CC6">
        <w:rPr>
          <w:lang w:val="en-US"/>
        </w:rPr>
        <w:t>predictor variable</w:t>
      </w:r>
      <w:r w:rsidR="00034011">
        <w:rPr>
          <w:lang w:val="en-US"/>
        </w:rPr>
        <w:t>.</w:t>
      </w:r>
      <w:r w:rsidR="00131663">
        <w:rPr>
          <w:lang w:val="en-US"/>
        </w:rPr>
        <w:t xml:space="preserve"> </w:t>
      </w:r>
      <w:r w:rsidR="00AE015D">
        <w:rPr>
          <w:lang w:val="en-US"/>
        </w:rPr>
        <w:t xml:space="preserve">This was done using </w:t>
      </w:r>
      <w:r w:rsidR="002B286E">
        <w:rPr>
          <w:lang w:val="en-US"/>
        </w:rPr>
        <w:t xml:space="preserve">the ‘vcvComp’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two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055CC2">
        <w:rPr>
          <w:lang w:val="en-US"/>
        </w:rPr>
        <w:t>.</w:t>
      </w:r>
      <w:r w:rsidR="001C6F41">
        <w:rPr>
          <w:lang w:val="en-US"/>
        </w:rPr>
        <w:t xml:space="preserve"> </w:t>
      </w:r>
    </w:p>
    <w:p w14:paraId="7C1418B0" w14:textId="77777777" w:rsidR="00984986" w:rsidRDefault="00984986" w:rsidP="00FB0206">
      <w:pPr>
        <w:rPr>
          <w:lang w:val="en-US"/>
        </w:rPr>
      </w:pPr>
    </w:p>
    <w:p w14:paraId="4EEBBB34" w14:textId="77777777" w:rsidR="00576558" w:rsidRDefault="00576558" w:rsidP="00FB0206">
      <w:pPr>
        <w:rPr>
          <w:lang w:val="en-US"/>
        </w:rPr>
      </w:pPr>
    </w:p>
    <w:p w14:paraId="44799860" w14:textId="77777777" w:rsidR="00576558" w:rsidRDefault="00576558" w:rsidP="00FB0206">
      <w:pPr>
        <w:rPr>
          <w:lang w:val="en-US"/>
        </w:rPr>
      </w:pPr>
    </w:p>
    <w:p w14:paraId="306F2267" w14:textId="1CE46ADA" w:rsidR="001E2A26" w:rsidRDefault="00576558" w:rsidP="00FB0206">
      <w:pPr>
        <w:rPr>
          <w:lang w:val="en-US"/>
        </w:rPr>
      </w:pPr>
      <w:r>
        <w:rPr>
          <w:lang w:val="en-US"/>
        </w:rPr>
        <w:t>Using a similar methodology to my ellipse analysis, I used five-way type-III ANOVAs to compare log generalized variances between groups. I then computed post-hoc least-squares means tests, adjusting for multiple comparisons with Tukey’s correction</w:t>
      </w:r>
      <w:r w:rsidR="001C6F41">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867601">
        <w:rPr>
          <w:lang w:val="en-US"/>
        </w:rPr>
        <w:t xml:space="preserve">using Kolmogorov-Smirnov tests, and the variance between groups with a </w:t>
      </w:r>
      <w:r w:rsidR="00AC70B0">
        <w:rPr>
          <w:lang w:val="en-US"/>
        </w:rPr>
        <w:t xml:space="preserve">five-way type </w:t>
      </w:r>
      <w:r w:rsidR="00641FB8">
        <w:rPr>
          <w:lang w:val="en-US"/>
        </w:rPr>
        <w:t>II</w:t>
      </w:r>
      <w:r w:rsidR="00AC70B0">
        <w:rPr>
          <w:lang w:val="en-US"/>
        </w:rPr>
        <w:t>I</w:t>
      </w:r>
      <w:r w:rsidR="00867601">
        <w:rPr>
          <w:lang w:val="en-US"/>
        </w:rPr>
        <w:t xml:space="preserve"> ANOVA</w:t>
      </w:r>
      <w:r w:rsidR="00641FB8">
        <w:rPr>
          <w:lang w:val="en-US"/>
        </w:rPr>
        <w:t>, followed again by least-squares means post-hoc tests</w:t>
      </w:r>
      <w:r w:rsidR="00AC70B0">
        <w:rPr>
          <w:lang w:val="en-US"/>
        </w:rPr>
        <w:t>.</w:t>
      </w:r>
      <w:r w:rsidR="00B32810">
        <w:rPr>
          <w:lang w:val="en-US"/>
        </w:rPr>
        <w:t xml:space="preserve"> </w:t>
      </w:r>
    </w:p>
    <w:p w14:paraId="4551C588" w14:textId="77777777" w:rsidR="00994321" w:rsidRDefault="00994321" w:rsidP="00FB0206">
      <w:pPr>
        <w:rPr>
          <w:lang w:val="en-US"/>
        </w:rPr>
      </w:pPr>
    </w:p>
    <w:p w14:paraId="328799AB" w14:textId="588FFB2D" w:rsidR="001E2A26" w:rsidRDefault="00994321" w:rsidP="00994321">
      <w:pPr>
        <w:pStyle w:val="Heading2"/>
      </w:pPr>
      <w:r>
        <w:t>Selection model analysis</w:t>
      </w:r>
    </w:p>
    <w:p w14:paraId="59372E41" w14:textId="1BE6823D" w:rsidR="00316740" w:rsidRDefault="00994321" w:rsidP="00FB0206">
      <w:pPr>
        <w:rPr>
          <w:rFonts w:eastAsiaTheme="minorEastAsia"/>
          <w:lang w:val="en-US"/>
        </w:rPr>
      </w:pPr>
      <w:r>
        <w:rPr>
          <w:lang w:val="en-US"/>
        </w:rPr>
        <w:t xml:space="preserve">I repeated the above analyses on the selection model, this time including the sixth predictor, </w:t>
      </w:r>
      <m:oMath>
        <m:r>
          <w:rPr>
            <w:rFonts w:ascii="Cambria Math" w:eastAsiaTheme="minorEastAsia" w:hAnsi="Cambria Math"/>
            <w:lang w:val="en-US"/>
          </w:rPr>
          <m:t>τ</m:t>
        </m:r>
      </m:oMath>
      <w:r>
        <w:rPr>
          <w:rFonts w:eastAsiaTheme="minorEastAsia"/>
          <w:lang w:val="en-US"/>
        </w:rPr>
        <w:t xml:space="preserve">, in statistical models. </w:t>
      </w:r>
      <w:r w:rsidR="001C11E6">
        <w:rPr>
          <w:rFonts w:eastAsiaTheme="minorEastAsia"/>
          <w:lang w:val="en-US"/>
        </w:rPr>
        <w:t xml:space="preserve">Heterozygosity analysis was excluded due to lost data. </w:t>
      </w:r>
      <w:r w:rsidR="00316740">
        <w:rPr>
          <w:rFonts w:eastAsiaTheme="minorEastAsia"/>
          <w:lang w:val="en-US"/>
        </w:rPr>
        <w:t xml:space="preserve">I grouped the five predictors into bins as with the null model, but included selection strength as another parameter to compare these parameters against. </w:t>
      </w:r>
      <w:r>
        <w:rPr>
          <w:rFonts w:eastAsiaTheme="minorEastAsia"/>
          <w:lang w:val="en-US"/>
        </w:rPr>
        <w:t>In addition, I computed the population mean distance from the optimum for each replicate and model, comparing these distances with another type I</w:t>
      </w:r>
      <w:r w:rsidR="004B1956">
        <w:rPr>
          <w:rFonts w:eastAsiaTheme="minorEastAsia"/>
          <w:lang w:val="en-US"/>
        </w:rPr>
        <w:t>II</w:t>
      </w:r>
      <w:r>
        <w:rPr>
          <w:rFonts w:eastAsiaTheme="minorEastAsia"/>
          <w:lang w:val="en-US"/>
        </w:rPr>
        <w:t xml:space="preserve"> ANOVA</w:t>
      </w:r>
      <w:r w:rsidR="001A6709">
        <w:rPr>
          <w:rFonts w:eastAsiaTheme="minorEastAsia"/>
          <w:lang w:val="en-US"/>
        </w:rPr>
        <w:t xml:space="preserve">. </w:t>
      </w:r>
    </w:p>
    <w:p w14:paraId="318FAE5C" w14:textId="77777777" w:rsidR="00316740" w:rsidRDefault="00316740" w:rsidP="00FB0206">
      <w:pPr>
        <w:rPr>
          <w:rFonts w:eastAsiaTheme="minorEastAsia"/>
          <w:lang w:val="en-US"/>
        </w:rPr>
      </w:pPr>
    </w:p>
    <w:p w14:paraId="7020C88D" w14:textId="34BAADDA" w:rsidR="00316740" w:rsidRDefault="00316740" w:rsidP="00316740">
      <w:pPr>
        <w:pStyle w:val="Heading2"/>
      </w:pPr>
      <w:r>
        <w:t>Null/selection comparisons</w:t>
      </w:r>
    </w:p>
    <w:p w14:paraId="3D946CEB" w14:textId="42DFE205" w:rsidR="00890206" w:rsidRPr="00890206" w:rsidRDefault="00890206" w:rsidP="00FB0206">
      <w:pPr>
        <w:rPr>
          <w:lang w:val="en-US"/>
        </w:rPr>
      </w:pPr>
      <w:r>
        <w:rPr>
          <w:lang w:val="en-US"/>
        </w:rPr>
        <w:t xml:space="preserve">To compare null models to selection models, eigentensor analysis was used to compare groups of </w:t>
      </w:r>
      <w:r>
        <w:rPr>
          <w:b/>
          <w:lang w:val="en-US"/>
        </w:rPr>
        <w:t xml:space="preserve">G </w:t>
      </w:r>
      <w:r>
        <w:rPr>
          <w:lang w:val="en-US"/>
        </w:rPr>
        <w:t xml:space="preserve">matrices with similar parameter </w:t>
      </w:r>
      <w:r w:rsidR="00671225">
        <w:rPr>
          <w:lang w:val="en-US"/>
        </w:rPr>
        <w:t>values</w:t>
      </w:r>
      <w:r w:rsidR="003D331B">
        <w:rPr>
          <w:lang w:val="en-US"/>
        </w:rPr>
        <w:t>…</w:t>
      </w:r>
    </w:p>
    <w:p w14:paraId="7CDD8159" w14:textId="58B82659" w:rsidR="009A464C" w:rsidRDefault="009A464C" w:rsidP="004F0C57">
      <w:pPr>
        <w:rPr>
          <w:lang w:val="en-US"/>
        </w:rPr>
      </w:pPr>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770A6A54" w:rsidR="00976FCF" w:rsidRDefault="005B7EF5" w:rsidP="004F0C57">
      <w:pPr>
        <w:rPr>
          <w:lang w:val="en-US"/>
        </w:rPr>
      </w:pPr>
      <w:r>
        <w:rPr>
          <w:lang w:val="en-US"/>
        </w:rPr>
        <w:t xml:space="preserve">I first analysed the effects of background selection, recombination rate, pleiotropic covariance, rate of pleiotropy, and additive effect size (along with their first-order interactions) on heterozygosity with a linear </w:t>
      </w:r>
      <w:r w:rsidR="00670465">
        <w:rPr>
          <w:lang w:val="en-US"/>
        </w:rPr>
        <w:t>mixed effects model</w:t>
      </w:r>
      <w:r>
        <w:rPr>
          <w:lang w:val="en-US"/>
        </w:rPr>
        <w:t>. This model expl</w:t>
      </w:r>
      <w:r w:rsidR="0075385C">
        <w:rPr>
          <w:lang w:val="en-US"/>
        </w:rPr>
        <w:t xml:space="preserve">ained 81.7% of total variation. </w:t>
      </w:r>
      <w:commentRangeStart w:id="0"/>
      <w:r w:rsidR="0075385C" w:rsidRPr="00BD3E5C">
        <w:rPr>
          <w:b/>
          <w:lang w:val="en-US"/>
        </w:rPr>
        <w:t xml:space="preserve">I found that increasing </w:t>
      </w:r>
      <w:r w:rsidRPr="00BD3E5C">
        <w:rPr>
          <w:b/>
          <w:lang w:val="en-US"/>
        </w:rPr>
        <w:t xml:space="preserve">background selection </w:t>
      </w:r>
      <w:r w:rsidR="0075385C" w:rsidRPr="00BD3E5C">
        <w:rPr>
          <w:b/>
          <w:lang w:val="en-US"/>
        </w:rPr>
        <w:t xml:space="preserve">reduced heterozygosity, </w:t>
      </w:r>
      <w:r w:rsidRPr="00BD3E5C">
        <w:rPr>
          <w:b/>
          <w:lang w:val="en-US"/>
        </w:rPr>
        <w:t xml:space="preserve">(β = -0.137, </w:t>
      </w:r>
      <w:r w:rsidR="00DC08B5" w:rsidRPr="00BD3E5C">
        <w:rPr>
          <w:b/>
          <w:lang w:val="en-US"/>
        </w:rPr>
        <w:t xml:space="preserve">t </w:t>
      </w:r>
      <w:r w:rsidR="00316740" w:rsidRPr="00BD3E5C">
        <w:rPr>
          <w:b/>
          <w:lang w:val="en-US"/>
        </w:rPr>
        <w:t xml:space="preserve"> = ,</w:t>
      </w:r>
      <w:r w:rsidR="00DC08B5" w:rsidRPr="00BD3E5C">
        <w:rPr>
          <w:b/>
          <w:lang w:val="en-US"/>
        </w:rPr>
        <w:t xml:space="preserve"> </w:t>
      </w:r>
      <w:r w:rsidRPr="00BD3E5C">
        <w:rPr>
          <w:b/>
          <w:lang w:val="en-US"/>
        </w:rPr>
        <w:t>p &lt; 0.0001), recombination rate</w:t>
      </w:r>
      <w:r w:rsidR="0075385C" w:rsidRPr="00BD3E5C">
        <w:rPr>
          <w:b/>
          <w:lang w:val="en-US"/>
        </w:rPr>
        <w:t xml:space="preserve"> increased it</w:t>
      </w:r>
      <w:r w:rsidRPr="00BD3E5C">
        <w:rPr>
          <w:b/>
          <w:lang w:val="en-US"/>
        </w:rPr>
        <w:t xml:space="preserve"> (β = 155.5,</w:t>
      </w:r>
      <w:r w:rsidR="00316740" w:rsidRPr="00BD3E5C">
        <w:rPr>
          <w:b/>
          <w:lang w:val="en-US"/>
        </w:rPr>
        <w:t xml:space="preserve"> t = </w:t>
      </w:r>
      <w:r w:rsidRPr="00BD3E5C">
        <w:rPr>
          <w:b/>
          <w:lang w:val="en-US"/>
        </w:rPr>
        <w:t xml:space="preserve"> p &lt; 0.0001)</w:t>
      </w:r>
      <w:r w:rsidR="0075385C" w:rsidRPr="00BD3E5C">
        <w:rPr>
          <w:b/>
          <w:lang w:val="en-US"/>
        </w:rPr>
        <w:t xml:space="preserve">, and recombination alleviated some of the effects of background selection on heterozygosity via interaction (β = 122.9, </w:t>
      </w:r>
      <w:r w:rsidR="00316740" w:rsidRPr="00BD3E5C">
        <w:rPr>
          <w:b/>
          <w:lang w:val="en-US"/>
        </w:rPr>
        <w:t xml:space="preserve">t = , </w:t>
      </w:r>
      <w:r w:rsidR="0075385C" w:rsidRPr="00BD3E5C">
        <w:rPr>
          <w:b/>
          <w:lang w:val="en-US"/>
        </w:rPr>
        <w:t>p &lt; 0.0001).</w:t>
      </w:r>
      <w:r w:rsidR="0075385C">
        <w:rPr>
          <w:lang w:val="en-US"/>
        </w:rPr>
        <w:t xml:space="preserve"> </w:t>
      </w:r>
      <w:commentRangeEnd w:id="0"/>
      <w:r w:rsidR="00BD3E5C">
        <w:rPr>
          <w:rStyle w:val="CommentReference"/>
        </w:rPr>
        <w:commentReference w:id="0"/>
      </w:r>
      <w:r w:rsidR="006A41CE">
        <w:rPr>
          <w:lang w:val="en-US"/>
        </w:rPr>
        <w:t xml:space="preserve">Although the residuals of groups strayed from normality, variance was homoscedastic and the number of observations (102400) led to normality of coefficient </w:t>
      </w:r>
      <w:r w:rsidR="006A41CE">
        <w:rPr>
          <w:lang w:val="en-US"/>
        </w:rPr>
        <w:lastRenderedPageBreak/>
        <w:t xml:space="preserve">estimates through the central limit theorem, providing some robustness from the effects of non-normality </w:t>
      </w:r>
      <w:r w:rsidR="006A41CE">
        <w:rPr>
          <w:lang w:val="en-US"/>
        </w:rPr>
        <w:fldChar w:fldCharType="begin"/>
      </w:r>
      <w:r w:rsidR="006A41CE">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6A41CE">
        <w:rPr>
          <w:lang w:val="en-US"/>
        </w:rPr>
        <w:fldChar w:fldCharType="separate"/>
      </w:r>
      <w:r w:rsidR="006A41CE">
        <w:rPr>
          <w:noProof/>
          <w:lang w:val="en-US"/>
        </w:rPr>
        <w:t>(</w:t>
      </w:r>
      <w:r w:rsidR="006A41CE" w:rsidRPr="006A41CE">
        <w:rPr>
          <w:smallCaps/>
          <w:noProof/>
          <w:lang w:val="en-US"/>
        </w:rPr>
        <w:t>Lumley</w:t>
      </w:r>
      <w:r w:rsidR="006A41CE" w:rsidRPr="006A41CE">
        <w:rPr>
          <w:i/>
          <w:noProof/>
          <w:lang w:val="en-US"/>
        </w:rPr>
        <w:t xml:space="preserve"> et al.</w:t>
      </w:r>
      <w:r w:rsidR="006A41CE">
        <w:rPr>
          <w:noProof/>
          <w:lang w:val="en-US"/>
        </w:rPr>
        <w:t xml:space="preserve"> 2002)</w:t>
      </w:r>
      <w:r w:rsidR="006A41CE">
        <w:rPr>
          <w:lang w:val="en-US"/>
        </w:rPr>
        <w:fldChar w:fldCharType="end"/>
      </w:r>
      <w:r w:rsidR="006A41CE">
        <w:rPr>
          <w:lang w:val="en-US"/>
        </w:rPr>
        <w:t>.</w:t>
      </w:r>
    </w:p>
    <w:p w14:paraId="62C7DB4B" w14:textId="4243DF1B" w:rsidR="00216D8C" w:rsidRDefault="00216D8C" w:rsidP="004F0C57">
      <w:pPr>
        <w:rPr>
          <w:lang w:val="en-US"/>
        </w:rPr>
      </w:pPr>
      <w:r w:rsidRPr="0042703B">
        <w:rPr>
          <w:lang w:val="en-US"/>
        </w:rPr>
        <w:t>To compare</w:t>
      </w:r>
      <w:r w:rsidR="00605CD1" w:rsidRPr="0042703B">
        <w:rPr>
          <w:lang w:val="en-US"/>
        </w:rPr>
        <w:t xml:space="preserve"> the effects of parameters on variance-covariance structure, I computed </w:t>
      </w:r>
      <w:r w:rsidR="00605CD1" w:rsidRPr="00DE23FE">
        <w:rPr>
          <w:b/>
          <w:lang w:val="en-US"/>
        </w:rPr>
        <w:t>G</w:t>
      </w:r>
      <w:r w:rsidR="00605CD1" w:rsidRPr="0042703B">
        <w:rPr>
          <w:lang w:val="en-US"/>
        </w:rPr>
        <w:t xml:space="preserve"> ellipses of traits 1 and 2, comparing ellipse area major-minor axis ratios, and angles of rotation around the center with</w:t>
      </w:r>
      <w:r w:rsidR="002D3AFB" w:rsidRPr="0042703B">
        <w:rPr>
          <w:lang w:val="en-US"/>
        </w:rPr>
        <w:t xml:space="preserve"> a series of </w:t>
      </w:r>
      <w:r w:rsidR="00F72186">
        <w:rPr>
          <w:lang w:val="en-US"/>
        </w:rPr>
        <w:t xml:space="preserve">type III </w:t>
      </w:r>
      <w:r w:rsidR="002D3AFB" w:rsidRPr="0042703B">
        <w:rPr>
          <w:lang w:val="en-US"/>
        </w:rPr>
        <w:t>ANOVAs</w:t>
      </w:r>
      <w:r w:rsidR="00605CD1" w:rsidRPr="0042703B">
        <w:rPr>
          <w:lang w:val="en-US"/>
        </w:rPr>
        <w:t xml:space="preserve"> </w:t>
      </w:r>
      <w:r w:rsidR="001843C9" w:rsidRPr="0042703B">
        <w:rPr>
          <w:lang w:val="en-US"/>
        </w:rPr>
        <w:t>(Figure 1)</w:t>
      </w:r>
      <w:r w:rsidR="0042703B">
        <w:rPr>
          <w:lang w:val="en-US"/>
        </w:rPr>
        <w:t xml:space="preserve">. </w:t>
      </w:r>
    </w:p>
    <w:p w14:paraId="0911CCE0" w14:textId="4B8695DE" w:rsidR="0042703B" w:rsidRDefault="0042703B" w:rsidP="004F0C57">
      <w:pPr>
        <w:rPr>
          <w:rStyle w:val="acopre"/>
        </w:rPr>
      </w:pPr>
      <w:r>
        <w:rPr>
          <w:lang w:val="en-US"/>
        </w:rPr>
        <w:t xml:space="preserve">Ellipse area tended to decrease with increasing deleterious mutation, however the extent to which this occurred depended on other variables. For example, with low levels of recombination, increasing deleterious mutation rates from the lowest to highest levels resulted in a decrease in ellipse area of 1183 </w:t>
      </w:r>
      <w:r>
        <w:rPr>
          <w:rStyle w:val="acopre"/>
        </w:rPr>
        <w:t>± 97.6 units</w:t>
      </w:r>
      <w:r>
        <w:rPr>
          <w:rStyle w:val="acopre"/>
          <w:vertAlign w:val="superscript"/>
        </w:rPr>
        <w:t>2</w:t>
      </w:r>
      <w:r>
        <w:rPr>
          <w:rStyle w:val="acopre"/>
        </w:rPr>
        <w:t xml:space="preserve"> (t</w:t>
      </w:r>
      <w:r>
        <w:rPr>
          <w:rStyle w:val="acopre"/>
          <w:vertAlign w:val="subscript"/>
        </w:rPr>
        <w:t>102349</w:t>
      </w:r>
      <w:r>
        <w:rPr>
          <w:rStyle w:val="acopre"/>
        </w:rPr>
        <w:t xml:space="preserve"> = 12.112, p &lt; 0.0001). With high recombination, the same change in deleterious mutation saw a decrease in ellipse area of 663 ± 100.4 units</w:t>
      </w:r>
      <w:r>
        <w:rPr>
          <w:rStyle w:val="acopre"/>
          <w:vertAlign w:val="superscript"/>
        </w:rPr>
        <w:t>2</w:t>
      </w:r>
      <w:r>
        <w:rPr>
          <w:rStyle w:val="acopre"/>
        </w:rPr>
        <w:t xml:space="preserve"> (t</w:t>
      </w:r>
      <w:r>
        <w:rPr>
          <w:rStyle w:val="acopre"/>
          <w:vertAlign w:val="subscript"/>
        </w:rPr>
        <w:t>102349</w:t>
      </w:r>
      <w:r>
        <w:rPr>
          <w:rStyle w:val="acopre"/>
        </w:rPr>
        <w:t xml:space="preserve"> = 6.609, p &lt; 0.0001). </w:t>
      </w:r>
      <w:r w:rsidR="0005601C">
        <w:rPr>
          <w:rStyle w:val="acopre"/>
        </w:rPr>
        <w:t xml:space="preserve">The effects of increases in recombination rate also depended on other variables. Under low rates of pleiotropy, changes in recombination rate had no significant effect on </w:t>
      </w:r>
      <w:r w:rsidR="0005601C" w:rsidRPr="0005601C">
        <w:rPr>
          <w:rStyle w:val="acopre"/>
          <w:b/>
        </w:rPr>
        <w:t>G</w:t>
      </w:r>
      <w:r w:rsidR="0005601C">
        <w:rPr>
          <w:rStyle w:val="acopre"/>
        </w:rPr>
        <w:t xml:space="preserve"> ellipse area (t</w:t>
      </w:r>
      <w:r w:rsidR="0005601C">
        <w:rPr>
          <w:rStyle w:val="acopre"/>
          <w:vertAlign w:val="subscript"/>
        </w:rPr>
        <w:t>102349</w:t>
      </w:r>
      <w:r w:rsidR="0005601C">
        <w:rPr>
          <w:rStyle w:val="acopre"/>
        </w:rPr>
        <w:t xml:space="preserve"> = -1.057, p = 0.5408). Under high pleiotropy rates, increases in recombination decreased ellipse area by 368.5 ± 99.4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3.707, p = 0.0006). With intermediate levels of pleiotropy, increases in recombination resulted in increases to ellipse area by 279.2 ± 100.2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-2.776, </w:t>
      </w:r>
      <w:r w:rsidR="003B71FA">
        <w:rPr>
          <w:rStyle w:val="acopre"/>
        </w:rPr>
        <w:t xml:space="preserve">p = </w:t>
      </w:r>
      <w:r w:rsidR="0005601C">
        <w:rPr>
          <w:rStyle w:val="acopre"/>
        </w:rPr>
        <w:t xml:space="preserve">0.0152). </w:t>
      </w:r>
    </w:p>
    <w:p w14:paraId="39BDF1C0" w14:textId="1E0A05D2" w:rsidR="000B6C20" w:rsidRDefault="005930F4" w:rsidP="004F0C57">
      <w:pPr>
        <w:rPr>
          <w:rStyle w:val="acopre"/>
        </w:rPr>
      </w:pPr>
      <w:r>
        <w:rPr>
          <w:rStyle w:val="acopre"/>
        </w:rPr>
        <w:t xml:space="preserve">The ratios of major and minor axes of the </w:t>
      </w:r>
      <w:r>
        <w:rPr>
          <w:rStyle w:val="acopre"/>
          <w:b/>
        </w:rPr>
        <w:t>G</w:t>
      </w:r>
      <w:r>
        <w:rPr>
          <w:rStyle w:val="acopre"/>
        </w:rPr>
        <w:t xml:space="preserve"> ellipses remained mostly stable across treatments. Although significant differences were found, the magnitude of these was less than 0.1 degrees.</w:t>
      </w:r>
    </w:p>
    <w:p w14:paraId="3085F4B8" w14:textId="5E6A70A6" w:rsidR="005930F4" w:rsidRPr="004669DC" w:rsidRDefault="005930F4" w:rsidP="004F0C57">
      <w:pPr>
        <w:rPr>
          <w:rStyle w:val="acopre"/>
        </w:rPr>
      </w:pPr>
      <w:r>
        <w:rPr>
          <w:rStyle w:val="acopre"/>
        </w:rPr>
        <w:t xml:space="preserve">The angles of rotation of </w:t>
      </w:r>
      <w:r>
        <w:rPr>
          <w:rStyle w:val="acopre"/>
          <w:b/>
        </w:rPr>
        <w:t>G</w:t>
      </w:r>
      <w:r>
        <w:rPr>
          <w:rStyle w:val="acopre"/>
        </w:rPr>
        <w:t xml:space="preserve"> ellipses around their centroid also differed between groups. Increasing deleterious mutation in both high and low recombination groups led to similar counter-clockwise rotations around the mean: 36.27 ± 1.1 degrees (t</w:t>
      </w:r>
      <w:r>
        <w:rPr>
          <w:rStyle w:val="acopre"/>
          <w:vertAlign w:val="subscript"/>
        </w:rPr>
        <w:t>103249</w:t>
      </w:r>
      <w:r>
        <w:rPr>
          <w:rStyle w:val="acopre"/>
        </w:rPr>
        <w:t xml:space="preserve"> = -32.886, p &lt; 0.0001), and 37.3 ± 1.07 degrees (t</w:t>
      </w:r>
      <w:r>
        <w:rPr>
          <w:rStyle w:val="acopre"/>
          <w:vertAlign w:val="subscript"/>
        </w:rPr>
        <w:t>103249</w:t>
      </w:r>
      <w:r>
        <w:rPr>
          <w:rStyle w:val="acopre"/>
        </w:rPr>
        <w:t xml:space="preserve"> = -34.761, p &lt; 0.0001), respectively. Intermediate levels of recombination reduced this rotation to 29.28 ± 1.12 degrees (t</w:t>
      </w:r>
      <w:r>
        <w:rPr>
          <w:rStyle w:val="acopre"/>
          <w:vertAlign w:val="subscript"/>
        </w:rPr>
        <w:t>102349</w:t>
      </w:r>
      <w:r>
        <w:rPr>
          <w:rStyle w:val="acopre"/>
        </w:rPr>
        <w:t xml:space="preserve"> = -26.072, p &lt; 0.0001). When under low levels of pleiotropy, increasing deleterious mutation led to counter-clockwise rotations of 26.51 ± 1.10 degrees (t</w:t>
      </w:r>
      <w:r>
        <w:rPr>
          <w:rStyle w:val="acopre"/>
          <w:vertAlign w:val="subscript"/>
        </w:rPr>
        <w:t>102349</w:t>
      </w:r>
      <w:r>
        <w:rPr>
          <w:rStyle w:val="acopre"/>
        </w:rPr>
        <w:t xml:space="preserve"> = -24.026, p &lt; 0.0001), whereas high rates of pleiotropy led to </w:t>
      </w:r>
      <w:r w:rsidR="00DB6553">
        <w:rPr>
          <w:rStyle w:val="acopre"/>
        </w:rPr>
        <w:t>an increase of this rotation to 48.88 ± 1.11 degrees (t</w:t>
      </w:r>
      <w:r w:rsidR="00DB6553">
        <w:rPr>
          <w:rStyle w:val="acopre"/>
          <w:vertAlign w:val="subscript"/>
        </w:rPr>
        <w:t>102349</w:t>
      </w:r>
      <w:r w:rsidR="00DB6553">
        <w:rPr>
          <w:rStyle w:val="acopre"/>
        </w:rPr>
        <w:t xml:space="preserve"> = -44.148, p &lt; 0.0001).</w:t>
      </w:r>
      <w:r w:rsidR="004669DC">
        <w:rPr>
          <w:rStyle w:val="acopre"/>
        </w:rPr>
        <w:t xml:space="preserve"> A similar effect is seen when increasing recombination rate, which has little effect individually on rotation (Figure 1). However, under high pleiotropy there is a small counter-clockwise rotation of 7.049 ± 1.09 degrees (t</w:t>
      </w:r>
      <w:r w:rsidR="004669DC">
        <w:rPr>
          <w:rStyle w:val="acopre"/>
          <w:vertAlign w:val="subscript"/>
        </w:rPr>
        <w:t>102349</w:t>
      </w:r>
      <w:r w:rsidR="004669DC">
        <w:rPr>
          <w:rStyle w:val="acopre"/>
        </w:rPr>
        <w:t xml:space="preserve"> = -6.496, p &lt; 0.0001).</w:t>
      </w:r>
    </w:p>
    <w:p w14:paraId="616A29B3" w14:textId="5313CD75" w:rsidR="000B6C20" w:rsidRPr="000B6C20" w:rsidRDefault="000B6C20" w:rsidP="004F0C57">
      <w:pPr>
        <w:rPr>
          <w:lang w:val="en-US"/>
        </w:rPr>
      </w:pPr>
      <w:r>
        <w:rPr>
          <w:rStyle w:val="acopre"/>
          <w:b/>
        </w:rPr>
        <w:t>A lot of these interactions are significant, so I’ll probably put them all in a table and only talk about the interesting ones.</w:t>
      </w:r>
    </w:p>
    <w:p w14:paraId="7BFDC3ED" w14:textId="77777777" w:rsidR="00600A5E" w:rsidRDefault="00600A5E" w:rsidP="004F0C57">
      <w:pPr>
        <w:rPr>
          <w:b/>
          <w:lang w:val="en-US"/>
        </w:rPr>
      </w:pPr>
    </w:p>
    <w:p w14:paraId="2D0384BB" w14:textId="77777777" w:rsidR="001843C9" w:rsidRDefault="001843C9" w:rsidP="004F0C57">
      <w:pPr>
        <w:rPr>
          <w:b/>
          <w:lang w:val="en-US"/>
        </w:rPr>
      </w:pPr>
    </w:p>
    <w:p w14:paraId="7B07CC6D" w14:textId="77777777" w:rsidR="001843C9" w:rsidRPr="00600A5E" w:rsidRDefault="001843C9" w:rsidP="004F0C57">
      <w:pPr>
        <w:rPr>
          <w:b/>
          <w:lang w:val="en-US"/>
        </w:rPr>
      </w:pPr>
    </w:p>
    <w:p w14:paraId="14E48323" w14:textId="70D53884" w:rsidR="00A2270D" w:rsidRDefault="00487561" w:rsidP="004F0C57">
      <w:pPr>
        <w:rPr>
          <w:rFonts w:eastAsiaTheme="minorEastAsia"/>
          <w:lang w:val="en-US"/>
        </w:rPr>
      </w:pPr>
      <w:r>
        <w:rPr>
          <w:lang w:val="en-US"/>
        </w:rPr>
        <w:t>To compare the effects of the parameters on total variance-covariance structure, I used relative PCA, comparing pairs of models in the same bin against those the furthest apart (i.e. relative PCA between two models with very similar values for a given parameter, compared against relative PCA between two models with maximum difference in values for a given parameter). Mean values of log generalized variance were compared between these two groups for each parameter</w:t>
      </w:r>
      <w:r w:rsidR="00D82638">
        <w:rPr>
          <w:lang w:val="en-US"/>
        </w:rPr>
        <w:t xml:space="preserve"> (</w:t>
      </w:r>
      <w:r w:rsidR="001843C9">
        <w:rPr>
          <w:highlight w:val="yellow"/>
          <w:lang w:val="en-US"/>
        </w:rPr>
        <w:t>Figure 2</w:t>
      </w:r>
      <w:r w:rsidR="00D82638">
        <w:rPr>
          <w:lang w:val="en-US"/>
        </w:rPr>
        <w:t>)</w:t>
      </w:r>
      <w:r>
        <w:rPr>
          <w:lang w:val="en-US"/>
        </w:rPr>
        <w:t>. Large discrepancies in deleterious mutation between pairs resulted in higher log generalized variance (t</w:t>
      </w:r>
      <w:r>
        <w:rPr>
          <w:vertAlign w:val="subscript"/>
          <w:lang w:val="en-US"/>
        </w:rPr>
        <w:t>17626</w:t>
      </w:r>
      <w:r>
        <w:rPr>
          <w:lang w:val="en-US"/>
        </w:rPr>
        <w:t xml:space="preserve"> = -23.433, p &lt; 0.0001), with a mean difference of 2.539 (</w:t>
      </w:r>
      <w:r>
        <w:rPr>
          <w:b/>
          <w:lang w:val="en-US"/>
        </w:rPr>
        <w:t>log generalized variance – not sure how to interpret what this number actually means in a quantitative sense</w:t>
      </w:r>
      <w:r>
        <w:rPr>
          <w:lang w:val="en-US"/>
        </w:rPr>
        <w:t>). The same was true for rate of pleiotropy (t</w:t>
      </w:r>
      <w:r>
        <w:rPr>
          <w:vertAlign w:val="subscript"/>
          <w:lang w:val="en-US"/>
        </w:rPr>
        <w:t>24740</w:t>
      </w:r>
      <w:r>
        <w:rPr>
          <w:lang w:val="en-US"/>
        </w:rPr>
        <w:t xml:space="preserve"> = -5.709,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w:t>
      </w:r>
      <w:r>
        <w:rPr>
          <w:lang w:val="en-US"/>
        </w:rPr>
        <w:t>0.61), pleiotropic covariance (t</w:t>
      </w:r>
      <w:r w:rsidR="00A2270D">
        <w:rPr>
          <w:vertAlign w:val="subscript"/>
          <w:lang w:val="en-US"/>
        </w:rPr>
        <w:t>14700</w:t>
      </w:r>
      <w:r w:rsidR="00A2270D">
        <w:rPr>
          <w:lang w:val="en-US"/>
        </w:rPr>
        <w:t xml:space="preserve"> = -7.017,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0.925), and additive effect size (t</w:t>
      </w:r>
      <w:r w:rsidR="00A2270D">
        <w:rPr>
          <w:rFonts w:eastAsiaTheme="minorEastAsia"/>
          <w:vertAlign w:val="subscript"/>
          <w:lang w:val="en-US"/>
        </w:rPr>
        <w:t>17295</w:t>
      </w:r>
      <w:r w:rsidR="00A2270D">
        <w:rPr>
          <w:rFonts w:eastAsiaTheme="minorEastAsia"/>
          <w:lang w:val="en-US"/>
        </w:rPr>
        <w:t xml:space="preserve"> = -19.961,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2.356</w:t>
      </w:r>
      <w:r w:rsidR="007C7F38">
        <w:rPr>
          <w:rFonts w:eastAsiaTheme="minorEastAsia"/>
          <w:lang w:val="en-US"/>
        </w:rPr>
        <w:t>). Recombination rate differed from the other results, with log generalized variance decreasing with increasing differences between paired models (t</w:t>
      </w:r>
      <w:r w:rsidR="007C7F38">
        <w:rPr>
          <w:rFonts w:eastAsiaTheme="minorEastAsia"/>
          <w:vertAlign w:val="subscript"/>
          <w:lang w:val="en-US"/>
        </w:rPr>
        <w:t>7275.4</w:t>
      </w:r>
      <w:r w:rsidR="007C7F38">
        <w:rPr>
          <w:rFonts w:eastAsiaTheme="minorEastAsia"/>
          <w:lang w:val="en-US"/>
        </w:rPr>
        <w:t xml:space="preserve"> = 9.405,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7C7F38">
        <w:rPr>
          <w:rFonts w:eastAsiaTheme="minorEastAsia"/>
          <w:lang w:val="en-US"/>
        </w:rPr>
        <w:t xml:space="preserve"> = -1.51). </w:t>
      </w:r>
      <w:r w:rsidR="00F77E1D">
        <w:rPr>
          <w:rFonts w:eastAsiaTheme="minorEastAsia"/>
          <w:lang w:val="en-US"/>
        </w:rPr>
        <w:t xml:space="preserve">As well as differences in means, distributions of log generalized variances also differed significantly. </w:t>
      </w:r>
    </w:p>
    <w:p w14:paraId="33BBDC54" w14:textId="1C1C1F7D" w:rsidR="00A2552C" w:rsidRDefault="00A2552C" w:rsidP="004F0C57">
      <w:pPr>
        <w:rPr>
          <w:rFonts w:eastAsiaTheme="minorEastAsia"/>
          <w:lang w:val="en-US"/>
        </w:rPr>
      </w:pPr>
      <w:r>
        <w:rPr>
          <w:rFonts w:eastAsiaTheme="minorEastAsia"/>
          <w:lang w:val="en-US"/>
        </w:rPr>
        <w:t>I used two-sample Kolmogorov-Smirnov tests to assess differences between the distributions of log generalized variance between similar- and distinct-parameter pairs (</w:t>
      </w:r>
      <w:r w:rsidR="001843C9">
        <w:rPr>
          <w:rFonts w:eastAsiaTheme="minorEastAsia"/>
          <w:highlight w:val="yellow"/>
          <w:lang w:val="en-US"/>
        </w:rPr>
        <w:t>Figure 3</w:t>
      </w:r>
      <w:r w:rsidR="00CA3EE7">
        <w:rPr>
          <w:rFonts w:eastAsiaTheme="minorEastAsia"/>
          <w:lang w:val="en-US"/>
        </w:rPr>
        <w:t>). All distributions were significantly different (Table 2).</w:t>
      </w:r>
      <w:r w:rsidR="00EF444B">
        <w:rPr>
          <w:rFonts w:eastAsiaTheme="minorEastAsia"/>
          <w:lang w:val="en-US"/>
        </w:rPr>
        <w:t xml:space="preserve"> Comparisons between models with large differences in deleterious mutation frequency showed considerable increases in frequencies of log generalized variances around zero, with bimodal peaks on either side of zero (Figure 2). Comparisons between models with large differences in either pleiotropy rates or additive effect size also led to multimodal distributions, with a bottleneck effect appearing on either side of the center, with compression of the tails</w:t>
      </w:r>
      <w:r w:rsidR="00321F8E">
        <w:rPr>
          <w:rFonts w:eastAsiaTheme="minorEastAsia"/>
          <w:lang w:val="en-US"/>
        </w:rPr>
        <w:t xml:space="preserve"> (Figure 2)</w:t>
      </w:r>
      <w:r w:rsidR="00EF444B">
        <w:rPr>
          <w:rFonts w:eastAsiaTheme="minorEastAsia"/>
          <w:lang w:val="en-US"/>
        </w:rPr>
        <w:t xml:space="preserve">. </w:t>
      </w:r>
      <w:r w:rsidR="00321F8E">
        <w:rPr>
          <w:rFonts w:eastAsiaTheme="minorEastAsia"/>
          <w:lang w:val="en-US"/>
        </w:rPr>
        <w:t xml:space="preserve">Large differences in recombination similarly compressed the range of variation in log generalized variance between models, with a strong bottleneck appearing below zero log generalized variance. Large differences in pleiotropic covariance led to more subtle patterns, where small bottlenecks and tail compression were visible, but to a much lesser extent than with the other parameters. </w:t>
      </w:r>
    </w:p>
    <w:p w14:paraId="64DDBBF1" w14:textId="77777777" w:rsidR="007E653D" w:rsidRDefault="007E653D" w:rsidP="004F0C57">
      <w:pPr>
        <w:rPr>
          <w:rFonts w:eastAsiaTheme="minorEastAsia"/>
          <w:lang w:val="en-US"/>
        </w:rPr>
      </w:pPr>
    </w:p>
    <w:p w14:paraId="2BC49B4F" w14:textId="77777777" w:rsidR="007E653D" w:rsidRDefault="007E653D" w:rsidP="004F0C57">
      <w:pPr>
        <w:rPr>
          <w:rFonts w:eastAsiaTheme="minorEastAsia"/>
          <w:lang w:val="en-US"/>
        </w:rPr>
      </w:pPr>
    </w:p>
    <w:p w14:paraId="3D45B385" w14:textId="77777777" w:rsidR="004E0ECF" w:rsidRDefault="004E0ECF" w:rsidP="004F0C57">
      <w:pPr>
        <w:rPr>
          <w:rFonts w:eastAsiaTheme="minorEastAsia"/>
          <w:lang w:val="en-US"/>
        </w:rPr>
      </w:pPr>
    </w:p>
    <w:p w14:paraId="3604C9FC" w14:textId="77777777" w:rsidR="004E0ECF" w:rsidRDefault="004E0ECF" w:rsidP="004F0C57">
      <w:pPr>
        <w:rPr>
          <w:rFonts w:eastAsiaTheme="minorEastAsia"/>
          <w:lang w:val="en-US"/>
        </w:rPr>
      </w:pPr>
    </w:p>
    <w:p w14:paraId="40D2EC2B" w14:textId="77777777" w:rsidR="00F72186" w:rsidRDefault="00F72186" w:rsidP="004F0C57">
      <w:pPr>
        <w:rPr>
          <w:rFonts w:eastAsiaTheme="minorEastAsia"/>
          <w:lang w:val="en-US"/>
        </w:rPr>
      </w:pPr>
    </w:p>
    <w:p w14:paraId="76BB13E5" w14:textId="77777777" w:rsidR="00F72186" w:rsidRDefault="00F72186" w:rsidP="004F0C57">
      <w:pPr>
        <w:rPr>
          <w:rFonts w:eastAsiaTheme="minorEastAsia"/>
          <w:lang w:val="en-US"/>
        </w:rPr>
      </w:pPr>
    </w:p>
    <w:p w14:paraId="05410060" w14:textId="29B80EB6" w:rsidR="007E653D" w:rsidRDefault="007E653D" w:rsidP="007E653D">
      <w:pPr>
        <w:pStyle w:val="Heading2"/>
      </w:pPr>
      <w:r>
        <w:lastRenderedPageBreak/>
        <w:t>Selection model</w:t>
      </w:r>
    </w:p>
    <w:p w14:paraId="41B8DC88" w14:textId="156F4871" w:rsidR="004E0ECF" w:rsidRDefault="004E0ECF" w:rsidP="004E0ECF">
      <w:pPr>
        <w:rPr>
          <w:lang w:val="en-US"/>
        </w:rPr>
      </w:pPr>
      <w:r w:rsidRPr="004E0ECF">
        <w:rPr>
          <w:lang w:val="en-US"/>
        </w:rPr>
        <w:t xml:space="preserve">To compare the effects of parameters on variance-covariance structure, I computed </w:t>
      </w:r>
      <w:r w:rsidRPr="004E0ECF">
        <w:rPr>
          <w:b/>
          <w:lang w:val="en-US"/>
        </w:rPr>
        <w:t>G</w:t>
      </w:r>
      <w:r w:rsidRPr="004E0ECF">
        <w:rPr>
          <w:lang w:val="en-US"/>
        </w:rPr>
        <w:t xml:space="preserve"> ellipses of traits 1 and 2, comparing ellipse area</w:t>
      </w:r>
      <w:r>
        <w:rPr>
          <w:lang w:val="en-US"/>
        </w:rPr>
        <w:t>,</w:t>
      </w:r>
      <w:r w:rsidRPr="004E0ECF">
        <w:rPr>
          <w:lang w:val="en-US"/>
        </w:rPr>
        <w:t xml:space="preserve"> major-minor axis ratios, and angle</w:t>
      </w:r>
      <w:r>
        <w:rPr>
          <w:lang w:val="en-US"/>
        </w:rPr>
        <w:t>s of rotation around the center</w:t>
      </w:r>
      <w:r w:rsidR="00897D18">
        <w:rPr>
          <w:lang w:val="en-US"/>
        </w:rPr>
        <w:t xml:space="preserve"> (</w:t>
      </w:r>
      <w:r w:rsidR="00897D18" w:rsidRPr="00897D18">
        <w:rPr>
          <w:highlight w:val="yellow"/>
          <w:lang w:val="en-US"/>
        </w:rPr>
        <w:t>Figure</w:t>
      </w:r>
      <w:r w:rsidR="001843C9">
        <w:rPr>
          <w:highlight w:val="yellow"/>
          <w:lang w:val="en-US"/>
        </w:rPr>
        <w:t xml:space="preserve"> 4</w:t>
      </w:r>
      <w:r w:rsidR="00E630D0">
        <w:rPr>
          <w:lang w:val="en-US"/>
        </w:rPr>
        <w:t>)</w:t>
      </w:r>
      <w:r>
        <w:rPr>
          <w:lang w:val="en-US"/>
        </w:rPr>
        <w:t xml:space="preserve">. </w:t>
      </w:r>
      <w:r w:rsidR="00752EB2">
        <w:rPr>
          <w:lang w:val="en-US"/>
        </w:rPr>
        <w:t xml:space="preserve">Within all three responses, interactions between variables were highly significant. </w:t>
      </w:r>
    </w:p>
    <w:p w14:paraId="3FFF6DD1" w14:textId="7FA12704" w:rsidR="00A95E48" w:rsidRDefault="00A95E48" w:rsidP="004E0ECF">
      <w:pPr>
        <w:rPr>
          <w:rStyle w:val="acopre"/>
        </w:rPr>
      </w:pPr>
      <w:r>
        <w:rPr>
          <w:lang w:val="en-US"/>
        </w:rPr>
        <w:t>The area of the ellipse was greatly affected by changes in all parameters. Under strong selection, increasing background selection</w:t>
      </w:r>
      <w:r w:rsidR="00E141DE">
        <w:rPr>
          <w:lang w:val="en-US"/>
        </w:rPr>
        <w:t xml:space="preserve"> from low</w:t>
      </w:r>
      <w:r>
        <w:rPr>
          <w:lang w:val="en-US"/>
        </w:rPr>
        <w:t xml:space="preserve"> to high levels resulted in a decrease of </w:t>
      </w:r>
      <w:r w:rsidR="00E141DE">
        <w:rPr>
          <w:lang w:val="en-US"/>
        </w:rPr>
        <w:t xml:space="preserve">1671 </w:t>
      </w:r>
      <w:r w:rsidR="00A02701" w:rsidRPr="00A02701">
        <w:rPr>
          <w:lang w:val="en-US"/>
        </w:rPr>
        <w:t>±</w:t>
      </w:r>
      <w:r w:rsidR="00A02701">
        <w:rPr>
          <w:lang w:val="en-US"/>
        </w:rPr>
        <w:t xml:space="preserve"> 2</w:t>
      </w:r>
      <w:r w:rsidR="00E141DE">
        <w:rPr>
          <w:lang w:val="en-US"/>
        </w:rPr>
        <w:t>10</w:t>
      </w:r>
      <w:r>
        <w:rPr>
          <w:lang w:val="en-US"/>
        </w:rPr>
        <w:t xml:space="preserve"> units</w:t>
      </w:r>
      <w:r>
        <w:rPr>
          <w:vertAlign w:val="superscript"/>
          <w:lang w:val="en-US"/>
        </w:rPr>
        <w:t>2</w:t>
      </w:r>
      <w:r>
        <w:rPr>
          <w:lang w:val="en-US"/>
        </w:rPr>
        <w:t xml:space="preserve"> in area (t</w:t>
      </w:r>
      <w:r w:rsidR="00E141DE">
        <w:rPr>
          <w:vertAlign w:val="subscript"/>
          <w:lang w:val="en-US"/>
        </w:rPr>
        <w:t>255</w:t>
      </w:r>
      <w:r>
        <w:rPr>
          <w:vertAlign w:val="subscript"/>
          <w:lang w:val="en-US"/>
        </w:rPr>
        <w:t>27</w:t>
      </w:r>
      <w:r>
        <w:rPr>
          <w:lang w:val="en-US"/>
        </w:rPr>
        <w:t xml:space="preserve"> = </w:t>
      </w:r>
      <w:r w:rsidR="00E141DE">
        <w:rPr>
          <w:lang w:val="en-US"/>
        </w:rPr>
        <w:t>7.962</w:t>
      </w:r>
      <w:r>
        <w:rPr>
          <w:lang w:val="en-US"/>
        </w:rPr>
        <w:t xml:space="preserve">, p &lt; .0001). Under weak selection however, the same increase in background selection led to </w:t>
      </w:r>
      <w:r w:rsidR="00E141DE">
        <w:rPr>
          <w:lang w:val="en-US"/>
        </w:rPr>
        <w:t xml:space="preserve">larger decrease of 5002 </w:t>
      </w:r>
      <w:r w:rsidR="00E141DE" w:rsidRPr="00A02701">
        <w:rPr>
          <w:lang w:val="en-US"/>
        </w:rPr>
        <w:t>±</w:t>
      </w:r>
      <w:r w:rsidR="00E141DE">
        <w:rPr>
          <w:lang w:val="en-US"/>
        </w:rPr>
        <w:t xml:space="preserve"> 223 units</w:t>
      </w:r>
      <w:r w:rsidR="00E141DE">
        <w:rPr>
          <w:vertAlign w:val="superscript"/>
          <w:lang w:val="en-US"/>
        </w:rPr>
        <w:t>2</w:t>
      </w:r>
      <w:r w:rsidR="00E141DE">
        <w:rPr>
          <w:lang w:val="en-US"/>
        </w:rPr>
        <w:t xml:space="preserve"> </w:t>
      </w:r>
      <w:r>
        <w:rPr>
          <w:lang w:val="en-US"/>
        </w:rPr>
        <w:t>(t</w:t>
      </w:r>
      <w:r w:rsidR="00E141DE">
        <w:rPr>
          <w:vertAlign w:val="subscript"/>
          <w:lang w:val="en-US"/>
        </w:rPr>
        <w:t>25527</w:t>
      </w:r>
      <w:r>
        <w:rPr>
          <w:lang w:val="en-US"/>
        </w:rPr>
        <w:t xml:space="preserve"> = </w:t>
      </w:r>
      <w:r w:rsidR="00E141DE">
        <w:rPr>
          <w:lang w:val="en-US"/>
        </w:rPr>
        <w:t>22.467</w:t>
      </w:r>
      <w:r>
        <w:rPr>
          <w:lang w:val="en-US"/>
        </w:rPr>
        <w:t xml:space="preserve">, p </w:t>
      </w:r>
      <w:r w:rsidR="00E141DE">
        <w:rPr>
          <w:lang w:val="en-US"/>
        </w:rPr>
        <w:t>&lt; 0.0001</w:t>
      </w:r>
      <w:r>
        <w:rPr>
          <w:lang w:val="en-US"/>
        </w:rPr>
        <w:t xml:space="preserve">). </w:t>
      </w:r>
      <w:r w:rsidR="00A02701">
        <w:rPr>
          <w:lang w:val="en-US"/>
        </w:rPr>
        <w:t xml:space="preserve">Increasing recombination rate in both cases decreased ellipse area, however more-so at high selection strength (high selection: </w:t>
      </w:r>
      <w:r w:rsidR="008A2847">
        <w:rPr>
          <w:lang w:val="en-US"/>
        </w:rPr>
        <w:t xml:space="preserve">2665.3 </w:t>
      </w:r>
      <w:r w:rsidR="00A02701">
        <w:rPr>
          <w:rStyle w:val="acopre"/>
        </w:rPr>
        <w:t>± 2</w:t>
      </w:r>
      <w:r w:rsidR="008A2847">
        <w:rPr>
          <w:rStyle w:val="acopre"/>
        </w:rPr>
        <w:t>09</w:t>
      </w:r>
      <w:r w:rsidR="00A02701">
        <w:rPr>
          <w:rStyle w:val="acopre"/>
        </w:rPr>
        <w:t xml:space="preserve"> units</w:t>
      </w:r>
      <w:r w:rsidR="00A02701">
        <w:rPr>
          <w:rStyle w:val="acopre"/>
          <w:vertAlign w:val="superscript"/>
        </w:rPr>
        <w:t>2</w:t>
      </w:r>
      <w:r w:rsidR="00FA6A2D">
        <w:rPr>
          <w:rStyle w:val="acopre"/>
        </w:rPr>
        <w:t xml:space="preserve"> of change</w:t>
      </w:r>
      <w:r w:rsidR="00A02701">
        <w:rPr>
          <w:rStyle w:val="acopre"/>
        </w:rPr>
        <w:t>; t</w:t>
      </w:r>
      <w:r w:rsidR="00E141DE">
        <w:rPr>
          <w:rStyle w:val="acopre"/>
          <w:vertAlign w:val="subscript"/>
        </w:rPr>
        <w:t>25527</w:t>
      </w:r>
      <w:r w:rsidR="00A02701">
        <w:rPr>
          <w:rStyle w:val="acopre"/>
        </w:rPr>
        <w:t xml:space="preserve"> = </w:t>
      </w:r>
      <w:r w:rsidR="008A2847">
        <w:rPr>
          <w:rStyle w:val="acopre"/>
        </w:rPr>
        <w:t>12.762</w:t>
      </w:r>
      <w:r w:rsidR="00A02701">
        <w:rPr>
          <w:rStyle w:val="acopre"/>
        </w:rPr>
        <w:t xml:space="preserve">, p &lt; 0.0001; low selection: </w:t>
      </w:r>
      <w:r w:rsidR="008A2847">
        <w:rPr>
          <w:rStyle w:val="acopre"/>
        </w:rPr>
        <w:t>3781</w:t>
      </w:r>
      <w:r w:rsidR="00A02701">
        <w:rPr>
          <w:rStyle w:val="acopre"/>
        </w:rPr>
        <w:t xml:space="preserve"> ± 2</w:t>
      </w:r>
      <w:r w:rsidR="008A2847">
        <w:rPr>
          <w:rStyle w:val="acopre"/>
        </w:rPr>
        <w:t>27</w:t>
      </w:r>
      <w:r w:rsidR="00A02701">
        <w:rPr>
          <w:rStyle w:val="acopre"/>
        </w:rPr>
        <w:t xml:space="preserve"> units</w:t>
      </w:r>
      <w:r w:rsidR="00A02701">
        <w:rPr>
          <w:rStyle w:val="acopre"/>
          <w:vertAlign w:val="superscript"/>
        </w:rPr>
        <w:t>2</w:t>
      </w:r>
      <w:r w:rsidR="00A02701">
        <w:rPr>
          <w:rStyle w:val="acopre"/>
        </w:rPr>
        <w:t>; t</w:t>
      </w:r>
      <w:r w:rsidR="00E141DE">
        <w:rPr>
          <w:rStyle w:val="acopre"/>
          <w:vertAlign w:val="subscript"/>
        </w:rPr>
        <w:t>25527</w:t>
      </w:r>
      <w:r w:rsidR="00A02701">
        <w:t xml:space="preserve"> = </w:t>
      </w:r>
      <w:r w:rsidR="008A2847">
        <w:t>16.622</w:t>
      </w:r>
      <w:r w:rsidR="00A02701">
        <w:t xml:space="preserve">, p &lt; 0.0001). </w:t>
      </w:r>
      <w:r w:rsidR="00AD2A73">
        <w:t xml:space="preserve">Increasing the rate of pleiotropy increases </w:t>
      </w:r>
      <w:r w:rsidR="00AD2A73">
        <w:rPr>
          <w:b/>
        </w:rPr>
        <w:t>G</w:t>
      </w:r>
      <w:r w:rsidR="00AD2A73">
        <w:t xml:space="preserve"> ellipse area, </w:t>
      </w:r>
      <w:r w:rsidR="00CC3DA5">
        <w:t xml:space="preserve">under both high and low selection strengths; this effect is stronger under high selection strengths </w:t>
      </w:r>
      <w:r w:rsidR="00AD2A73">
        <w:t>(</w:t>
      </w:r>
      <w:r w:rsidR="00CC3DA5">
        <w:t xml:space="preserve">high selection: </w:t>
      </w:r>
      <w:r w:rsidR="00F51A26">
        <w:t>4000.1</w:t>
      </w:r>
      <w:r w:rsidR="00AD2A73">
        <w:t xml:space="preserve"> </w:t>
      </w:r>
      <w:r w:rsidR="00AD2A73">
        <w:rPr>
          <w:rStyle w:val="acopre"/>
        </w:rPr>
        <w:t xml:space="preserve">± </w:t>
      </w:r>
      <w:r w:rsidR="00F51A26">
        <w:rPr>
          <w:rStyle w:val="acopre"/>
        </w:rPr>
        <w:t>212</w:t>
      </w:r>
      <w:r w:rsidR="00AD2A73">
        <w:rPr>
          <w:rStyle w:val="acopre"/>
        </w:rPr>
        <w:t xml:space="preserve"> units</w:t>
      </w:r>
      <w:r w:rsidR="00AD2A73">
        <w:rPr>
          <w:rStyle w:val="acopre"/>
          <w:vertAlign w:val="superscript"/>
        </w:rPr>
        <w:t>2</w:t>
      </w:r>
      <w:r w:rsidR="00AD2A73">
        <w:rPr>
          <w:rStyle w:val="acopre"/>
        </w:rPr>
        <w:t>; t</w:t>
      </w:r>
      <w:r w:rsidR="00E141DE">
        <w:rPr>
          <w:rStyle w:val="acopre"/>
          <w:vertAlign w:val="subscript"/>
        </w:rPr>
        <w:t>25527</w:t>
      </w:r>
      <w:r w:rsidR="00AD2A73">
        <w:rPr>
          <w:rStyle w:val="acopre"/>
        </w:rPr>
        <w:t xml:space="preserve"> = -</w:t>
      </w:r>
      <w:r w:rsidR="00F51A26">
        <w:rPr>
          <w:rStyle w:val="acopre"/>
        </w:rPr>
        <w:t>18.866</w:t>
      </w:r>
      <w:r w:rsidR="00AD2A73">
        <w:rPr>
          <w:rStyle w:val="acopre"/>
        </w:rPr>
        <w:t>, p &lt; 0.0003</w:t>
      </w:r>
      <w:r w:rsidR="00F51A26">
        <w:rPr>
          <w:rStyle w:val="acopre"/>
        </w:rPr>
        <w:t xml:space="preserve">; low selection: 1426.7 </w:t>
      </w:r>
      <w:r w:rsidR="00F51A26" w:rsidRPr="00A02701">
        <w:rPr>
          <w:lang w:val="en-US"/>
        </w:rPr>
        <w:t>±</w:t>
      </w:r>
      <w:r w:rsidR="00F51A26">
        <w:rPr>
          <w:lang w:val="en-US"/>
        </w:rPr>
        <w:t xml:space="preserve"> 221 t</w:t>
      </w:r>
      <w:r w:rsidR="00F51A26">
        <w:rPr>
          <w:vertAlign w:val="subscript"/>
          <w:lang w:val="en-US"/>
        </w:rPr>
        <w:t>25527</w:t>
      </w:r>
      <w:r w:rsidR="00F51A26">
        <w:rPr>
          <w:lang w:val="en-US"/>
        </w:rPr>
        <w:t xml:space="preserve"> = -6.447, p &lt; 0.0001</w:t>
      </w:r>
      <w:r w:rsidR="00AD2A73">
        <w:rPr>
          <w:rStyle w:val="acopre"/>
        </w:rPr>
        <w:t>).</w:t>
      </w:r>
    </w:p>
    <w:p w14:paraId="7E8056AA" w14:textId="1455F71A" w:rsidR="00F17580" w:rsidRPr="00980383" w:rsidRDefault="002E5721" w:rsidP="004E0ECF">
      <w:r>
        <w:rPr>
          <w:rStyle w:val="acopre"/>
        </w:rPr>
        <w:t xml:space="preserve">The angle of rotation around the centroid </w:t>
      </w:r>
      <w:r w:rsidR="008349C8">
        <w:rPr>
          <w:rStyle w:val="acopre"/>
        </w:rPr>
        <w:t xml:space="preserve">significantly differed between many groups, with strong interactions. Under strong selection, increasing </w:t>
      </w:r>
      <w:r w:rsidR="005D3309">
        <w:rPr>
          <w:rStyle w:val="acopre"/>
        </w:rPr>
        <w:t xml:space="preserve">background selection </w:t>
      </w:r>
      <w:r w:rsidR="008349C8">
        <w:rPr>
          <w:rStyle w:val="acopre"/>
        </w:rPr>
        <w:t xml:space="preserve">led to </w:t>
      </w:r>
      <w:r w:rsidR="005D3309">
        <w:rPr>
          <w:rStyle w:val="acopre"/>
        </w:rPr>
        <w:t xml:space="preserve">a </w:t>
      </w:r>
      <w:r w:rsidR="00826D70">
        <w:rPr>
          <w:rStyle w:val="acopre"/>
        </w:rPr>
        <w:t>counter-clockwise</w:t>
      </w:r>
      <w:r w:rsidR="008349C8">
        <w:rPr>
          <w:rStyle w:val="acopre"/>
        </w:rPr>
        <w:t xml:space="preserve"> rotation of </w:t>
      </w:r>
      <w:r w:rsidR="00826D70">
        <w:rPr>
          <w:rStyle w:val="acopre"/>
        </w:rPr>
        <w:t>1</w:t>
      </w:r>
      <w:r w:rsidR="008349C8">
        <w:rPr>
          <w:rStyle w:val="acopre"/>
        </w:rPr>
        <w:t>3.</w:t>
      </w:r>
      <w:r w:rsidR="00826D70">
        <w:rPr>
          <w:rStyle w:val="acopre"/>
        </w:rPr>
        <w:t>56</w:t>
      </w:r>
      <w:r w:rsidR="008349C8">
        <w:rPr>
          <w:rStyle w:val="acopre"/>
        </w:rPr>
        <w:t xml:space="preserve"> ± </w:t>
      </w:r>
      <w:r w:rsidR="00826D70">
        <w:rPr>
          <w:rStyle w:val="acopre"/>
        </w:rPr>
        <w:t>1.99</w:t>
      </w:r>
      <w:r w:rsidR="008349C8">
        <w:rPr>
          <w:rStyle w:val="acopre"/>
        </w:rPr>
        <w:t xml:space="preserve"> degrees (t</w:t>
      </w:r>
      <w:r w:rsidR="00E141DE">
        <w:rPr>
          <w:rStyle w:val="acopre"/>
          <w:vertAlign w:val="subscript"/>
        </w:rPr>
        <w:t>25527</w:t>
      </w:r>
      <w:r w:rsidR="008349C8">
        <w:t>= -</w:t>
      </w:r>
      <w:r w:rsidR="00826D70">
        <w:t>6.797</w:t>
      </w:r>
      <w:r w:rsidR="008349C8">
        <w:t>, p &lt; 0.0001)</w:t>
      </w:r>
      <w:r w:rsidR="00826D70">
        <w:t>. Under weak selection, there was no significant change</w:t>
      </w:r>
      <w:r w:rsidR="008349C8">
        <w:t xml:space="preserve"> </w:t>
      </w:r>
      <w:r w:rsidR="00826D70">
        <w:t>in rotation when background selection was increased from low to high</w:t>
      </w:r>
      <w:r w:rsidR="008349C8">
        <w:rPr>
          <w:rStyle w:val="acopre"/>
        </w:rPr>
        <w:t>.</w:t>
      </w:r>
      <w:r w:rsidR="00AE5BBD">
        <w:rPr>
          <w:rStyle w:val="acopre"/>
        </w:rPr>
        <w:t xml:space="preserve"> </w:t>
      </w:r>
      <w:r w:rsidR="004953B6">
        <w:rPr>
          <w:rStyle w:val="acopre"/>
        </w:rPr>
        <w:t>W</w:t>
      </w:r>
      <w:r w:rsidR="00AE5BBD">
        <w:rPr>
          <w:rStyle w:val="acopre"/>
        </w:rPr>
        <w:t>hen recombination is increased</w:t>
      </w:r>
      <w:r w:rsidR="004953B6">
        <w:rPr>
          <w:rStyle w:val="acopre"/>
        </w:rPr>
        <w:t>, selection has a similar effect on rotation</w:t>
      </w:r>
      <w:r w:rsidR="00AE5BBD">
        <w:rPr>
          <w:rStyle w:val="acopre"/>
        </w:rPr>
        <w:t xml:space="preserve">. Under strong selection, increases in recombination lead to clockwise rotations of </w:t>
      </w:r>
      <w:r w:rsidR="004953B6">
        <w:rPr>
          <w:rStyle w:val="acopre"/>
        </w:rPr>
        <w:t>39.94</w:t>
      </w:r>
      <w:r w:rsidR="00AE5BBD">
        <w:rPr>
          <w:rStyle w:val="acopre"/>
        </w:rPr>
        <w:t xml:space="preserve"> ± </w:t>
      </w:r>
      <w:r w:rsidR="004953B6">
        <w:rPr>
          <w:rStyle w:val="acopre"/>
        </w:rPr>
        <w:t>1.98</w:t>
      </w:r>
      <w:r w:rsidR="00AE5BBD">
        <w:rPr>
          <w:rStyle w:val="acopre"/>
        </w:rPr>
        <w:t xml:space="preserve"> degrees (t</w:t>
      </w:r>
      <w:r w:rsidR="00E141DE">
        <w:rPr>
          <w:rStyle w:val="acopre"/>
          <w:vertAlign w:val="subscript"/>
        </w:rPr>
        <w:t>25527</w:t>
      </w:r>
      <w:r w:rsidR="00AE5BBD">
        <w:rPr>
          <w:rStyle w:val="acopre"/>
        </w:rPr>
        <w:t xml:space="preserve"> = </w:t>
      </w:r>
      <w:r w:rsidR="004953B6">
        <w:rPr>
          <w:rStyle w:val="acopre"/>
        </w:rPr>
        <w:t>20.128</w:t>
      </w:r>
      <w:r w:rsidR="00AE5BBD">
        <w:rPr>
          <w:rStyle w:val="acopre"/>
        </w:rPr>
        <w:t xml:space="preserve">, p </w:t>
      </w:r>
      <w:r w:rsidR="004953B6">
        <w:rPr>
          <w:rStyle w:val="acopre"/>
        </w:rPr>
        <w:t>&lt;</w:t>
      </w:r>
      <w:r w:rsidR="00AE5BBD">
        <w:rPr>
          <w:rStyle w:val="acopre"/>
        </w:rPr>
        <w:t xml:space="preserve"> 0.00</w:t>
      </w:r>
      <w:r w:rsidR="004953B6">
        <w:rPr>
          <w:rStyle w:val="acopre"/>
        </w:rPr>
        <w:t>01</w:t>
      </w:r>
      <w:r w:rsidR="00AE5BBD">
        <w:rPr>
          <w:rStyle w:val="acopre"/>
        </w:rPr>
        <w:t xml:space="preserve">), whereas under weak selection this effect is </w:t>
      </w:r>
      <w:r w:rsidR="004953B6">
        <w:rPr>
          <w:rStyle w:val="acopre"/>
        </w:rPr>
        <w:t>reduced</w:t>
      </w:r>
      <w:r w:rsidR="00AE5BBD">
        <w:rPr>
          <w:rStyle w:val="acopre"/>
        </w:rPr>
        <w:t xml:space="preserve"> to </w:t>
      </w:r>
      <w:r w:rsidR="004953B6">
        <w:rPr>
          <w:rStyle w:val="acopre"/>
        </w:rPr>
        <w:t>23.79</w:t>
      </w:r>
      <w:r w:rsidR="00AE5BBD">
        <w:rPr>
          <w:rStyle w:val="acopre"/>
        </w:rPr>
        <w:t xml:space="preserve"> ± </w:t>
      </w:r>
      <w:r w:rsidR="004953B6">
        <w:rPr>
          <w:rStyle w:val="acopre"/>
        </w:rPr>
        <w:t>2.16</w:t>
      </w:r>
      <w:r w:rsidR="00AE5BBD">
        <w:rPr>
          <w:rStyle w:val="acopre"/>
        </w:rPr>
        <w:t xml:space="preserve"> degrees (t</w:t>
      </w:r>
      <w:r w:rsidR="00E141DE">
        <w:rPr>
          <w:rStyle w:val="acopre"/>
          <w:vertAlign w:val="subscript"/>
        </w:rPr>
        <w:t>25527</w:t>
      </w:r>
      <w:r w:rsidR="00AE5BBD">
        <w:t xml:space="preserve">= </w:t>
      </w:r>
      <w:r w:rsidR="004953B6">
        <w:t>11.008</w:t>
      </w:r>
      <w:r w:rsidR="00AE5BBD">
        <w:t xml:space="preserve">, p &lt; 0.0001). </w:t>
      </w:r>
      <w:r w:rsidR="006A5980">
        <w:t xml:space="preserve">When increasing the rate of pleiotropy, </w:t>
      </w:r>
      <w:r w:rsidR="00980383">
        <w:t xml:space="preserve">under strong selection, there is a </w:t>
      </w:r>
      <w:r w:rsidR="00AB4E76">
        <w:t>counter-</w:t>
      </w:r>
      <w:r w:rsidR="00980383">
        <w:t xml:space="preserve">clockwise rotation of </w:t>
      </w:r>
      <w:r w:rsidR="00AB4E76">
        <w:t xml:space="preserve">16.36 </w:t>
      </w:r>
      <w:r w:rsidR="00980383">
        <w:rPr>
          <w:rStyle w:val="acopre"/>
        </w:rPr>
        <w:t xml:space="preserve">± </w:t>
      </w:r>
      <w:r w:rsidR="00AB4E76">
        <w:rPr>
          <w:rStyle w:val="acopre"/>
        </w:rPr>
        <w:t>2.01</w:t>
      </w:r>
      <w:r w:rsidR="00980383">
        <w:rPr>
          <w:rStyle w:val="acopre"/>
        </w:rPr>
        <w:t xml:space="preserve"> degrees (t</w:t>
      </w:r>
      <w:r w:rsidR="00E141DE">
        <w:rPr>
          <w:rStyle w:val="acopre"/>
          <w:vertAlign w:val="subscript"/>
        </w:rPr>
        <w:t>25527</w:t>
      </w:r>
      <w:r w:rsidR="00980383">
        <w:t xml:space="preserve"> = </w:t>
      </w:r>
      <w:r w:rsidR="00AB4E76">
        <w:t>-8.119</w:t>
      </w:r>
      <w:r w:rsidR="00980383">
        <w:t>, p &lt; 0.0001). Under weak selection however, the mean rotation is</w:t>
      </w:r>
      <w:r w:rsidR="00AB4E76">
        <w:t xml:space="preserve"> increased to</w:t>
      </w:r>
      <w:r w:rsidR="00980383">
        <w:t xml:space="preserve"> </w:t>
      </w:r>
      <w:r w:rsidR="00AB4E76">
        <w:t>20.72</w:t>
      </w:r>
      <w:r w:rsidR="00980383">
        <w:t xml:space="preserve"> </w:t>
      </w:r>
      <w:r w:rsidR="00980383">
        <w:rPr>
          <w:rStyle w:val="acopre"/>
        </w:rPr>
        <w:t xml:space="preserve">± </w:t>
      </w:r>
      <w:r w:rsidR="00AB4E76">
        <w:rPr>
          <w:rStyle w:val="acopre"/>
        </w:rPr>
        <w:t>2.10</w:t>
      </w:r>
      <w:r w:rsidR="00980383">
        <w:rPr>
          <w:rStyle w:val="acopre"/>
        </w:rPr>
        <w:t xml:space="preserve"> degrees in the counter-clockwise direction (t</w:t>
      </w:r>
      <w:r w:rsidR="00E141DE">
        <w:rPr>
          <w:rStyle w:val="acopre"/>
          <w:vertAlign w:val="subscript"/>
        </w:rPr>
        <w:t>25527</w:t>
      </w:r>
      <w:r w:rsidR="00980383">
        <w:rPr>
          <w:rStyle w:val="acopre"/>
        </w:rPr>
        <w:t xml:space="preserve"> = -</w:t>
      </w:r>
      <w:r w:rsidR="00AB4E76">
        <w:rPr>
          <w:rStyle w:val="acopre"/>
        </w:rPr>
        <w:t>9.856</w:t>
      </w:r>
      <w:r w:rsidR="00980383">
        <w:rPr>
          <w:rStyle w:val="acopre"/>
        </w:rPr>
        <w:t xml:space="preserve">, p &lt; 0.0001). </w:t>
      </w:r>
    </w:p>
    <w:p w14:paraId="5A50DE2C" w14:textId="1CAEC7EB" w:rsidR="00AD2A73" w:rsidRPr="00AD2A73" w:rsidRDefault="00AD2A73" w:rsidP="004E0ECF">
      <w:r>
        <w:rPr>
          <w:rStyle w:val="acopre"/>
        </w:rPr>
        <w:t>Major-minor axis ratios were fairly static, with signific</w:t>
      </w:r>
      <w:r w:rsidR="00F17580">
        <w:rPr>
          <w:rStyle w:val="acopre"/>
        </w:rPr>
        <w:t>ant differences being less than 0.1 in magnitude.</w:t>
      </w:r>
    </w:p>
    <w:p w14:paraId="02616DE9" w14:textId="4415302A" w:rsidR="00030268" w:rsidRPr="00030268" w:rsidRDefault="00030268" w:rsidP="004E0ECF">
      <w:pPr>
        <w:rPr>
          <w:b/>
          <w:lang w:val="en-US"/>
        </w:rPr>
      </w:pPr>
      <w:r>
        <w:rPr>
          <w:b/>
          <w:lang w:val="en-US"/>
        </w:rPr>
        <w:t>Almost all comparisons are significant: I think I’ll put the total results in a table and just write out the most interesting ones that I’ll talk about in my discussion.</w:t>
      </w:r>
    </w:p>
    <w:p w14:paraId="6082E964" w14:textId="0508E7FF" w:rsidR="004E0ECF" w:rsidRDefault="004E0ECF" w:rsidP="004E0ECF">
      <w:pPr>
        <w:rPr>
          <w:lang w:val="en-US"/>
        </w:rPr>
      </w:pPr>
    </w:p>
    <w:p w14:paraId="194079E5" w14:textId="77777777" w:rsidR="004E0ECF" w:rsidRDefault="004E0ECF" w:rsidP="004E0ECF">
      <w:pPr>
        <w:rPr>
          <w:lang w:val="en-US"/>
        </w:rPr>
      </w:pPr>
    </w:p>
    <w:p w14:paraId="01F73613" w14:textId="77777777" w:rsidR="00F72186" w:rsidRDefault="00F72186" w:rsidP="004E0ECF">
      <w:pPr>
        <w:rPr>
          <w:lang w:val="en-US"/>
        </w:rPr>
      </w:pPr>
    </w:p>
    <w:p w14:paraId="03E23060" w14:textId="77777777" w:rsidR="00F72186" w:rsidRPr="004E0ECF" w:rsidRDefault="00F72186" w:rsidP="004E0ECF">
      <w:pPr>
        <w:rPr>
          <w:lang w:val="en-US"/>
        </w:rPr>
      </w:pPr>
    </w:p>
    <w:p w14:paraId="6A6930D2" w14:textId="3A4AED64" w:rsidR="004E0ECF" w:rsidRDefault="00F72186" w:rsidP="004E0ECF">
      <w:pPr>
        <w:rPr>
          <w:rFonts w:eastAsiaTheme="minorEastAsia"/>
          <w:lang w:val="en-US"/>
        </w:rPr>
      </w:pPr>
      <w:r>
        <w:rPr>
          <w:lang w:val="en-US"/>
        </w:rPr>
        <w:t>Relative PCA analysis</w:t>
      </w:r>
    </w:p>
    <w:p w14:paraId="3086F354" w14:textId="77777777" w:rsidR="007E653D" w:rsidRPr="007E653D" w:rsidRDefault="007E653D" w:rsidP="007E653D">
      <w:pPr>
        <w:rPr>
          <w:lang w:val="en-US"/>
        </w:rPr>
      </w:pPr>
    </w:p>
    <w:p w14:paraId="0080E3A9" w14:textId="1D878CDD" w:rsidR="0075385C" w:rsidRPr="00A2270D" w:rsidRDefault="00487561" w:rsidP="004F0C57">
      <w:pPr>
        <w:rPr>
          <w:rFonts w:eastAsiaTheme="minorEastAsia"/>
          <w:lang w:val="en-US"/>
        </w:rPr>
      </w:pPr>
      <w:r>
        <w:rPr>
          <w:lang w:val="en-US"/>
        </w:rPr>
        <w:t xml:space="preserve">  </w:t>
      </w:r>
    </w:p>
    <w:p w14:paraId="6BAA7986" w14:textId="77777777" w:rsidR="0075385C" w:rsidRDefault="0075385C" w:rsidP="004F0C57">
      <w:pPr>
        <w:rPr>
          <w:lang w:val="en-US"/>
        </w:rPr>
      </w:pPr>
    </w:p>
    <w:p w14:paraId="0604ED31" w14:textId="700AE375" w:rsidR="0075385C" w:rsidRDefault="001843C9" w:rsidP="001843C9">
      <w:pPr>
        <w:pStyle w:val="Heading1"/>
      </w:pPr>
      <w:r>
        <w:t xml:space="preserve">Snippets </w:t>
      </w: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3BE3E9DE" w14:textId="77777777" w:rsidR="00316740" w:rsidRDefault="00316740" w:rsidP="00316740">
      <w:pPr>
        <w:rPr>
          <w:lang w:val="en-US"/>
        </w:rPr>
      </w:pPr>
      <w:r>
        <w:rPr>
          <w:lang w:val="en-US"/>
        </w:rPr>
        <w:t xml:space="preserve">I then analysed the effects of the parameters on variance and covariance, again using a linear mixed effects model, and choosing to focus on the variance of trait 1 and covariance between traits 1 and 2 as a proxy for all of the variance and covariance terms. I did a more complete analysis of the total variance-covariance structure with PCA and relative PCA later on. </w:t>
      </w:r>
      <w:r>
        <w:rPr>
          <w:b/>
          <w:lang w:val="en-US"/>
        </w:rPr>
        <w:t>Nonsense linear regression results – by adding other factors, delmu increases variation (?), despite the actual data not fitting that trend at all, but by excluding the other factors delmu decreases variation?</w:t>
      </w:r>
    </w:p>
    <w:p w14:paraId="3165EE66" w14:textId="77777777" w:rsidR="00316740" w:rsidRDefault="00316740" w:rsidP="004F0C57">
      <w:pPr>
        <w:rPr>
          <w:lang w:val="en-US"/>
        </w:rPr>
      </w:pPr>
    </w:p>
    <w:p w14:paraId="2E779034" w14:textId="56439834" w:rsidR="00316740" w:rsidRDefault="00EA3377" w:rsidP="004F0C57">
      <w:pPr>
        <w:rPr>
          <w:lang w:val="en-US"/>
        </w:rPr>
      </w:pPr>
      <w:r>
        <w:rPr>
          <w:noProof/>
          <w:lang w:eastAsia="en-AU"/>
        </w:rPr>
        <w:drawing>
          <wp:inline distT="0" distB="0" distL="0" distR="0" wp14:anchorId="6781E1C1" wp14:editId="538FFF57">
            <wp:extent cx="5924550" cy="2609850"/>
            <wp:effectExtent l="0" t="0" r="0" b="0"/>
            <wp:docPr id="2" name="Picture 2" descr="C:\Users\Nick\AppData\Local\Microsoft\Windows\INetCache\Content.Word\GEllips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AppData\Local\Microsoft\Windows\INetCache\Content.Word\GEllipse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609850"/>
                    </a:xfrm>
                    <a:prstGeom prst="rect">
                      <a:avLst/>
                    </a:prstGeom>
                    <a:noFill/>
                    <a:ln>
                      <a:noFill/>
                    </a:ln>
                  </pic:spPr>
                </pic:pic>
              </a:graphicData>
            </a:graphic>
          </wp:inline>
        </w:drawing>
      </w:r>
    </w:p>
    <w:p w14:paraId="72C8EF76" w14:textId="67A70190" w:rsidR="00EA1E67" w:rsidRDefault="00EA1E67" w:rsidP="004F0C57">
      <w:pPr>
        <w:rPr>
          <w:lang w:val="en-US"/>
        </w:rPr>
      </w:pPr>
    </w:p>
    <w:p w14:paraId="2819E874" w14:textId="19382610" w:rsidR="001843C9" w:rsidRPr="00EA3377" w:rsidRDefault="00E27891" w:rsidP="004F0C57">
      <w:pPr>
        <w:rPr>
          <w:lang w:val="en-US"/>
        </w:rPr>
      </w:pPr>
      <w:r>
        <w:rPr>
          <w:lang w:val="en-US"/>
        </w:rPr>
        <w:t xml:space="preserve">Figure 1 </w:t>
      </w:r>
      <w:r w:rsidR="00EA3377">
        <w:rPr>
          <w:lang w:val="en-US"/>
        </w:rPr>
        <w:t xml:space="preserve">– </w:t>
      </w:r>
      <w:r w:rsidR="00EA3377">
        <w:rPr>
          <w:b/>
          <w:lang w:val="en-US"/>
        </w:rPr>
        <w:t xml:space="preserve">G </w:t>
      </w:r>
      <w:r w:rsidR="00EA3377">
        <w:rPr>
          <w:lang w:val="en-US"/>
        </w:rPr>
        <w:t>ellipses by the parameters. Parameter values increase from left to right.</w:t>
      </w:r>
    </w:p>
    <w:p w14:paraId="38D2FDF3" w14:textId="77777777" w:rsidR="00521BDE" w:rsidRDefault="00521BDE" w:rsidP="004F0C57">
      <w:pPr>
        <w:rPr>
          <w:lang w:val="en-US"/>
        </w:rPr>
      </w:pPr>
    </w:p>
    <w:p w14:paraId="116518D0" w14:textId="279406BA" w:rsidR="00521BDE" w:rsidRDefault="00A85692" w:rsidP="004F0C57">
      <w:pPr>
        <w:rPr>
          <w:lang w:val="en-US"/>
        </w:rPr>
      </w:pPr>
      <w:r>
        <w:rPr>
          <w:lang w:val="en-US"/>
        </w:rPr>
        <w:pict w14:anchorId="0796F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26pt">
            <v:imagedata r:id="rId10" o:title="logGV_means"/>
          </v:shape>
        </w:pict>
      </w:r>
    </w:p>
    <w:p w14:paraId="2289A97C" w14:textId="11BD1498" w:rsidR="00445817" w:rsidRDefault="00521BDE" w:rsidP="004F0C57">
      <w:pPr>
        <w:rPr>
          <w:lang w:val="en-US"/>
        </w:rPr>
      </w:pPr>
      <w:r>
        <w:rPr>
          <w:lang w:val="en-US"/>
        </w:rPr>
        <w:t>Figure</w:t>
      </w:r>
      <w:r w:rsidR="001843C9">
        <w:rPr>
          <w:lang w:val="en-US"/>
        </w:rPr>
        <w:t xml:space="preserve"> 2</w:t>
      </w:r>
      <w:r>
        <w:rPr>
          <w:lang w:val="en-US"/>
        </w:rPr>
        <w:t xml:space="preserve"> – Mean differences in log generalized variance between relative principal components analysis outcomes comparing similar models and distinctive models by deleterious mutation rate/background selection prevalence, mutational pleiotropic correlation, rate of pleiotropy, recombination rate, and additive effect size. </w:t>
      </w:r>
      <w:r w:rsidR="00E316DF">
        <w:rPr>
          <w:lang w:val="en-US"/>
        </w:rPr>
        <w:t>All pairwise comparisons were significant.</w:t>
      </w: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30860AFC" w:rsidR="00445817" w:rsidRDefault="00445817" w:rsidP="004F0C57">
      <w:pPr>
        <w:rPr>
          <w:lang w:val="en-US"/>
        </w:rPr>
      </w:pPr>
      <w:r>
        <w:rPr>
          <w:noProof/>
          <w:lang w:eastAsia="en-AU"/>
        </w:rPr>
        <w:drawing>
          <wp:inline distT="0" distB="0" distL="0" distR="0" wp14:anchorId="48625904" wp14:editId="395CEAEB">
            <wp:extent cx="5943600" cy="2819400"/>
            <wp:effectExtent l="0" t="0" r="0" b="0"/>
            <wp:docPr id="1" name="Picture 1" descr="C:\Users\Nick\AppData\Local\Microsoft\Windows\INetCache\Content.Word\logGV_d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logGV_den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17ADEA6" w14:textId="6E9E424C" w:rsidR="00445817" w:rsidRDefault="00A85692" w:rsidP="004F0C57">
      <w:pPr>
        <w:rPr>
          <w:lang w:val="en-US"/>
        </w:rPr>
      </w:pPr>
      <w:r>
        <w:rPr>
          <w:lang w:val="en-US"/>
        </w:rPr>
        <w:lastRenderedPageBreak/>
        <w:pict w14:anchorId="11A7A1BF">
          <v:shape id="_x0000_i1026" type="#_x0000_t75" style="width:467.7pt;height:224.75pt">
            <v:imagedata r:id="rId12" o:title="logGV_dists"/>
          </v:shape>
        </w:pict>
      </w:r>
      <w:r>
        <w:rPr>
          <w:lang w:val="en-US"/>
        </w:rPr>
        <w:pict w14:anchorId="068B767C">
          <v:shape id="_x0000_i1027" type="#_x0000_t75" style="width:467.7pt;height:281.1pt">
            <v:imagedata r:id="rId13" o:title="violin_logGV_extremes_PW"/>
          </v:shape>
        </w:pict>
      </w:r>
    </w:p>
    <w:p w14:paraId="3CAD1B14" w14:textId="77777777" w:rsidR="00445817" w:rsidRDefault="00445817" w:rsidP="004F0C57">
      <w:pPr>
        <w:rPr>
          <w:lang w:val="en-US"/>
        </w:rPr>
      </w:pPr>
    </w:p>
    <w:p w14:paraId="57F4A2B5" w14:textId="2E08F132" w:rsidR="00445817" w:rsidRDefault="00445817" w:rsidP="004F0C57">
      <w:pPr>
        <w:rPr>
          <w:lang w:val="en-US"/>
        </w:rPr>
      </w:pPr>
      <w:r w:rsidRPr="0044538A">
        <w:rPr>
          <w:highlight w:val="yellow"/>
          <w:lang w:val="en-US"/>
        </w:rPr>
        <w:t>One of these for Figure</w:t>
      </w:r>
      <w:r w:rsidR="001843C9">
        <w:rPr>
          <w:highlight w:val="yellow"/>
          <w:lang w:val="en-US"/>
        </w:rPr>
        <w:t xml:space="preserve"> 3</w:t>
      </w:r>
    </w:p>
    <w:p w14:paraId="1382B74C" w14:textId="77777777" w:rsidR="00C95026" w:rsidRDefault="00C95026" w:rsidP="004F0C57">
      <w:pPr>
        <w:rPr>
          <w:lang w:val="en-US"/>
        </w:rPr>
      </w:pPr>
    </w:p>
    <w:p w14:paraId="18BE9A08" w14:textId="77777777" w:rsidR="00C95026" w:rsidRDefault="00C95026" w:rsidP="004F0C57">
      <w:pPr>
        <w:rPr>
          <w:lang w:val="en-US"/>
        </w:rPr>
      </w:pPr>
    </w:p>
    <w:p w14:paraId="6327D9F4" w14:textId="77777777" w:rsidR="00C95026" w:rsidRDefault="00C95026" w:rsidP="004F0C57">
      <w:pPr>
        <w:rPr>
          <w:lang w:val="en-US"/>
        </w:rPr>
      </w:pPr>
    </w:p>
    <w:p w14:paraId="0AE15690" w14:textId="40C731EC" w:rsidR="00C95026" w:rsidRDefault="008563F4" w:rsidP="004F0C57">
      <w:pPr>
        <w:rPr>
          <w:lang w:val="en-US"/>
        </w:rPr>
      </w:pPr>
      <w:r>
        <w:rPr>
          <w:noProof/>
          <w:lang w:val="en-US"/>
        </w:rPr>
        <w:lastRenderedPageBreak/>
        <w:drawing>
          <wp:inline distT="0" distB="0" distL="0" distR="0" wp14:anchorId="7B249B2A" wp14:editId="05A25C9A">
            <wp:extent cx="5931535" cy="2623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1535" cy="2623820"/>
                    </a:xfrm>
                    <a:prstGeom prst="rect">
                      <a:avLst/>
                    </a:prstGeom>
                    <a:noFill/>
                    <a:ln>
                      <a:noFill/>
                    </a:ln>
                  </pic:spPr>
                </pic:pic>
              </a:graphicData>
            </a:graphic>
          </wp:inline>
        </w:drawing>
      </w:r>
    </w:p>
    <w:p w14:paraId="01C27B87" w14:textId="1C57C929" w:rsidR="00C95026" w:rsidRDefault="00E27891" w:rsidP="004F0C57">
      <w:pPr>
        <w:rPr>
          <w:lang w:val="en-US"/>
        </w:rPr>
      </w:pPr>
      <w:r>
        <w:rPr>
          <w:lang w:val="en-US"/>
        </w:rPr>
        <w:t xml:space="preserve">Figure 4 – </w:t>
      </w:r>
      <w:r w:rsidRPr="00E27891">
        <w:rPr>
          <w:b/>
          <w:lang w:val="en-US"/>
        </w:rPr>
        <w:t>G</w:t>
      </w:r>
      <w:r>
        <w:rPr>
          <w:lang w:val="en-US"/>
        </w:rPr>
        <w:t xml:space="preserve"> Ellipses for different parameters: left to right is increasing values of the given parameter, top to bottom is decreasing strength of selection.</w:t>
      </w:r>
    </w:p>
    <w:p w14:paraId="4A0312AA" w14:textId="77777777" w:rsidR="00EF7908" w:rsidRDefault="00EF7908" w:rsidP="004F0C57">
      <w:pPr>
        <w:rPr>
          <w:lang w:val="en-US"/>
        </w:rPr>
      </w:pPr>
    </w:p>
    <w:p w14:paraId="02FC8298" w14:textId="77777777" w:rsidR="00EF7908" w:rsidRDefault="00EF7908" w:rsidP="004F0C57">
      <w:pPr>
        <w:rPr>
          <w:lang w:val="en-US"/>
        </w:rPr>
      </w:pPr>
    </w:p>
    <w:p w14:paraId="2C2AB5E5" w14:textId="546134AE" w:rsidR="00EF7908" w:rsidRDefault="008563F4" w:rsidP="004F0C57">
      <w:pPr>
        <w:rPr>
          <w:lang w:val="en-US"/>
        </w:rPr>
      </w:pPr>
      <w:r>
        <w:rPr>
          <w:noProof/>
          <w:lang w:val="en-US"/>
        </w:rPr>
        <w:drawing>
          <wp:inline distT="0" distB="0" distL="0" distR="0" wp14:anchorId="028BCAB5" wp14:editId="78223BE8">
            <wp:extent cx="5939790" cy="27031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7D90E044" w14:textId="77777777" w:rsidR="00EF7908" w:rsidRDefault="00EF7908" w:rsidP="004F0C57">
      <w:pPr>
        <w:rPr>
          <w:lang w:val="en-US"/>
        </w:rPr>
      </w:pPr>
    </w:p>
    <w:p w14:paraId="72EFD713" w14:textId="3CEF648E" w:rsidR="00EF7908" w:rsidRDefault="00EF7908" w:rsidP="004F0C57">
      <w:pPr>
        <w:rPr>
          <w:lang w:val="en-US"/>
        </w:rPr>
      </w:pPr>
      <w:r>
        <w:rPr>
          <w:lang w:val="en-US"/>
        </w:rPr>
        <w:t>Figure 5 – Mean differences in log generalized variance among groups under selection</w:t>
      </w:r>
    </w:p>
    <w:p w14:paraId="04E87123" w14:textId="77777777" w:rsidR="00EF7908" w:rsidRDefault="00EF7908" w:rsidP="004F0C57">
      <w:pPr>
        <w:rPr>
          <w:lang w:val="en-US"/>
        </w:rPr>
      </w:pPr>
    </w:p>
    <w:p w14:paraId="60C03D78" w14:textId="77777777" w:rsidR="00EF7908" w:rsidRDefault="00EF7908" w:rsidP="004F0C57">
      <w:pPr>
        <w:rPr>
          <w:lang w:val="en-US"/>
        </w:rPr>
      </w:pPr>
    </w:p>
    <w:p w14:paraId="5BCB0E6E" w14:textId="1316035C" w:rsidR="001F7463" w:rsidRDefault="001F7463" w:rsidP="004F0C57">
      <w:pPr>
        <w:rPr>
          <w:lang w:val="en-US"/>
        </w:rPr>
      </w:pPr>
    </w:p>
    <w:p w14:paraId="17F585BA" w14:textId="04F52DA5" w:rsidR="001F7463" w:rsidRDefault="008563F4" w:rsidP="004F0C57">
      <w:pPr>
        <w:rPr>
          <w:lang w:val="en-US"/>
        </w:rPr>
      </w:pPr>
      <w:r>
        <w:rPr>
          <w:noProof/>
          <w:lang w:val="en-US"/>
        </w:rPr>
        <w:drawing>
          <wp:inline distT="0" distB="0" distL="0" distR="0" wp14:anchorId="2CA10E93" wp14:editId="2F08B37C">
            <wp:extent cx="5939790" cy="27031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r>
        <w:rPr>
          <w:noProof/>
          <w:lang w:val="en-US"/>
        </w:rPr>
        <w:drawing>
          <wp:inline distT="0" distB="0" distL="0" distR="0" wp14:anchorId="0ADC3981" wp14:editId="2C2F1607">
            <wp:extent cx="5939790" cy="27031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4CE4BA21" w14:textId="6CA166ED" w:rsidR="008563F4" w:rsidRDefault="008563F4" w:rsidP="004F0C57">
      <w:pPr>
        <w:rPr>
          <w:lang w:val="en-US"/>
        </w:rPr>
      </w:pPr>
      <w:bookmarkStart w:id="1" w:name="_GoBack"/>
      <w:bookmarkEnd w:id="1"/>
      <w:r>
        <w:rPr>
          <w:noProof/>
          <w:lang w:val="en-US"/>
        </w:rPr>
        <w:lastRenderedPageBreak/>
        <w:drawing>
          <wp:inline distT="0" distB="0" distL="0" distR="0" wp14:anchorId="12F9A693" wp14:editId="13638992">
            <wp:extent cx="5939790" cy="27031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61213B23" w14:textId="52E68A2D" w:rsidR="001F7463" w:rsidRPr="001F7463" w:rsidRDefault="001F7463" w:rsidP="004F0C57">
      <w:pPr>
        <w:rPr>
          <w:b/>
          <w:lang w:val="en-US"/>
        </w:rPr>
      </w:pPr>
      <w:r>
        <w:rPr>
          <w:b/>
          <w:lang w:val="en-US"/>
        </w:rPr>
        <w:t>One of these for figure 6</w:t>
      </w:r>
    </w:p>
    <w:p w14:paraId="4117FC66" w14:textId="77777777" w:rsidR="001F7463" w:rsidRDefault="001F7463" w:rsidP="004F0C57">
      <w:pPr>
        <w:rPr>
          <w:lang w:val="en-US"/>
        </w:rPr>
        <w:sectPr w:rsidR="001F7463">
          <w:pgSz w:w="12240" w:h="15840"/>
          <w:pgMar w:top="1440" w:right="1440" w:bottom="1440" w:left="1440" w:header="720" w:footer="720" w:gutter="0"/>
          <w:cols w:space="720"/>
          <w:docGrid w:linePitch="360"/>
        </w:sectPr>
      </w:pP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5E5C5D3" w:rsidR="00564ED3" w:rsidRDefault="00564ED3" w:rsidP="00C95026">
            <w:pPr>
              <w:jc w:val="center"/>
              <w:rPr>
                <w:lang w:val="en-US"/>
              </w:rPr>
            </w:pPr>
            <w:r>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r>
              <w:rPr>
                <w:lang w:val="en-US"/>
              </w:rPr>
              <w:t>Stapley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r>
              <w:rPr>
                <w:lang w:val="en-US"/>
              </w:rPr>
              <w:t xml:space="preserve">Chesmore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Additive effect size controls the variance of trait effect size around mean 0, so that N(0,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D0999C6" w14:textId="4E4871B9" w:rsidR="00C95026" w:rsidRDefault="00C95026" w:rsidP="00C95026">
      <w:r w:rsidRPr="00C95026">
        <w:lastRenderedPageBreak/>
        <w:t>Table 2:</w:t>
      </w:r>
      <w:r>
        <w:t xml:space="preserve"> Test results for Kolmogorov-Smirnov tests between distributions of log generalised variance, the output of relative PCA comparing similar and distinct pairs of parameter models.</w:t>
      </w:r>
      <w:r w:rsidR="00C51B89">
        <w:t xml:space="preserve"> All tests were two-sided.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1B89" w14:paraId="42ABC0F2" w14:textId="77777777" w:rsidTr="009D5B9C">
        <w:tc>
          <w:tcPr>
            <w:tcW w:w="3116" w:type="dxa"/>
            <w:tcBorders>
              <w:bottom w:val="single" w:sz="4" w:space="0" w:color="auto"/>
            </w:tcBorders>
          </w:tcPr>
          <w:p w14:paraId="1DDF9BF5" w14:textId="7B83607C" w:rsidR="00C51B89" w:rsidRDefault="00C51B89" w:rsidP="00CE774A">
            <w:r>
              <w:t>Model parameter</w:t>
            </w:r>
          </w:p>
        </w:tc>
        <w:tc>
          <w:tcPr>
            <w:tcW w:w="3117" w:type="dxa"/>
            <w:tcBorders>
              <w:bottom w:val="single" w:sz="4" w:space="0" w:color="auto"/>
            </w:tcBorders>
          </w:tcPr>
          <w:p w14:paraId="266EB715" w14:textId="1B452E9D" w:rsidR="00C51B89" w:rsidRDefault="00C51B89" w:rsidP="00CE774A">
            <w:r>
              <w:t>D statistic</w:t>
            </w:r>
          </w:p>
        </w:tc>
        <w:tc>
          <w:tcPr>
            <w:tcW w:w="3117" w:type="dxa"/>
            <w:tcBorders>
              <w:bottom w:val="single" w:sz="4" w:space="0" w:color="auto"/>
            </w:tcBorders>
          </w:tcPr>
          <w:p w14:paraId="00727980" w14:textId="1FDC1B1E" w:rsidR="00C51B89" w:rsidRDefault="00C51B89" w:rsidP="00CE774A">
            <w:r>
              <w:t>p-value</w:t>
            </w:r>
          </w:p>
        </w:tc>
      </w:tr>
      <w:tr w:rsidR="00C51B89" w14:paraId="49BB5996" w14:textId="77777777" w:rsidTr="009D5B9C">
        <w:tc>
          <w:tcPr>
            <w:tcW w:w="3116" w:type="dxa"/>
            <w:tcBorders>
              <w:top w:val="single" w:sz="4" w:space="0" w:color="auto"/>
            </w:tcBorders>
          </w:tcPr>
          <w:p w14:paraId="5215EC84" w14:textId="481A027E" w:rsidR="00C51B89" w:rsidRDefault="00C51B89" w:rsidP="00C95026">
            <w:r>
              <w:t>Deleterious mutation</w:t>
            </w:r>
          </w:p>
        </w:tc>
        <w:tc>
          <w:tcPr>
            <w:tcW w:w="3117" w:type="dxa"/>
            <w:tcBorders>
              <w:top w:val="single" w:sz="4" w:space="0" w:color="auto"/>
            </w:tcBorders>
          </w:tcPr>
          <w:p w14:paraId="2E1F58C6" w14:textId="7E384E7D" w:rsidR="00C51B89" w:rsidRDefault="00C51B89" w:rsidP="00CE774A">
            <w:r>
              <w:t>0.13168</w:t>
            </w:r>
          </w:p>
        </w:tc>
        <w:tc>
          <w:tcPr>
            <w:tcW w:w="3117" w:type="dxa"/>
            <w:tcBorders>
              <w:top w:val="single" w:sz="4" w:space="0" w:color="auto"/>
            </w:tcBorders>
          </w:tcPr>
          <w:p w14:paraId="039D6F16" w14:textId="5128161C" w:rsidR="00C51B89" w:rsidRDefault="00C51B89" w:rsidP="00CE774A">
            <w:r>
              <w:t>&lt;0.0001</w:t>
            </w:r>
          </w:p>
        </w:tc>
      </w:tr>
      <w:tr w:rsidR="00C51B89" w14:paraId="7120D6B8" w14:textId="77777777" w:rsidTr="009D5B9C">
        <w:tc>
          <w:tcPr>
            <w:tcW w:w="3116" w:type="dxa"/>
          </w:tcPr>
          <w:p w14:paraId="3368AAFB" w14:textId="7A1976D2" w:rsidR="00C51B89" w:rsidRDefault="00C51B89" w:rsidP="00C95026">
            <w:r>
              <w:t>Recombination rate</w:t>
            </w:r>
          </w:p>
        </w:tc>
        <w:tc>
          <w:tcPr>
            <w:tcW w:w="3117" w:type="dxa"/>
          </w:tcPr>
          <w:p w14:paraId="517430B4" w14:textId="09E4FE07" w:rsidR="00C51B89" w:rsidRDefault="00C51B89" w:rsidP="00CE774A">
            <w:r>
              <w:t>0.11125</w:t>
            </w:r>
          </w:p>
        </w:tc>
        <w:tc>
          <w:tcPr>
            <w:tcW w:w="3117" w:type="dxa"/>
          </w:tcPr>
          <w:p w14:paraId="717D5B34" w14:textId="30F1FB74" w:rsidR="00C51B89" w:rsidRDefault="00C51B89" w:rsidP="00CE774A">
            <w:r>
              <w:t>&lt;0.0001</w:t>
            </w:r>
          </w:p>
        </w:tc>
      </w:tr>
      <w:tr w:rsidR="00C51B89" w14:paraId="0D7F32FD" w14:textId="77777777" w:rsidTr="009D5B9C">
        <w:tc>
          <w:tcPr>
            <w:tcW w:w="3116" w:type="dxa"/>
          </w:tcPr>
          <w:p w14:paraId="13DA425D" w14:textId="3DF04735" w:rsidR="00C51B89" w:rsidRDefault="00C51B89" w:rsidP="00C95026">
            <w:r>
              <w:t>Pleiotropic correlation</w:t>
            </w:r>
          </w:p>
        </w:tc>
        <w:tc>
          <w:tcPr>
            <w:tcW w:w="3117" w:type="dxa"/>
          </w:tcPr>
          <w:p w14:paraId="3730A474" w14:textId="4C3FA537" w:rsidR="00C51B89" w:rsidRDefault="00C51B89" w:rsidP="00CE774A">
            <w:r>
              <w:t>0.061734</w:t>
            </w:r>
          </w:p>
        </w:tc>
        <w:tc>
          <w:tcPr>
            <w:tcW w:w="3117" w:type="dxa"/>
          </w:tcPr>
          <w:p w14:paraId="6021D898" w14:textId="40B2151C" w:rsidR="00C51B89" w:rsidRDefault="00C51B89" w:rsidP="00CE774A">
            <w:r>
              <w:t>&lt;0.0001</w:t>
            </w:r>
          </w:p>
        </w:tc>
      </w:tr>
      <w:tr w:rsidR="00C51B89" w14:paraId="4EEFE29E" w14:textId="77777777" w:rsidTr="009D5B9C">
        <w:tc>
          <w:tcPr>
            <w:tcW w:w="3116" w:type="dxa"/>
          </w:tcPr>
          <w:p w14:paraId="63D3B95F" w14:textId="45E88BE7" w:rsidR="00C51B89" w:rsidRDefault="00C51B89" w:rsidP="00C95026">
            <w:r>
              <w:t>Pleiotropy rate</w:t>
            </w:r>
          </w:p>
        </w:tc>
        <w:tc>
          <w:tcPr>
            <w:tcW w:w="3117" w:type="dxa"/>
          </w:tcPr>
          <w:p w14:paraId="4C7B6AD2" w14:textId="0AE09CC1" w:rsidR="00C51B89" w:rsidRDefault="00C51B89" w:rsidP="00CE774A">
            <w:r>
              <w:t>0.073615</w:t>
            </w:r>
          </w:p>
        </w:tc>
        <w:tc>
          <w:tcPr>
            <w:tcW w:w="3117" w:type="dxa"/>
          </w:tcPr>
          <w:p w14:paraId="35BDD70D" w14:textId="65EA59D3" w:rsidR="00C51B89" w:rsidRDefault="00C51B89" w:rsidP="00CE774A">
            <w:r>
              <w:t>&lt;0.0001</w:t>
            </w:r>
          </w:p>
        </w:tc>
      </w:tr>
      <w:tr w:rsidR="00C51B89" w14:paraId="1CE3C4E9" w14:textId="77777777" w:rsidTr="009D5B9C">
        <w:tc>
          <w:tcPr>
            <w:tcW w:w="3116" w:type="dxa"/>
            <w:tcBorders>
              <w:bottom w:val="single" w:sz="4" w:space="0" w:color="auto"/>
            </w:tcBorders>
          </w:tcPr>
          <w:p w14:paraId="63D59985" w14:textId="054BF9FC" w:rsidR="00C51B89" w:rsidRDefault="00C51B89" w:rsidP="00C95026">
            <w:r>
              <w:t>Additive effect size</w:t>
            </w:r>
          </w:p>
        </w:tc>
        <w:tc>
          <w:tcPr>
            <w:tcW w:w="3117" w:type="dxa"/>
            <w:tcBorders>
              <w:bottom w:val="single" w:sz="4" w:space="0" w:color="auto"/>
            </w:tcBorders>
          </w:tcPr>
          <w:p w14:paraId="146F6028" w14:textId="6A84D8F4" w:rsidR="00C51B89" w:rsidRDefault="00C51B89" w:rsidP="00CE774A">
            <w:r>
              <w:t>0.1044</w:t>
            </w:r>
          </w:p>
        </w:tc>
        <w:tc>
          <w:tcPr>
            <w:tcW w:w="3117" w:type="dxa"/>
            <w:tcBorders>
              <w:bottom w:val="single" w:sz="4" w:space="0" w:color="auto"/>
            </w:tcBorders>
          </w:tcPr>
          <w:p w14:paraId="0FC89409" w14:textId="0583F8AA" w:rsidR="00C51B89" w:rsidRDefault="00C51B89" w:rsidP="00CE774A">
            <w:r>
              <w:t>&lt;0.0001</w:t>
            </w:r>
          </w:p>
        </w:tc>
      </w:tr>
    </w:tbl>
    <w:p w14:paraId="145D0F76" w14:textId="77777777" w:rsidR="00C95026" w:rsidRDefault="00C95026" w:rsidP="00EF444B"/>
    <w:p w14:paraId="5126D3C5" w14:textId="77777777" w:rsidR="00C95026" w:rsidRDefault="00C95026" w:rsidP="00EF444B"/>
    <w:p w14:paraId="5997055B" w14:textId="77777777" w:rsidR="00C95026" w:rsidRDefault="00C95026" w:rsidP="00EF444B"/>
    <w:p w14:paraId="11B55744" w14:textId="77777777" w:rsidR="00C95026" w:rsidRDefault="00C95026" w:rsidP="00EF444B"/>
    <w:p w14:paraId="559E4BE5" w14:textId="77777777" w:rsidR="00684609" w:rsidRDefault="001D7B57" w:rsidP="001D7B57">
      <w:pPr>
        <w:pStyle w:val="Heading1"/>
      </w:pPr>
      <w:r>
        <w:t>References</w:t>
      </w:r>
    </w:p>
    <w:p w14:paraId="5735EFA4" w14:textId="77777777" w:rsidR="0069389C" w:rsidRPr="0069389C" w:rsidRDefault="00684609" w:rsidP="0069389C">
      <w:pPr>
        <w:pStyle w:val="EndNoteBibliography"/>
        <w:spacing w:after="0"/>
        <w:ind w:left="720" w:hanging="720"/>
      </w:pPr>
      <w:r>
        <w:fldChar w:fldCharType="begin"/>
      </w:r>
      <w:r>
        <w:instrText xml:space="preserve"> ADDIN EN.REFLIST </w:instrText>
      </w:r>
      <w:r>
        <w:fldChar w:fldCharType="separate"/>
      </w:r>
      <w:r w:rsidR="0069389C" w:rsidRPr="0069389C">
        <w:t>Aguirre, J. D., E. Hine, K. McGuigan and M. W. Blows, 2014 Comparing G: multivariate analysis of genetic variation in multiple populations. Heredity 112</w:t>
      </w:r>
      <w:r w:rsidR="0069389C" w:rsidRPr="0069389C">
        <w:rPr>
          <w:b/>
        </w:rPr>
        <w:t>:</w:t>
      </w:r>
      <w:r w:rsidR="0069389C" w:rsidRPr="0069389C">
        <w:t xml:space="preserve"> 21-29.</w:t>
      </w:r>
    </w:p>
    <w:p w14:paraId="6160CF96" w14:textId="77777777" w:rsidR="0069389C" w:rsidRPr="0069389C" w:rsidRDefault="0069389C" w:rsidP="0069389C">
      <w:pPr>
        <w:pStyle w:val="EndNoteBibliography"/>
        <w:spacing w:after="0"/>
        <w:ind w:left="720" w:hanging="720"/>
      </w:pPr>
      <w:r w:rsidRPr="0069389C">
        <w:t>Aston, E., A. Channon, R. V. Belavkin, D. R. Gifford, R. Krasovec</w:t>
      </w:r>
      <w:r w:rsidRPr="0069389C">
        <w:rPr>
          <w:i/>
        </w:rPr>
        <w:t xml:space="preserve"> et al.</w:t>
      </w:r>
      <w:r w:rsidRPr="0069389C">
        <w:t>, 2017 Critical Mutation Rate has an Exponential Dependence on Population Size for Eukaryotic-length Genomes with Crossover. Sci Rep 7</w:t>
      </w:r>
      <w:r w:rsidRPr="0069389C">
        <w:rPr>
          <w:b/>
        </w:rPr>
        <w:t>:</w:t>
      </w:r>
      <w:r w:rsidRPr="0069389C">
        <w:t xml:space="preserve"> 15519.</w:t>
      </w:r>
    </w:p>
    <w:p w14:paraId="76EEA918" w14:textId="77777777" w:rsidR="0069389C" w:rsidRPr="0069389C" w:rsidRDefault="0069389C" w:rsidP="0069389C">
      <w:pPr>
        <w:pStyle w:val="EndNoteBibliography"/>
        <w:spacing w:after="0"/>
        <w:ind w:left="720" w:hanging="720"/>
      </w:pPr>
      <w:r w:rsidRPr="0069389C">
        <w:t>Careau, V., M. E. Wolak, P. A. Carter and T. Garland, Jr., 2015 Evolution of the additive genetic variance-covariance matrix under continuous directional selection on a complex behavioural phenotype. Proc Biol Sci 282.</w:t>
      </w:r>
    </w:p>
    <w:p w14:paraId="1322AAB9" w14:textId="77777777" w:rsidR="0069389C" w:rsidRPr="0069389C" w:rsidRDefault="0069389C" w:rsidP="0069389C">
      <w:pPr>
        <w:pStyle w:val="EndNoteBibliography"/>
        <w:spacing w:after="0"/>
        <w:ind w:left="720" w:hanging="720"/>
      </w:pPr>
      <w:r w:rsidRPr="0069389C">
        <w:t>Haller, B. C., and P. W. Messer, 2019 SLiM 3: Forward Genetic Simulations Beyond the Wright-Fisher Model. Molecular Biology and Evolution 36</w:t>
      </w:r>
      <w:r w:rsidRPr="0069389C">
        <w:rPr>
          <w:b/>
        </w:rPr>
        <w:t>:</w:t>
      </w:r>
      <w:r w:rsidRPr="0069389C">
        <w:t xml:space="preserve"> 632-637.</w:t>
      </w:r>
    </w:p>
    <w:p w14:paraId="22C93543" w14:textId="77777777" w:rsidR="0069389C" w:rsidRPr="0069389C" w:rsidRDefault="0069389C" w:rsidP="0069389C">
      <w:pPr>
        <w:pStyle w:val="EndNoteBibliography"/>
        <w:spacing w:after="0"/>
        <w:ind w:left="720" w:hanging="720"/>
      </w:pPr>
      <w:r w:rsidRPr="0069389C">
        <w:t>Kimura, M., and J. F. Crow, 1964 The Number of Alleles That Can Be Maintained in a Finite Population. Genetics 49</w:t>
      </w:r>
      <w:r w:rsidRPr="0069389C">
        <w:rPr>
          <w:b/>
        </w:rPr>
        <w:t>:</w:t>
      </w:r>
      <w:r w:rsidRPr="0069389C">
        <w:t xml:space="preserve"> 725-738.</w:t>
      </w:r>
    </w:p>
    <w:p w14:paraId="39816AA2" w14:textId="77777777" w:rsidR="0069389C" w:rsidRPr="0069389C" w:rsidRDefault="0069389C" w:rsidP="0069389C">
      <w:pPr>
        <w:pStyle w:val="EndNoteBibliography"/>
        <w:spacing w:after="0"/>
        <w:ind w:left="720" w:hanging="720"/>
      </w:pPr>
      <w:r w:rsidRPr="0069389C">
        <w:t>Le Maître, A., and P. Mitteroecker, 2019 Multivariate comparison of variance in R. Methods in Ecology and Evolution 10</w:t>
      </w:r>
      <w:r w:rsidRPr="0069389C">
        <w:rPr>
          <w:b/>
        </w:rPr>
        <w:t>:</w:t>
      </w:r>
      <w:r w:rsidRPr="0069389C">
        <w:t xml:space="preserve"> 1380-1392.</w:t>
      </w:r>
    </w:p>
    <w:p w14:paraId="670FB35F" w14:textId="77777777" w:rsidR="0069389C" w:rsidRPr="0069389C" w:rsidRDefault="0069389C" w:rsidP="0069389C">
      <w:pPr>
        <w:pStyle w:val="EndNoteBibliography"/>
        <w:ind w:left="720" w:hanging="720"/>
      </w:pPr>
      <w:r w:rsidRPr="0069389C">
        <w:rPr>
          <w:sz w:val="20"/>
        </w:rPr>
        <w:t>Long, J. A.</w:t>
      </w:r>
      <w:r w:rsidRPr="0069389C">
        <w:t>, 2020 jtools: Analysis and Presentation of Social Scientific Data</w:t>
      </w:r>
    </w:p>
    <w:p w14:paraId="0E10B96C" w14:textId="77777777" w:rsidR="0069389C" w:rsidRPr="0069389C" w:rsidRDefault="0069389C" w:rsidP="0069389C">
      <w:pPr>
        <w:pStyle w:val="EndNoteBibliography"/>
        <w:spacing w:after="0"/>
      </w:pPr>
    </w:p>
    <w:p w14:paraId="2BF92F7C" w14:textId="77777777" w:rsidR="0069389C" w:rsidRPr="0069389C" w:rsidRDefault="0069389C" w:rsidP="0069389C">
      <w:pPr>
        <w:pStyle w:val="EndNoteBibliography"/>
        <w:spacing w:after="0"/>
        <w:ind w:left="720" w:hanging="720"/>
      </w:pPr>
      <w:r w:rsidRPr="0069389C">
        <w:t>Lumley, T., P. Diehr, S. Emerson and L. Chen, 2002 The importance of the normality assumption in large public health data sets. Annu Rev Public Health 23</w:t>
      </w:r>
      <w:r w:rsidRPr="0069389C">
        <w:rPr>
          <w:b/>
        </w:rPr>
        <w:t>:</w:t>
      </w:r>
      <w:r w:rsidRPr="0069389C">
        <w:t xml:space="preserve"> 151-169.</w:t>
      </w:r>
    </w:p>
    <w:p w14:paraId="40BD9005" w14:textId="77777777" w:rsidR="0069389C" w:rsidRPr="0069389C" w:rsidRDefault="0069389C" w:rsidP="0069389C">
      <w:pPr>
        <w:pStyle w:val="EndNoteBibliography"/>
        <w:spacing w:after="0"/>
        <w:ind w:left="720" w:hanging="720"/>
      </w:pPr>
      <w:r w:rsidRPr="0069389C">
        <w:t>Lynch, M., and R. Lande, 1998 The critical effective size for a genetically secure population. Animal Conservation 1</w:t>
      </w:r>
      <w:r w:rsidRPr="0069389C">
        <w:rPr>
          <w:b/>
        </w:rPr>
        <w:t>:</w:t>
      </w:r>
      <w:r w:rsidRPr="0069389C">
        <w:t xml:space="preserve"> 70-72.</w:t>
      </w:r>
    </w:p>
    <w:p w14:paraId="2BFE2330" w14:textId="77777777" w:rsidR="0069389C" w:rsidRPr="0069389C" w:rsidRDefault="0069389C" w:rsidP="0069389C">
      <w:pPr>
        <w:pStyle w:val="EndNoteBibliography"/>
        <w:spacing w:after="0"/>
        <w:ind w:left="720" w:hanging="720"/>
      </w:pPr>
      <w:r w:rsidRPr="0069389C">
        <w:t>Melo, D., G. Garcia, A. Hubbe, A. P. Assis and G. Marroig, 2015 EvolQG - An R package for evolutionary quantitative genetics. F1000Research 4</w:t>
      </w:r>
      <w:r w:rsidRPr="0069389C">
        <w:rPr>
          <w:b/>
        </w:rPr>
        <w:t>:</w:t>
      </w:r>
      <w:r w:rsidRPr="0069389C">
        <w:t xml:space="preserve"> 925.</w:t>
      </w:r>
    </w:p>
    <w:p w14:paraId="18030655" w14:textId="77777777" w:rsidR="0069389C" w:rsidRPr="0069389C" w:rsidRDefault="0069389C" w:rsidP="0069389C">
      <w:pPr>
        <w:pStyle w:val="EndNoteBibliography"/>
        <w:spacing w:after="0"/>
        <w:ind w:left="720" w:hanging="720"/>
      </w:pPr>
      <w:r w:rsidRPr="0069389C">
        <w:t>R Developmental Core Team, 2019 R: A language and environment for statistical computing, pp. R Foundation for Statistical Computing, Vienna, Austria.</w:t>
      </w:r>
    </w:p>
    <w:p w14:paraId="656EE3E1" w14:textId="77777777" w:rsidR="0069389C" w:rsidRPr="0069389C" w:rsidRDefault="0069389C" w:rsidP="0069389C">
      <w:pPr>
        <w:pStyle w:val="EndNoteBibliography"/>
        <w:spacing w:after="0"/>
        <w:ind w:left="720" w:hanging="720"/>
      </w:pPr>
      <w:r w:rsidRPr="0069389C">
        <w:lastRenderedPageBreak/>
        <w:t>Thornton, K. R., 2019 Polygenic Adaptation to an Environmental Shift: Temporal Dynamics of Variation Under Gaussian Stabilizing Selection and Additive Effects on a Single Trait. Genetics 213</w:t>
      </w:r>
      <w:r w:rsidRPr="0069389C">
        <w:rPr>
          <w:b/>
        </w:rPr>
        <w:t>:</w:t>
      </w:r>
      <w:r w:rsidRPr="0069389C">
        <w:t xml:space="preserve"> 1513-1530.</w:t>
      </w:r>
    </w:p>
    <w:p w14:paraId="02B4FCC5" w14:textId="77777777" w:rsidR="0069389C" w:rsidRPr="0069389C" w:rsidRDefault="0069389C" w:rsidP="0069389C">
      <w:pPr>
        <w:pStyle w:val="EndNoteBibliography"/>
        <w:ind w:left="720" w:hanging="720"/>
      </w:pPr>
      <w:r w:rsidRPr="0069389C">
        <w:t>Xu, L., H. Chen, X. Hu, R. Zhang, Z. Zhang</w:t>
      </w:r>
      <w:r w:rsidRPr="0069389C">
        <w:rPr>
          <w:i/>
        </w:rPr>
        <w:t xml:space="preserve"> et al.</w:t>
      </w:r>
      <w:r w:rsidRPr="0069389C">
        <w:t>, 2006 Average gene length is highly conserved in prokaryotes and eukaryotes and diverges only between the two kingdoms. Mol Biol Evol 23</w:t>
      </w:r>
      <w:r w:rsidRPr="0069389C">
        <w:rPr>
          <w:b/>
        </w:rPr>
        <w:t>:</w:t>
      </w:r>
      <w:r w:rsidRPr="0069389C">
        <w:t xml:space="preserve"> 1107-1108.</w:t>
      </w:r>
    </w:p>
    <w:p w14:paraId="1C337693" w14:textId="3056D444"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w:date="2020-10-02T18:55:00Z" w:initials="N">
    <w:p w14:paraId="3BFDE7F6" w14:textId="437BA534" w:rsidR="00BD3E5C" w:rsidRDefault="00BD3E5C">
      <w:pPr>
        <w:pStyle w:val="CommentText"/>
      </w:pPr>
      <w:r>
        <w:rPr>
          <w:rStyle w:val="CommentReference"/>
        </w:rPr>
        <w:annotationRef/>
      </w:r>
      <w:r>
        <w:t>Report t dfs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FDE7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FDE7F6" w16cid:durableId="23247E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66&lt;/item&gt;&lt;item&gt;70&lt;/item&gt;&lt;item&gt;97&lt;/item&gt;&lt;item&gt;112&lt;/item&gt;&lt;item&gt;129&lt;/item&gt;&lt;item&gt;133&lt;/item&gt;&lt;item&gt;153&lt;/item&gt;&lt;item&gt;154&lt;/item&gt;&lt;item&gt;155&lt;/item&gt;&lt;item&gt;156&lt;/item&gt;&lt;item&gt;157&lt;/item&gt;&lt;/record-ids&gt;&lt;/item&gt;&lt;/Libraries&gt;"/>
  </w:docVars>
  <w:rsids>
    <w:rsidRoot w:val="004F0C57"/>
    <w:rsid w:val="00013167"/>
    <w:rsid w:val="000148E6"/>
    <w:rsid w:val="00026414"/>
    <w:rsid w:val="00030268"/>
    <w:rsid w:val="000338FD"/>
    <w:rsid w:val="00034011"/>
    <w:rsid w:val="00055CC2"/>
    <w:rsid w:val="0005601C"/>
    <w:rsid w:val="00086730"/>
    <w:rsid w:val="00094A10"/>
    <w:rsid w:val="000A17B9"/>
    <w:rsid w:val="000A5207"/>
    <w:rsid w:val="000A78C8"/>
    <w:rsid w:val="000B6C20"/>
    <w:rsid w:val="000C19EF"/>
    <w:rsid w:val="000D52A0"/>
    <w:rsid w:val="000E7C40"/>
    <w:rsid w:val="00101F4B"/>
    <w:rsid w:val="00110238"/>
    <w:rsid w:val="00116403"/>
    <w:rsid w:val="00116AEC"/>
    <w:rsid w:val="00126EB6"/>
    <w:rsid w:val="00131663"/>
    <w:rsid w:val="00137A3B"/>
    <w:rsid w:val="00140D67"/>
    <w:rsid w:val="001453C0"/>
    <w:rsid w:val="001463EA"/>
    <w:rsid w:val="001525A9"/>
    <w:rsid w:val="00154450"/>
    <w:rsid w:val="00156C50"/>
    <w:rsid w:val="001746A2"/>
    <w:rsid w:val="00175EF6"/>
    <w:rsid w:val="001775B8"/>
    <w:rsid w:val="001843C9"/>
    <w:rsid w:val="00185B2B"/>
    <w:rsid w:val="001A09EB"/>
    <w:rsid w:val="001A6709"/>
    <w:rsid w:val="001C11E6"/>
    <w:rsid w:val="001C465B"/>
    <w:rsid w:val="001C6F41"/>
    <w:rsid w:val="001D7B57"/>
    <w:rsid w:val="001E2A26"/>
    <w:rsid w:val="001E45A9"/>
    <w:rsid w:val="001E5A0A"/>
    <w:rsid w:val="001E75DE"/>
    <w:rsid w:val="001F7463"/>
    <w:rsid w:val="00207704"/>
    <w:rsid w:val="00213F3E"/>
    <w:rsid w:val="00216D8C"/>
    <w:rsid w:val="002236D4"/>
    <w:rsid w:val="0022375E"/>
    <w:rsid w:val="00223B5C"/>
    <w:rsid w:val="00225F14"/>
    <w:rsid w:val="00231959"/>
    <w:rsid w:val="00244216"/>
    <w:rsid w:val="00252178"/>
    <w:rsid w:val="00254E87"/>
    <w:rsid w:val="00260698"/>
    <w:rsid w:val="00264C81"/>
    <w:rsid w:val="00272A74"/>
    <w:rsid w:val="00285B32"/>
    <w:rsid w:val="00293F52"/>
    <w:rsid w:val="0029447D"/>
    <w:rsid w:val="002A417C"/>
    <w:rsid w:val="002B286E"/>
    <w:rsid w:val="002B3D60"/>
    <w:rsid w:val="002B6AEB"/>
    <w:rsid w:val="002C10C6"/>
    <w:rsid w:val="002C6592"/>
    <w:rsid w:val="002D2218"/>
    <w:rsid w:val="002D3AFB"/>
    <w:rsid w:val="002D5442"/>
    <w:rsid w:val="002E28E0"/>
    <w:rsid w:val="002E5721"/>
    <w:rsid w:val="002F00AC"/>
    <w:rsid w:val="003027A4"/>
    <w:rsid w:val="00313F85"/>
    <w:rsid w:val="00316740"/>
    <w:rsid w:val="00321F8E"/>
    <w:rsid w:val="00334741"/>
    <w:rsid w:val="00337A3D"/>
    <w:rsid w:val="003539B9"/>
    <w:rsid w:val="00354519"/>
    <w:rsid w:val="00370DEA"/>
    <w:rsid w:val="00380507"/>
    <w:rsid w:val="00390426"/>
    <w:rsid w:val="003A1132"/>
    <w:rsid w:val="003B3051"/>
    <w:rsid w:val="003B71FA"/>
    <w:rsid w:val="003C13A0"/>
    <w:rsid w:val="003D331B"/>
    <w:rsid w:val="003E02F0"/>
    <w:rsid w:val="003E42BB"/>
    <w:rsid w:val="003F6258"/>
    <w:rsid w:val="003F73C8"/>
    <w:rsid w:val="00422EA1"/>
    <w:rsid w:val="0042703B"/>
    <w:rsid w:val="004270CD"/>
    <w:rsid w:val="00437AD1"/>
    <w:rsid w:val="0044538A"/>
    <w:rsid w:val="00445817"/>
    <w:rsid w:val="004567F3"/>
    <w:rsid w:val="004669DC"/>
    <w:rsid w:val="00467A73"/>
    <w:rsid w:val="00470115"/>
    <w:rsid w:val="00487561"/>
    <w:rsid w:val="00494E5C"/>
    <w:rsid w:val="004953B6"/>
    <w:rsid w:val="004A0BB9"/>
    <w:rsid w:val="004B1416"/>
    <w:rsid w:val="004B1956"/>
    <w:rsid w:val="004B4692"/>
    <w:rsid w:val="004C63D1"/>
    <w:rsid w:val="004D4A4F"/>
    <w:rsid w:val="004D5EB8"/>
    <w:rsid w:val="004E0ECF"/>
    <w:rsid w:val="004E2F6B"/>
    <w:rsid w:val="004E5966"/>
    <w:rsid w:val="004F0C57"/>
    <w:rsid w:val="0050335C"/>
    <w:rsid w:val="00521BDE"/>
    <w:rsid w:val="00545C7E"/>
    <w:rsid w:val="00563568"/>
    <w:rsid w:val="00564ED3"/>
    <w:rsid w:val="00567DCF"/>
    <w:rsid w:val="00576558"/>
    <w:rsid w:val="005930F4"/>
    <w:rsid w:val="005A16E0"/>
    <w:rsid w:val="005A3B84"/>
    <w:rsid w:val="005B324A"/>
    <w:rsid w:val="005B7EF5"/>
    <w:rsid w:val="005C3EB4"/>
    <w:rsid w:val="005D3309"/>
    <w:rsid w:val="00600A5E"/>
    <w:rsid w:val="00605CD1"/>
    <w:rsid w:val="0061349B"/>
    <w:rsid w:val="00615120"/>
    <w:rsid w:val="006220DA"/>
    <w:rsid w:val="0062262A"/>
    <w:rsid w:val="006278B7"/>
    <w:rsid w:val="00627FDB"/>
    <w:rsid w:val="00641FB8"/>
    <w:rsid w:val="00644A27"/>
    <w:rsid w:val="00650703"/>
    <w:rsid w:val="006614CA"/>
    <w:rsid w:val="00661621"/>
    <w:rsid w:val="006661CB"/>
    <w:rsid w:val="00670465"/>
    <w:rsid w:val="00671225"/>
    <w:rsid w:val="006827A1"/>
    <w:rsid w:val="00684609"/>
    <w:rsid w:val="0069389C"/>
    <w:rsid w:val="00694149"/>
    <w:rsid w:val="006A41CE"/>
    <w:rsid w:val="006A5980"/>
    <w:rsid w:val="006B6C5E"/>
    <w:rsid w:val="006C2FF1"/>
    <w:rsid w:val="006C35AB"/>
    <w:rsid w:val="006D15A5"/>
    <w:rsid w:val="006D2E7D"/>
    <w:rsid w:val="006E0C52"/>
    <w:rsid w:val="006F0488"/>
    <w:rsid w:val="006F5D7C"/>
    <w:rsid w:val="00715667"/>
    <w:rsid w:val="007410E2"/>
    <w:rsid w:val="00742DB2"/>
    <w:rsid w:val="00747EBA"/>
    <w:rsid w:val="00752EB2"/>
    <w:rsid w:val="0075385C"/>
    <w:rsid w:val="0076067A"/>
    <w:rsid w:val="00767477"/>
    <w:rsid w:val="007836DB"/>
    <w:rsid w:val="007B2B62"/>
    <w:rsid w:val="007C7F38"/>
    <w:rsid w:val="007D7DA5"/>
    <w:rsid w:val="007E383D"/>
    <w:rsid w:val="007E653D"/>
    <w:rsid w:val="007F39D0"/>
    <w:rsid w:val="007F3EDF"/>
    <w:rsid w:val="007F6053"/>
    <w:rsid w:val="00806FBF"/>
    <w:rsid w:val="00811DD4"/>
    <w:rsid w:val="00826D70"/>
    <w:rsid w:val="008349C8"/>
    <w:rsid w:val="00835609"/>
    <w:rsid w:val="008563F4"/>
    <w:rsid w:val="00862DBD"/>
    <w:rsid w:val="00867601"/>
    <w:rsid w:val="008703C8"/>
    <w:rsid w:val="00876045"/>
    <w:rsid w:val="00890206"/>
    <w:rsid w:val="0089662F"/>
    <w:rsid w:val="00897D18"/>
    <w:rsid w:val="008A2847"/>
    <w:rsid w:val="008D078B"/>
    <w:rsid w:val="008F235D"/>
    <w:rsid w:val="0090468E"/>
    <w:rsid w:val="00915125"/>
    <w:rsid w:val="00952652"/>
    <w:rsid w:val="00976B70"/>
    <w:rsid w:val="00976FCF"/>
    <w:rsid w:val="00980383"/>
    <w:rsid w:val="00981368"/>
    <w:rsid w:val="00984986"/>
    <w:rsid w:val="00993860"/>
    <w:rsid w:val="00994321"/>
    <w:rsid w:val="009A23CA"/>
    <w:rsid w:val="009A464C"/>
    <w:rsid w:val="009A6796"/>
    <w:rsid w:val="009B1353"/>
    <w:rsid w:val="009B3896"/>
    <w:rsid w:val="009C2C14"/>
    <w:rsid w:val="009C4CC6"/>
    <w:rsid w:val="009D0D47"/>
    <w:rsid w:val="009D4A51"/>
    <w:rsid w:val="009D572C"/>
    <w:rsid w:val="009D5B9C"/>
    <w:rsid w:val="009E28DE"/>
    <w:rsid w:val="00A02701"/>
    <w:rsid w:val="00A2270D"/>
    <w:rsid w:val="00A22B5B"/>
    <w:rsid w:val="00A2552C"/>
    <w:rsid w:val="00A444BB"/>
    <w:rsid w:val="00A54AFE"/>
    <w:rsid w:val="00A62907"/>
    <w:rsid w:val="00A63C6E"/>
    <w:rsid w:val="00A72E83"/>
    <w:rsid w:val="00A85692"/>
    <w:rsid w:val="00A879B2"/>
    <w:rsid w:val="00A95E48"/>
    <w:rsid w:val="00AB4E76"/>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642BC"/>
    <w:rsid w:val="00C81D6D"/>
    <w:rsid w:val="00C95026"/>
    <w:rsid w:val="00C95F6B"/>
    <w:rsid w:val="00CA3EE7"/>
    <w:rsid w:val="00CA5672"/>
    <w:rsid w:val="00CC3DA5"/>
    <w:rsid w:val="00CC77F7"/>
    <w:rsid w:val="00CD5941"/>
    <w:rsid w:val="00CE02EC"/>
    <w:rsid w:val="00CE774A"/>
    <w:rsid w:val="00D035BE"/>
    <w:rsid w:val="00D175F6"/>
    <w:rsid w:val="00D244C3"/>
    <w:rsid w:val="00D33077"/>
    <w:rsid w:val="00D36D3F"/>
    <w:rsid w:val="00D46F7A"/>
    <w:rsid w:val="00D54DC2"/>
    <w:rsid w:val="00D642CC"/>
    <w:rsid w:val="00D72F80"/>
    <w:rsid w:val="00D82638"/>
    <w:rsid w:val="00DA3108"/>
    <w:rsid w:val="00DB3412"/>
    <w:rsid w:val="00DB3C2C"/>
    <w:rsid w:val="00DB6553"/>
    <w:rsid w:val="00DC08B5"/>
    <w:rsid w:val="00DD1F75"/>
    <w:rsid w:val="00DE23FE"/>
    <w:rsid w:val="00DF137C"/>
    <w:rsid w:val="00E0611C"/>
    <w:rsid w:val="00E11C3E"/>
    <w:rsid w:val="00E1306F"/>
    <w:rsid w:val="00E13A54"/>
    <w:rsid w:val="00E141DE"/>
    <w:rsid w:val="00E27891"/>
    <w:rsid w:val="00E316DF"/>
    <w:rsid w:val="00E545B1"/>
    <w:rsid w:val="00E56334"/>
    <w:rsid w:val="00E630D0"/>
    <w:rsid w:val="00E718A1"/>
    <w:rsid w:val="00EA1E67"/>
    <w:rsid w:val="00EA3377"/>
    <w:rsid w:val="00EB3C50"/>
    <w:rsid w:val="00ED18BB"/>
    <w:rsid w:val="00ED2FDB"/>
    <w:rsid w:val="00ED49CB"/>
    <w:rsid w:val="00EF444B"/>
    <w:rsid w:val="00EF4938"/>
    <w:rsid w:val="00EF7908"/>
    <w:rsid w:val="00F120DB"/>
    <w:rsid w:val="00F147D5"/>
    <w:rsid w:val="00F17580"/>
    <w:rsid w:val="00F2298B"/>
    <w:rsid w:val="00F3005C"/>
    <w:rsid w:val="00F33542"/>
    <w:rsid w:val="00F51A26"/>
    <w:rsid w:val="00F56DE6"/>
    <w:rsid w:val="00F6621B"/>
    <w:rsid w:val="00F71B00"/>
    <w:rsid w:val="00F72186"/>
    <w:rsid w:val="00F731BF"/>
    <w:rsid w:val="00F77E1D"/>
    <w:rsid w:val="00F93E1B"/>
    <w:rsid w:val="00F9461E"/>
    <w:rsid w:val="00F9643C"/>
    <w:rsid w:val="00FA6A2D"/>
    <w:rsid w:val="00FA6E19"/>
    <w:rsid w:val="00FA7F4B"/>
    <w:rsid w:val="00FB020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4C7496-019E-46E2-89C7-9B9C04AA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13022</TotalTime>
  <Pages>18</Pages>
  <Words>6187</Words>
  <Characters>35266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Nicholas Obrien</cp:lastModifiedBy>
  <cp:revision>302</cp:revision>
  <dcterms:created xsi:type="dcterms:W3CDTF">2020-08-30T04:22:00Z</dcterms:created>
  <dcterms:modified xsi:type="dcterms:W3CDTF">2020-10-04T07:56:00Z</dcterms:modified>
</cp:coreProperties>
</file>