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19DE9903" w14:textId="164957D4"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6BB1F42" w14:textId="77777777" w:rsidR="004D21B7" w:rsidRPr="00694149" w:rsidRDefault="004D21B7"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Lande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3B7B31A9" w:rsidR="00694149" w:rsidRPr="00111B61" w:rsidRDefault="00A54AFE" w:rsidP="006F0488">
      <w:pPr>
        <w:rPr>
          <w:lang w:val="en-US"/>
        </w:rPr>
      </w:pPr>
      <w:r>
        <w:rPr>
          <w:lang w:val="en-US"/>
        </w:rPr>
        <w:t>Additive g</w:t>
      </w:r>
      <w:r w:rsidR="00DA3108">
        <w:rPr>
          <w:lang w:val="en-US"/>
        </w:rPr>
        <w:t>enetic variability</w:t>
      </w:r>
      <w:r w:rsidR="00A06DD5">
        <w:rPr>
          <w:lang w:val="en-US"/>
        </w:rPr>
        <w:t>, V</w:t>
      </w:r>
      <w:r w:rsidR="00A06DD5">
        <w:rPr>
          <w:vertAlign w:val="subscript"/>
          <w:lang w:val="en-US"/>
        </w:rPr>
        <w:t>A</w:t>
      </w:r>
      <w:r w:rsidR="00A06DD5">
        <w:rPr>
          <w:lang w:val="en-US"/>
        </w:rPr>
        <w:t>,</w:t>
      </w:r>
      <w:r w:rsidR="00DA3108">
        <w:rPr>
          <w:lang w:val="en-US"/>
        </w:rPr>
        <w:t xml:space="preserve">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A06DD5">
        <w:rPr>
          <w:lang w:val="en-US"/>
        </w:rPr>
        <w:t>V</w:t>
      </w:r>
      <w:r w:rsidR="00A06DD5">
        <w:rPr>
          <w:vertAlign w:val="subscript"/>
          <w:lang w:val="en-US"/>
        </w:rPr>
        <w:t>A</w:t>
      </w:r>
      <w:r w:rsidR="003E02F0">
        <w:rPr>
          <w:lang w:val="en-US"/>
        </w:rPr>
        <w:t xml:space="preserve"> is heritable</w:t>
      </w:r>
      <w:r w:rsidR="004300F2">
        <w:rPr>
          <w:lang w:val="en-US"/>
        </w:rPr>
        <w:t>,</w:t>
      </w:r>
      <w:r w:rsidR="00A06DD5">
        <w:rPr>
          <w:lang w:val="en-US"/>
        </w:rPr>
        <w:t xml:space="preserve"> and therefore predictive of a population’s </w:t>
      </w:r>
      <w:r w:rsidR="00111B61">
        <w:rPr>
          <w:lang w:val="en-US"/>
        </w:rPr>
        <w:t>trajectory over micro</w:t>
      </w:r>
      <w:r w:rsidR="00A06DD5">
        <w:rPr>
          <w:lang w:val="en-US"/>
        </w:rPr>
        <w:t>-evolutionary time</w:t>
      </w:r>
      <w:r w:rsidR="004300F2">
        <w:rPr>
          <w:lang w:val="en-US"/>
        </w:rPr>
        <w:t>.</w:t>
      </w:r>
      <w:r w:rsidR="00A06DD5">
        <w:rPr>
          <w:lang w:val="en-US"/>
        </w:rPr>
        <w:t xml:space="preserve"> The V</w:t>
      </w:r>
      <w:r w:rsidR="00A06DD5">
        <w:rPr>
          <w:vertAlign w:val="subscript"/>
          <w:lang w:val="en-US"/>
        </w:rPr>
        <w:t>A</w:t>
      </w:r>
      <w:r w:rsidR="00A06DD5">
        <w:rPr>
          <w:lang w:val="en-US"/>
        </w:rPr>
        <w:t xml:space="preserve"> of a population determines the phenotypic space that population can explore. Hence, it is predicted that populations with large amounts of V</w:t>
      </w:r>
      <w:r w:rsidR="00A06DD5">
        <w:rPr>
          <w:vertAlign w:val="subscript"/>
          <w:lang w:val="en-US"/>
        </w:rPr>
        <w:t xml:space="preserve">A </w:t>
      </w:r>
      <w:r w:rsidR="00A06DD5">
        <w:rPr>
          <w:lang w:val="en-US"/>
        </w:rPr>
        <w:t>are best suited to</w:t>
      </w:r>
      <w:r w:rsidR="002062FA">
        <w:rPr>
          <w:lang w:val="en-US"/>
        </w:rPr>
        <w:t xml:space="preserve"> adapting to novel environments </w:t>
      </w:r>
      <w:r w:rsidR="002062FA">
        <w:rPr>
          <w:lang w:val="en-US"/>
        </w:rPr>
        <w:fldChar w:fldCharType="begin"/>
      </w:r>
      <w:r w:rsidR="002062FA">
        <w:rPr>
          <w:lang w:val="en-US"/>
        </w:rPr>
        <w:instrText xml:space="preserve"> ADDIN EN.CITE &lt;EndNote&gt;&lt;Cite&gt;&lt;Author&gt;Barton&lt;/Author&gt;&lt;Year&gt;1998&lt;/Year&gt;&lt;RecNum&gt;24&lt;/RecNum&gt;&lt;DisplayText&gt;(&lt;style face="smallcaps"&gt;Barton and Charlesworth&lt;/style&gt; 1998)&lt;/DisplayText&gt;&lt;record&gt;&lt;rec-number&gt;24&lt;/rec-number&gt;&lt;foreign-keys&gt;&lt;key app="EN" db-id="5ppvfvtxcxr5xnew0zqvex91vs0vv2wxd90d" timestamp="1583126604"&gt;24&lt;/key&gt;&lt;/foreign-keys&gt;&lt;ref-type name="Journal Article"&gt;17&lt;/ref-type&gt;&lt;contributors&gt;&lt;authors&gt;&lt;author&gt;Barton, N. H.&lt;/author&gt;&lt;author&gt;Charlesworth, B.&lt;/author&gt;&lt;/authors&gt;&lt;/contributors&gt;&lt;auth-address&gt;Institute of Cell, Animal and Population Biology, University of Edinburgh, West Mains Road, Edinburgh EH9 3JT, UK. n.barton@ed.ac.uk charlesworth@ed.ac.uk.&lt;/auth-address&gt;&lt;titles&gt;&lt;title&gt;Why sex and recombination?&lt;/title&gt;&lt;secondary-title&gt;Science&lt;/secondary-title&gt;&lt;/titles&gt;&lt;periodical&gt;&lt;full-title&gt;Science&lt;/full-title&gt;&lt;/periodical&gt;&lt;pages&gt;1986-90&lt;/pages&gt;&lt;volume&gt;281&lt;/volume&gt;&lt;number&gt;5385&lt;/number&gt;&lt;edition&gt;1998/09/25&lt;/edition&gt;&lt;keywords&gt;&lt;keyword&gt;Animals&lt;/keyword&gt;&lt;keyword&gt;*Biological Evolution&lt;/keyword&gt;&lt;keyword&gt;Epistasis, Genetic&lt;/keyword&gt;&lt;keyword&gt;Female&lt;/keyword&gt;&lt;keyword&gt;Genetic Variation&lt;/keyword&gt;&lt;keyword&gt;Male&lt;/keyword&gt;&lt;keyword&gt;Models, Genetic&lt;/keyword&gt;&lt;keyword&gt;Mutation&lt;/keyword&gt;&lt;keyword&gt;*Recombination, Genetic&lt;/keyword&gt;&lt;keyword&gt;Reproduction, Asexual&lt;/keyword&gt;&lt;keyword&gt;*Selection, Genetic&lt;/keyword&gt;&lt;keyword&gt;*Sex&lt;/keyword&gt;&lt;/keywords&gt;&lt;dates&gt;&lt;year&gt;1998&lt;/year&gt;&lt;pub-dates&gt;&lt;date&gt;Sep 25&lt;/date&gt;&lt;/pub-dates&gt;&lt;/dates&gt;&lt;isbn&gt;0036-8075 (Print)&amp;#xD;0036-8075 (Linking)&lt;/isbn&gt;&lt;accession-num&gt;9748151&lt;/accession-num&gt;&lt;urls&gt;&lt;related-urls&gt;&lt;url&gt;https://www.ncbi.nlm.nih.gov/pubmed/9748151&lt;/url&gt;&lt;/related-urls&gt;&lt;/urls&gt;&lt;/record&gt;&lt;/Cite&gt;&lt;/EndNote&gt;</w:instrText>
      </w:r>
      <w:r w:rsidR="002062FA">
        <w:rPr>
          <w:lang w:val="en-US"/>
        </w:rPr>
        <w:fldChar w:fldCharType="separate"/>
      </w:r>
      <w:r w:rsidR="002062FA">
        <w:rPr>
          <w:noProof/>
          <w:lang w:val="en-US"/>
        </w:rPr>
        <w:t>(</w:t>
      </w:r>
      <w:r w:rsidR="002062FA" w:rsidRPr="002062FA">
        <w:rPr>
          <w:smallCaps/>
          <w:noProof/>
          <w:lang w:val="en-US"/>
        </w:rPr>
        <w:t>Barton and Charlesworth</w:t>
      </w:r>
      <w:r w:rsidR="002062FA">
        <w:rPr>
          <w:noProof/>
          <w:lang w:val="en-US"/>
        </w:rPr>
        <w:t xml:space="preserve"> 1998)</w:t>
      </w:r>
      <w:r w:rsidR="002062FA">
        <w:rPr>
          <w:lang w:val="en-US"/>
        </w:rPr>
        <w:fldChar w:fldCharType="end"/>
      </w:r>
      <w:r w:rsidR="00A06DD5">
        <w:rPr>
          <w:lang w:val="en-US"/>
        </w:rPr>
        <w:t>.</w:t>
      </w:r>
      <w:r w:rsidR="00794E91">
        <w:rPr>
          <w:lang w:val="en-US"/>
        </w:rPr>
        <w:t xml:space="preserve"> Such an example is X</w:t>
      </w:r>
      <w:r w:rsidR="00111B61">
        <w:rPr>
          <w:lang w:val="en-US"/>
        </w:rPr>
        <w:t xml:space="preserve">. However this is not always the case, standing genetic variation is characterized by a variety of architectural and population-level constraints such as rates of pleiotropy, selection strength, additive effect size, linkage, and deleterious mutation/background selection (SOURCE). </w:t>
      </w:r>
      <w:r w:rsidR="002062FA">
        <w:rPr>
          <w:lang w:val="en-US"/>
        </w:rPr>
        <w:t xml:space="preserve">For example, under infinitesimal models, selection has a trivial impact on standing variation </w:t>
      </w:r>
      <w:r w:rsidR="002062FA">
        <w:rPr>
          <w:lang w:val="en-US"/>
        </w:rPr>
        <w:fldChar w:fldCharType="begin"/>
      </w:r>
      <w:r w:rsidR="002062FA">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sidR="002062FA">
        <w:rPr>
          <w:lang w:val="en-US"/>
        </w:rPr>
        <w:fldChar w:fldCharType="separate"/>
      </w:r>
      <w:r w:rsidR="002062FA">
        <w:rPr>
          <w:noProof/>
          <w:lang w:val="en-US"/>
        </w:rPr>
        <w:t>(</w:t>
      </w:r>
      <w:r w:rsidR="002062FA" w:rsidRPr="002062FA">
        <w:rPr>
          <w:smallCaps/>
          <w:noProof/>
          <w:lang w:val="en-US"/>
        </w:rPr>
        <w:t>Barton</w:t>
      </w:r>
      <w:r w:rsidR="002062FA">
        <w:rPr>
          <w:noProof/>
          <w:lang w:val="en-US"/>
        </w:rPr>
        <w:t xml:space="preserve"> 2017)</w:t>
      </w:r>
      <w:r w:rsidR="002062FA">
        <w:rPr>
          <w:lang w:val="en-US"/>
        </w:rPr>
        <w:fldChar w:fldCharType="end"/>
      </w:r>
      <w:r w:rsidR="002062FA">
        <w:rPr>
          <w:lang w:val="en-US"/>
        </w:rPr>
        <w:t>.</w:t>
      </w:r>
    </w:p>
    <w:p w14:paraId="5A35CD90" w14:textId="77777777" w:rsidR="00CE3531" w:rsidRPr="00A06DD5" w:rsidRDefault="00CE3531" w:rsidP="006F0488">
      <w:pPr>
        <w:rPr>
          <w:lang w:val="en-US"/>
        </w:rPr>
      </w:pP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23D06D0F" w14:textId="42159F1A" w:rsidR="00CE3531" w:rsidRDefault="00CE3531" w:rsidP="004300F2">
      <w:pPr>
        <w:pStyle w:val="ListParagraph"/>
        <w:numPr>
          <w:ilvl w:val="0"/>
          <w:numId w:val="2"/>
        </w:numPr>
        <w:rPr>
          <w:lang w:val="en-US"/>
        </w:rPr>
      </w:pPr>
      <w:r>
        <w:rPr>
          <w:lang w:val="en-US"/>
        </w:rPr>
        <w:t>Natural diversity, population movements in trait space</w:t>
      </w:r>
    </w:p>
    <w:p w14:paraId="7C9DCD36" w14:textId="3DDD638B" w:rsidR="00854026" w:rsidRPr="00854026" w:rsidRDefault="00CE3531" w:rsidP="00854026">
      <w:pPr>
        <w:pStyle w:val="ListParagraph"/>
        <w:numPr>
          <w:ilvl w:val="0"/>
          <w:numId w:val="2"/>
        </w:numPr>
        <w:rPr>
          <w:lang w:val="en-US"/>
        </w:rPr>
      </w:pPr>
      <w:r>
        <w:rPr>
          <w:lang w:val="en-US"/>
        </w:rPr>
        <w:t>Heritable variation</w:t>
      </w:r>
    </w:p>
    <w:p w14:paraId="2D5C8810" w14:textId="73F73126" w:rsidR="00CE3531" w:rsidRDefault="00CE3531" w:rsidP="004300F2">
      <w:pPr>
        <w:pStyle w:val="ListParagraph"/>
        <w:numPr>
          <w:ilvl w:val="0"/>
          <w:numId w:val="2"/>
        </w:numPr>
        <w:rPr>
          <w:lang w:val="en-US"/>
        </w:rPr>
      </w:pPr>
      <w:r>
        <w:rPr>
          <w:lang w:val="en-US"/>
        </w:rPr>
        <w:t>Stabilising selection, effect on variation</w:t>
      </w:r>
      <w:r w:rsidR="00854026">
        <w:rPr>
          <w:lang w:val="en-US"/>
        </w:rPr>
        <w:t>/need for variation vs drift</w:t>
      </w:r>
    </w:p>
    <w:p w14:paraId="6D256634" w14:textId="33BF9997" w:rsidR="007C70D0" w:rsidRDefault="007C70D0" w:rsidP="007C70D0">
      <w:pPr>
        <w:pStyle w:val="ListParagraph"/>
        <w:numPr>
          <w:ilvl w:val="1"/>
          <w:numId w:val="2"/>
        </w:numPr>
        <w:rPr>
          <w:lang w:val="en-US"/>
        </w:rPr>
      </w:pPr>
      <w:r>
        <w:rPr>
          <w:lang w:val="en-US"/>
        </w:rPr>
        <w:lastRenderedPageBreak/>
        <w:t>Expected to remove variation, mutation alone can’t explain why in natural populations we see so much variation: why?</w:t>
      </w:r>
    </w:p>
    <w:p w14:paraId="5824E523" w14:textId="7E103515" w:rsidR="00854026" w:rsidRDefault="00854026" w:rsidP="004300F2">
      <w:pPr>
        <w:pStyle w:val="ListParagraph"/>
        <w:numPr>
          <w:ilvl w:val="0"/>
          <w:numId w:val="2"/>
        </w:numPr>
        <w:rPr>
          <w:lang w:val="en-US"/>
        </w:rPr>
      </w:pPr>
      <w:r>
        <w:rPr>
          <w:lang w:val="en-US"/>
        </w:rPr>
        <w:t>Additive effect sizes, effects on variation</w:t>
      </w:r>
    </w:p>
    <w:p w14:paraId="3752035B" w14:textId="1FFE002D" w:rsidR="00854026" w:rsidRPr="00854026" w:rsidRDefault="004300F2" w:rsidP="00854026">
      <w:pPr>
        <w:pStyle w:val="ListParagraph"/>
        <w:numPr>
          <w:ilvl w:val="0"/>
          <w:numId w:val="2"/>
        </w:numPr>
        <w:rPr>
          <w:lang w:val="en-US"/>
        </w:rPr>
      </w:pPr>
      <w:r>
        <w:rPr>
          <w:lang w:val="en-US"/>
        </w:rPr>
        <w:t>Background selection</w:t>
      </w:r>
      <w:r w:rsidR="00854026">
        <w:rPr>
          <w:lang w:val="en-US"/>
        </w:rPr>
        <w:t>, effect on variation</w:t>
      </w:r>
    </w:p>
    <w:p w14:paraId="6D8FA5FE" w14:textId="4041BBDD" w:rsidR="006F0488" w:rsidRDefault="004300F2" w:rsidP="004300F2">
      <w:pPr>
        <w:pStyle w:val="ListParagraph"/>
        <w:numPr>
          <w:ilvl w:val="0"/>
          <w:numId w:val="2"/>
        </w:numPr>
        <w:rPr>
          <w:lang w:val="en-US"/>
        </w:rPr>
      </w:pPr>
      <w:r>
        <w:rPr>
          <w:lang w:val="en-US"/>
        </w:rPr>
        <w:t>Population genetics expectations of variation</w:t>
      </w:r>
      <w:r w:rsidR="00854026">
        <w:rPr>
          <w:lang w:val="en-US"/>
        </w:rPr>
        <w:t xml:space="preserve"> under bkg sel, additive effects</w:t>
      </w:r>
    </w:p>
    <w:p w14:paraId="42B9869C" w14:textId="28201039" w:rsidR="00854026" w:rsidRPr="00854026" w:rsidRDefault="00854026" w:rsidP="00854026">
      <w:pPr>
        <w:pStyle w:val="ListParagraph"/>
        <w:numPr>
          <w:ilvl w:val="0"/>
          <w:numId w:val="2"/>
        </w:numPr>
        <w:rPr>
          <w:lang w:val="en-US"/>
        </w:rPr>
      </w:pPr>
    </w:p>
    <w:p w14:paraId="766679CA" w14:textId="77777777" w:rsidR="00E11C3E" w:rsidRDefault="00E11C3E" w:rsidP="00E11C3E"/>
    <w:p w14:paraId="69AE8F7A" w14:textId="29486BA1" w:rsidR="004F0C57" w:rsidRDefault="004F0C57" w:rsidP="007836DB">
      <w:pPr>
        <w:pStyle w:val="Heading1"/>
      </w:pPr>
      <w:r>
        <w:t>Methods</w:t>
      </w:r>
    </w:p>
    <w:p w14:paraId="12785729" w14:textId="299053B6" w:rsidR="001746A2" w:rsidRPr="001746A2" w:rsidRDefault="001746A2" w:rsidP="001746A2">
      <w:pPr>
        <w:rPr>
          <w:lang w:val="en-US"/>
        </w:rPr>
      </w:pPr>
      <w:r>
        <w:rPr>
          <w:lang w:val="en-US"/>
        </w:rPr>
        <w:t xml:space="preserve">Using </w:t>
      </w:r>
      <w:r w:rsidR="00A879B2">
        <w:rPr>
          <w:lang w:val="en-US"/>
        </w:rPr>
        <w:t xml:space="preserve">the forward-genetics modelling package </w:t>
      </w:r>
      <w:r>
        <w:rPr>
          <w:lang w:val="en-US"/>
        </w:rPr>
        <w:t>SLiM</w:t>
      </w:r>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w:t>
      </w:r>
      <w:r w:rsidR="00FA75EE">
        <w:rPr>
          <w:rFonts w:eastAsiaTheme="minorEastAsia"/>
          <w:lang w:val="en-US"/>
        </w:rPr>
        <w:t xml:space="preserve">The rate of universal pleiotropy, and the amount of mutational covariance between traits was also varied across </w:t>
      </w:r>
      <w:r w:rsidR="00D74B21">
        <w:rPr>
          <w:rFonts w:eastAsiaTheme="minorEastAsia"/>
          <w:lang w:val="en-US"/>
        </w:rPr>
        <w:t>models but</w:t>
      </w:r>
      <w:r w:rsidR="00FA75EE">
        <w:rPr>
          <w:rFonts w:eastAsiaTheme="minorEastAsia"/>
          <w:lang w:val="en-US"/>
        </w:rPr>
        <w:t xml:space="preserve"> was not considered </w:t>
      </w:r>
      <w:r w:rsidR="00D74B21">
        <w:rPr>
          <w:rFonts w:eastAsiaTheme="minorEastAsia"/>
          <w:lang w:val="en-US"/>
        </w:rPr>
        <w:t>for</w:t>
      </w:r>
      <w:r w:rsidR="00FA75EE">
        <w:rPr>
          <w:rFonts w:eastAsiaTheme="minorEastAsia"/>
          <w:lang w:val="en-US"/>
        </w:rPr>
        <w:t xml:space="preserve"> analysis. </w:t>
      </w:r>
      <w:r w:rsidR="00F3005C">
        <w:rPr>
          <w:rFonts w:eastAsiaTheme="minorEastAsia"/>
          <w:lang w:val="en-US"/>
        </w:rPr>
        <w:t xml:space="preserve">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26390D2B" w:rsidR="00862DBD" w:rsidRDefault="002C6592" w:rsidP="004F0C57">
      <w:pPr>
        <w:rPr>
          <w:lang w:val="en-US"/>
        </w:rPr>
      </w:pPr>
      <w:r>
        <w:rPr>
          <w:lang w:val="en-US"/>
        </w:rPr>
        <w:t>Both of my experimental models consisted of a SLiM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r w:rsidR="00CA5672">
        <w:rPr>
          <w:lang w:val="en-US"/>
        </w:rPr>
        <w:t xml:space="preserve">Each individual is characterized by </w:t>
      </w:r>
      <w:r w:rsidR="003027A4">
        <w:rPr>
          <w:lang w:val="en-US"/>
        </w:rPr>
        <w:t xml:space="preserve">8 traits, </w:t>
      </w:r>
      <w:r w:rsidR="002D2218">
        <w:rPr>
          <w:lang w:val="en-US"/>
        </w:rPr>
        <w:t>controlled by 100 loci each.</w:t>
      </w:r>
      <w:r w:rsidR="00D74B21">
        <w:rPr>
          <w:lang w:val="en-US"/>
        </w:rPr>
        <w:t xml:space="preserve"> Each trait has an identical effect on fitness, forming a ‘mega-trait’ with varying variance-covariance structures depending on pleiotropy rates.</w:t>
      </w:r>
      <w:r w:rsidR="002D2218">
        <w:rPr>
          <w:lang w:val="en-US"/>
        </w:rPr>
        <w:t xml:space="preserve"> </w:t>
      </w:r>
      <w:r>
        <w:rPr>
          <w:lang w:val="en-US"/>
        </w:rPr>
        <w:t xml:space="preserve">Each locus is assumed to have identical length, and each base pair within it is assumed to be mutationally </w:t>
      </w:r>
      <w:r w:rsidR="00615120">
        <w:rPr>
          <w:lang w:val="en-US"/>
        </w:rPr>
        <w:t>independent</w:t>
      </w:r>
      <w:r w:rsidR="000F0531">
        <w:rPr>
          <w:lang w:val="en-US"/>
        </w:rPr>
        <w:t xml:space="preserve">, an assumption supported by a </w:t>
      </w:r>
      <w:r w:rsidR="00615120">
        <w:rPr>
          <w:lang w:val="en-US"/>
        </w:rPr>
        <w:t xml:space="preserve">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0F0531">
        <w:rPr>
          <w:lang w:val="en-US"/>
        </w:rPr>
        <w:t>, which</w:t>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lastRenderedPageBreak/>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231DF010"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with the strength of selection</w:t>
      </w:r>
      <w:r w:rsidR="000F0531">
        <w:rPr>
          <w:lang w:val="en-US"/>
        </w:rPr>
        <w:t xml:space="preserve"> (under strong selection pressures)</w:t>
      </w:r>
      <w:r w:rsidR="00CE02EC">
        <w:rPr>
          <w:lang w:val="en-US"/>
        </w:rPr>
        <w:t xml:space="preserve">,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4E8F6A42" w14:textId="77777777" w:rsidR="000F0531" w:rsidRDefault="000F0531" w:rsidP="004F0C57">
      <w:pPr>
        <w:rPr>
          <w:lang w:val="en-US"/>
        </w:rPr>
      </w:pP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6EEC34A6"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correlation.</w:t>
      </w:r>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76ACB9DD" w14:textId="16444D65" w:rsidR="000F0531" w:rsidRDefault="000F0531" w:rsidP="004F0C57">
      <w:pPr>
        <w:rPr>
          <w:lang w:val="en-US"/>
        </w:rPr>
      </w:pPr>
      <w:r>
        <w:rPr>
          <w:lang w:val="en-US"/>
        </w:rPr>
        <w:t>Non-trait deleterious mutations had fitness effects sampled from a gamma distribution</w:t>
      </w:r>
      <w:r w:rsidR="00376C8E">
        <w:rPr>
          <w:lang w:val="en-US"/>
        </w:rPr>
        <w:t xml:space="preserve"> with </w:t>
      </w:r>
    </w:p>
    <w:p w14:paraId="0C80F46B" w14:textId="5525C3BD" w:rsidR="000F0531" w:rsidRPr="00376C8E" w:rsidRDefault="00376C8E" w:rsidP="004F0C57">
      <w:pPr>
        <w:rPr>
          <w:rFonts w:eastAsiaTheme="minorEastAsia"/>
          <w:lang w:val="en-US"/>
        </w:rPr>
      </w:pPr>
      <m:oMathPara>
        <m:oMath>
          <m:r>
            <w:rPr>
              <w:rFonts w:ascii="Cambria Math" w:hAnsi="Cambria Math"/>
              <w:lang w:val="en-US"/>
            </w:rPr>
            <m:t>P</m:t>
          </m:r>
          <m:d>
            <m:dPr>
              <m:endChr m:val="|"/>
              <m:ctrlPr>
                <w:rPr>
                  <w:rFonts w:ascii="Cambria Math" w:hAnsi="Cambria Math"/>
                  <w:i/>
                  <w:lang w:val="en-US"/>
                </w:rPr>
              </m:ctrlPr>
            </m:dPr>
            <m:e>
              <m:r>
                <w:rPr>
                  <w:rFonts w:ascii="Cambria Math" w:hAnsi="Cambria Math"/>
                  <w:lang w:val="en-US"/>
                </w:rPr>
                <m:t xml:space="preserve">s </m:t>
              </m:r>
            </m:e>
          </m:d>
          <m:r>
            <w:rPr>
              <w:rFonts w:ascii="Cambria Math" w:hAnsi="Cambria Math"/>
              <w:lang w:val="en-US"/>
            </w:rPr>
            <m:t xml:space="preserve"> α,</m:t>
          </m:r>
          <w:bookmarkStart w:id="0" w:name="_Hlk53940415"/>
          <m:r>
            <w:rPr>
              <w:rFonts w:ascii="Cambria Math" w:hAnsi="Cambria Math"/>
              <w:lang w:val="en-US"/>
            </w:rPr>
            <m:t>β</m:t>
          </m:r>
          <w:bookmarkEnd w:id="0"/>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m:t>
              </m:r>
              <m:r>
                <m:rPr>
                  <m:sty m:val="p"/>
                </m:rPr>
                <w:rPr>
                  <w:rFonts w:ascii="Cambria Math" w:hAnsi="Cambria Math"/>
                  <w:sz w:val="22"/>
                  <w:szCs w:val="22"/>
                </w:rPr>
                <m:t>Γ</m:t>
              </m:r>
              <m:d>
                <m:dPr>
                  <m:ctrlPr>
                    <w:rPr>
                      <w:rFonts w:ascii="Cambria Math" w:hAnsi="Cambria Math"/>
                      <w:sz w:val="22"/>
                      <w:szCs w:val="22"/>
                    </w:rPr>
                  </m:ctrlPr>
                </m:dPr>
                <m:e>
                  <m:r>
                    <w:rPr>
                      <w:rFonts w:ascii="Cambria Math" w:hAnsi="Cambria Math"/>
                      <w:lang w:val="en-US"/>
                    </w:rPr>
                    <m:t>α</m:t>
                  </m:r>
                  <m:ctrlPr>
                    <w:rPr>
                      <w:rFonts w:ascii="Cambria Math" w:hAnsi="Cambria Math"/>
                      <w:i/>
                      <w:lang w:val="en-US"/>
                    </w:rPr>
                  </m:ctrlP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r>
                <w:rPr>
                  <w:rFonts w:ascii="Cambria Math" w:hAnsi="Cambria Math"/>
                  <w:lang w:val="en-US"/>
                </w:rPr>
                <m:t>]</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α-1</m:t>
              </m:r>
            </m:sup>
          </m:sSup>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β</m:t>
              </m:r>
            </m:den>
          </m:f>
          <m:r>
            <w:rPr>
              <w:rFonts w:ascii="Cambria Math" w:hAnsi="Cambria Math"/>
              <w:lang w:val="en-US"/>
            </w:rPr>
            <m:t>)</m:t>
          </m:r>
          <m:r>
            <w:rPr>
              <w:rFonts w:ascii="Cambria Math" w:eastAsiaTheme="minorEastAsia" w:hAnsi="Cambria Math"/>
              <w:lang w:val="en-US"/>
            </w:rPr>
            <m:t xml:space="preserve">, </m:t>
          </m:r>
        </m:oMath>
      </m:oMathPara>
    </w:p>
    <w:p w14:paraId="24D30779" w14:textId="15D7A911" w:rsidR="00376C8E" w:rsidRPr="000F0531" w:rsidRDefault="00376C8E" w:rsidP="004F0C57">
      <w:pPr>
        <w:rPr>
          <w:rFonts w:eastAsiaTheme="minorEastAsia"/>
          <w:lang w:val="en-US"/>
        </w:rPr>
      </w:pPr>
      <w:r>
        <w:rPr>
          <w:rFonts w:eastAsiaTheme="minorEastAsia"/>
          <w:lang w:val="en-US"/>
        </w:rPr>
        <w:t xml:space="preserve">Where </w:t>
      </w:r>
      <m:oMath>
        <m:r>
          <w:rPr>
            <w:rFonts w:ascii="Cambria Math" w:hAnsi="Cambria Math"/>
            <w:lang w:val="en-US"/>
          </w:rPr>
          <m:t>α</m:t>
        </m:r>
        <m:r>
          <w:rPr>
            <w:rFonts w:ascii="Cambria Math" w:eastAsiaTheme="minorEastAsia" w:hAnsi="Cambria Math"/>
            <w:lang w:val="en-US"/>
          </w:rPr>
          <m:t xml:space="preserve">= 0.2 </m:t>
        </m:r>
      </m:oMath>
      <w:r>
        <w:rPr>
          <w:rFonts w:eastAsiaTheme="minorEastAsia"/>
          <w:lang w:val="en-US"/>
        </w:rPr>
        <w:t xml:space="preserve">and </w:t>
      </w:r>
      <m:oMath>
        <m:r>
          <w:rPr>
            <w:rFonts w:ascii="Cambria Math" w:hAnsi="Cambria Math"/>
            <w:lang w:val="en-US"/>
          </w:rPr>
          <m:t>β=-0.15</m:t>
        </m:r>
      </m:oMath>
      <w:r w:rsidR="00766EE2">
        <w:rPr>
          <w:rFonts w:eastAsiaTheme="minorEastAsia"/>
          <w:lang w:val="en-US"/>
        </w:rPr>
        <w:t xml:space="preserve"> (</w:t>
      </w:r>
      <w:r w:rsidR="00766EE2" w:rsidRPr="00766EE2">
        <w:rPr>
          <w:rFonts w:eastAsiaTheme="minorEastAsia"/>
          <w:highlight w:val="yellow"/>
          <w:lang w:val="en-US"/>
        </w:rPr>
        <w:t>SLiM Manual</w:t>
      </w:r>
      <w:r w:rsidR="00766EE2">
        <w:rPr>
          <w:rFonts w:eastAsiaTheme="minorEastAsia"/>
          <w:lang w:val="en-US"/>
        </w:rPr>
        <w:t>). This describes a distribution of fairly</w:t>
      </w:r>
      <w:r w:rsidR="00D85648">
        <w:rPr>
          <w:rFonts w:eastAsiaTheme="minorEastAsia"/>
          <w:lang w:val="en-US"/>
        </w:rPr>
        <w:t xml:space="preserve"> </w:t>
      </w:r>
      <w:r w:rsidR="00766EE2">
        <w:rPr>
          <w:rFonts w:eastAsiaTheme="minorEastAsia"/>
          <w:lang w:val="en-US"/>
        </w:rPr>
        <w:t xml:space="preserve">weak deleterious mutations on average. </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EB735F"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65F53701"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 xml:space="preserve">A population at equilibrium was assumed sufficiently </w:t>
      </w:r>
      <w:r w:rsidR="00593BDF">
        <w:rPr>
          <w:lang w:val="en-US"/>
        </w:rPr>
        <w:t>burnt in.</w:t>
      </w:r>
      <w:r w:rsidR="008D078B">
        <w:rPr>
          <w:lang w:val="en-US"/>
        </w:rPr>
        <w:t xml:space="preserve"> Trials indicated that 50,000 generations was sufficient for our population size (FIGURE S1</w:t>
      </w:r>
      <w:r w:rsidR="0061349B">
        <w:rPr>
          <w:lang w:val="en-US"/>
        </w:rPr>
        <w:t xml:space="preserve">: Plot of </w:t>
      </w:r>
      <w:r w:rsidR="0061349B">
        <w:rPr>
          <w:lang w:val="en-US"/>
        </w:rPr>
        <w:lastRenderedPageBreak/>
        <w:t>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28C6BC2C" w:rsidR="00994321" w:rsidRDefault="00994321" w:rsidP="004270CD">
      <w:pPr>
        <w:rPr>
          <w:lang w:val="en-US"/>
        </w:rPr>
      </w:pPr>
    </w:p>
    <w:p w14:paraId="6B2DB547" w14:textId="77777777" w:rsidR="00593BDF" w:rsidRDefault="00593BDF" w:rsidP="004270CD">
      <w:pPr>
        <w:rPr>
          <w:lang w:val="en-US"/>
        </w:rPr>
      </w:pPr>
    </w:p>
    <w:p w14:paraId="7848AADC" w14:textId="4769D16B" w:rsidR="00994321" w:rsidRDefault="00994321" w:rsidP="00994321">
      <w:pPr>
        <w:pStyle w:val="Heading2"/>
      </w:pPr>
      <w:r>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EB735F"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EB735F"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n is the number of traits, and x</w:t>
      </w:r>
      <w:r w:rsidR="00D46F7A">
        <w:rPr>
          <w:rFonts w:eastAsiaTheme="minorEastAsia"/>
          <w:vertAlign w:val="subscript"/>
          <w:lang w:val="en-US"/>
        </w:rPr>
        <w:t>n</w:t>
      </w:r>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787BC41F"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 xml:space="preserve">parameter </w:t>
      </w:r>
      <w:r w:rsidR="006220DA">
        <w:rPr>
          <w:lang w:val="en-US"/>
        </w:rPr>
        <w:lastRenderedPageBreak/>
        <w:t>combinations</w:t>
      </w:r>
      <w:r w:rsidR="008703C8">
        <w:rPr>
          <w:lang w:val="en-US"/>
        </w:rPr>
        <w:t xml:space="preserve"> testing the null model, and </w:t>
      </w:r>
      <w:r w:rsidR="00FB40E6">
        <w:rPr>
          <w:lang w:val="en-US"/>
        </w:rPr>
        <w:t>256</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‘DoE.Wrapper’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Each model was repeated 100 times, using 100 seed values fed to SLiM.</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r</w:t>
      </w:r>
      <w:r w:rsidR="00742DB2">
        <w:rPr>
          <w:lang w:val="en-US"/>
        </w:rPr>
        <w:t>unif</w:t>
      </w:r>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r w:rsidR="0050335C">
        <w:rPr>
          <w:lang w:val="en-US"/>
        </w:rPr>
        <w:t>SLiM</w:t>
      </w:r>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78C6905E" w:rsidR="004B4692" w:rsidRDefault="00007E00" w:rsidP="008F235D">
      <w:pPr>
        <w:pStyle w:val="Heading2"/>
      </w:pPr>
      <w:r>
        <w:t>Analysis</w:t>
      </w:r>
    </w:p>
    <w:p w14:paraId="6F8E7FC7" w14:textId="643A6A3D" w:rsidR="00D33077" w:rsidRDefault="00670465" w:rsidP="004F0C57">
      <w:pPr>
        <w:rPr>
          <w:lang w:val="en-US"/>
        </w:rPr>
      </w:pPr>
      <w:r>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coefficient estimates are approximately normally distributed</w:t>
      </w:r>
      <w:r w:rsidR="005D5C1F">
        <w:rPr>
          <w:lang w:val="en-US"/>
        </w:rPr>
        <w:t xml:space="preserve"> due to the central limit theorem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“jtools”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F840E0">
        <w:rPr>
          <w:lang w:val="en-US"/>
        </w:rPr>
        <w:t>. Heteroscedasticity was accounted for using Eicker-Hubert-White</w:t>
      </w:r>
      <w:r w:rsidR="003E72C0">
        <w:rPr>
          <w:lang w:val="en-US"/>
        </w:rPr>
        <w:t xml:space="preserve"> (EHW)</w:t>
      </w:r>
      <w:r w:rsidR="00F840E0">
        <w:rPr>
          <w:lang w:val="en-US"/>
        </w:rPr>
        <w:t xml:space="preserve"> robust standard errors</w:t>
      </w:r>
      <w:r w:rsidR="005D5C1F">
        <w:rPr>
          <w:lang w:val="en-US"/>
        </w:rPr>
        <w:t xml:space="preserve">, although owing to the large </w:t>
      </w:r>
      <w:r w:rsidR="00743ED1">
        <w:rPr>
          <w:lang w:val="en-US"/>
        </w:rPr>
        <w:t>sample size, this adjustment had minimal effect on t-statistics</w:t>
      </w:r>
      <w:r w:rsidR="00F840E0">
        <w:rPr>
          <w:lang w:val="en-US"/>
        </w:rPr>
        <w:t xml:space="preserve"> </w: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 </w:instrText>
      </w:r>
      <w:r w:rsidR="00F840E0">
        <w:rPr>
          <w:lang w:val="en-US"/>
        </w:rPr>
        <w:fldChar w:fldCharType="begin">
          <w:fldData xml:space="preserve">PEVuZE5vdGU+PENpdGU+PEF1dGhvcj5FaWNrZXI8L0F1dGhvcj48WWVhcj4xOTY3PC9ZZWFyPjxS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</w:fldData>
        </w:fldChar>
      </w:r>
      <w:r w:rsidR="00F840E0">
        <w:rPr>
          <w:lang w:val="en-US"/>
        </w:rPr>
        <w:instrText xml:space="preserve"> ADDIN EN.CITE.DATA </w:instrText>
      </w:r>
      <w:r w:rsidR="00F840E0">
        <w:rPr>
          <w:lang w:val="en-US"/>
        </w:rPr>
      </w:r>
      <w:r w:rsidR="00F840E0">
        <w:rPr>
          <w:lang w:val="en-US"/>
        </w:rPr>
        <w:fldChar w:fldCharType="end"/>
      </w:r>
      <w:r w:rsidR="00F840E0">
        <w:rPr>
          <w:lang w:val="en-US"/>
        </w:rPr>
      </w:r>
      <w:r w:rsidR="00F840E0">
        <w:rPr>
          <w:lang w:val="en-US"/>
        </w:rPr>
        <w:fldChar w:fldCharType="separate"/>
      </w:r>
      <w:r w:rsidR="00F840E0">
        <w:rPr>
          <w:noProof/>
          <w:lang w:val="en-US"/>
        </w:rPr>
        <w:t>(</w:t>
      </w:r>
      <w:r w:rsidR="00F840E0" w:rsidRPr="00F840E0">
        <w:rPr>
          <w:smallCaps/>
          <w:noProof/>
          <w:lang w:val="en-US"/>
        </w:rPr>
        <w:t>Eicker</w:t>
      </w:r>
      <w:r w:rsidR="00F840E0">
        <w:rPr>
          <w:noProof/>
          <w:lang w:val="en-US"/>
        </w:rPr>
        <w:t xml:space="preserve"> 1967; </w:t>
      </w:r>
      <w:r w:rsidR="00F840E0" w:rsidRPr="00F840E0">
        <w:rPr>
          <w:smallCaps/>
          <w:noProof/>
          <w:lang w:val="en-US"/>
        </w:rPr>
        <w:t>Huber</w:t>
      </w:r>
      <w:r w:rsidR="00F840E0">
        <w:rPr>
          <w:noProof/>
          <w:lang w:val="en-US"/>
        </w:rPr>
        <w:t xml:space="preserve"> 1967; </w:t>
      </w:r>
      <w:r w:rsidR="00F840E0" w:rsidRPr="00F840E0">
        <w:rPr>
          <w:smallCaps/>
          <w:noProof/>
          <w:lang w:val="en-US"/>
        </w:rPr>
        <w:t>White</w:t>
      </w:r>
      <w:r w:rsidR="00F840E0">
        <w:rPr>
          <w:noProof/>
          <w:lang w:val="en-US"/>
        </w:rPr>
        <w:t xml:space="preserve"> 1980)</w:t>
      </w:r>
      <w:r w:rsidR="00F840E0">
        <w:rPr>
          <w:lang w:val="en-US"/>
        </w:rPr>
        <w:fldChar w:fldCharType="end"/>
      </w:r>
      <w:r w:rsidR="00F840E0">
        <w:rPr>
          <w:lang w:val="en-US"/>
        </w:rPr>
        <w:t>.</w:t>
      </w:r>
    </w:p>
    <w:p w14:paraId="65E4E6CD" w14:textId="28822BB2" w:rsidR="00D952B4" w:rsidRDefault="0043696D" w:rsidP="00DE75E1">
      <w:pPr>
        <w:rPr>
          <w:lang w:val="en-US"/>
        </w:rPr>
      </w:pPr>
      <w:r>
        <w:rPr>
          <w:lang w:val="en-US"/>
        </w:rPr>
        <w:t xml:space="preserve">For analysis, each parameter was grouped into three categories: low, medium, and high, with each bin containing a third of the total data. </w:t>
      </w:r>
      <m:oMath>
        <m:r>
          <w:rPr>
            <w:rFonts w:ascii="Cambria Math" w:eastAsiaTheme="minorEastAsia" w:hAnsi="Cambria Math"/>
            <w:lang w:val="en-US"/>
          </w:rPr>
          <m:t xml:space="preserve">τ </m:t>
        </m:r>
      </m:oMath>
      <w:r w:rsidR="00261DAC">
        <w:rPr>
          <w:rFonts w:eastAsiaTheme="minorEastAsia"/>
          <w:lang w:val="en-US"/>
        </w:rPr>
        <w:t xml:space="preserve">was the exception to this, with a </w:t>
      </w:r>
      <w:r>
        <w:rPr>
          <w:rFonts w:eastAsiaTheme="minorEastAsia"/>
          <w:lang w:val="en-US"/>
        </w:rPr>
        <w:t xml:space="preserve">fourth bin, null, describing the neutral models with no </w:t>
      </w:r>
      <m:oMath>
        <m:r>
          <w:rPr>
            <w:rFonts w:ascii="Cambria Math" w:eastAsiaTheme="minorEastAsia" w:hAnsi="Cambria Math"/>
            <w:lang w:val="en-US"/>
          </w:rPr>
          <m:t xml:space="preserve">τ </m:t>
        </m:r>
      </m:oMath>
      <w:r>
        <w:rPr>
          <w:rFonts w:eastAsiaTheme="minorEastAsia"/>
          <w:lang w:val="en-US"/>
        </w:rPr>
        <w:t>value at all.</w:t>
      </w:r>
      <w:r>
        <w:rPr>
          <w:lang w:val="en-US"/>
        </w:rPr>
        <w:t xml:space="preserve"> </w:t>
      </w:r>
      <w:r w:rsidR="00924B41">
        <w:rPr>
          <w:lang w:val="en-US"/>
        </w:rPr>
        <w:t xml:space="preserve">Across all analyses, means of </w:t>
      </w:r>
      <w:r w:rsidR="00B5034A">
        <w:rPr>
          <w:lang w:val="en-US"/>
        </w:rPr>
        <w:t xml:space="preserve">responses </w:t>
      </w:r>
      <w:r w:rsidR="00924B41">
        <w:rPr>
          <w:lang w:val="en-US"/>
        </w:rPr>
        <w:t>were compared at the final generation of the simulation (1</w:t>
      </w:r>
      <w:r w:rsidR="004B786B">
        <w:rPr>
          <w:lang w:val="en-US"/>
        </w:rPr>
        <w:t>0</w:t>
      </w:r>
      <w:r w:rsidR="00924B41">
        <w:rPr>
          <w:lang w:val="en-US"/>
        </w:rPr>
        <w:t xml:space="preserve">0,000) and </w:t>
      </w:r>
      <w:r w:rsidR="00B5034A">
        <w:rPr>
          <w:lang w:val="en-US"/>
        </w:rPr>
        <w:t xml:space="preserve">variances of responses </w:t>
      </w:r>
      <w:r w:rsidR="00924B41">
        <w:rPr>
          <w:lang w:val="en-US"/>
        </w:rPr>
        <w:t xml:space="preserve">over time (from generations </w:t>
      </w:r>
      <w:r w:rsidR="004B786B">
        <w:rPr>
          <w:lang w:val="en-US"/>
        </w:rPr>
        <w:t>50</w:t>
      </w:r>
      <w:r w:rsidR="00924B41">
        <w:rPr>
          <w:lang w:val="en-US"/>
        </w:rPr>
        <w:t>,000 to 1</w:t>
      </w:r>
      <w:r w:rsidR="004B786B">
        <w:rPr>
          <w:lang w:val="en-US"/>
        </w:rPr>
        <w:t>0</w:t>
      </w:r>
      <w:r w:rsidR="00924B41">
        <w:rPr>
          <w:lang w:val="en-US"/>
        </w:rPr>
        <w:t xml:space="preserve">0,000). </w:t>
      </w:r>
      <w:r w:rsidR="00957C39">
        <w:rPr>
          <w:lang w:val="en-US"/>
        </w:rPr>
        <w:t xml:space="preserve">Trait variances and covariances were pooled and averaged to form a ‘mega-trait’ average variance and covariance, since traits were functionally identical. These were compared across groups using a robust multiple regression with EHW standard errors, followed by estimated marginal mean comparisons between groups using the ‘emmeans’ package in R </w:t>
      </w:r>
      <w:r w:rsidR="009905AA">
        <w:rPr>
          <w:lang w:val="en-US"/>
        </w:rPr>
        <w:fldChar w:fldCharType="begin"/>
      </w:r>
      <w:r w:rsidR="002062FA">
        <w:rPr>
          <w:lang w:val="en-US"/>
        </w:rPr>
        <w:instrText xml:space="preserve"> ADDIN EN.CITE &lt;EndNote&gt;&lt;Cite&gt;&lt;Author&gt;Long&lt;/Author&gt;&lt;Year&gt;2020&lt;/Year&gt;&lt;RecNum&gt;157&lt;/RecNum&gt;&lt;DisplayText&gt;(&lt;style face="smallcaps"&gt;R Developmental Core Team&lt;/style&gt; 2019; &lt;style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Data&amp;#xD;&lt;/title&gt;&lt;/titles&gt;&lt;dates&gt;&lt;year&gt;2020&lt;/year&gt;&lt;/dates&gt;&lt;urls&gt;&lt;/urls&gt;&lt;/record&gt;&lt;/Cite&gt;&lt;Cite&gt;&lt;Author&gt;R Developmental Core Team&lt;/Author&gt;&lt;Year&gt;2019&lt;/Year&gt;&lt;RecNum&gt;70&lt;/RecNum&gt;&lt;record&gt;&lt;rec-number&gt;70&lt;/rec-number&gt;&lt;foreign-keys&gt;&lt;key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9905AA">
        <w:rPr>
          <w:lang w:val="en-US"/>
        </w:rPr>
        <w:fldChar w:fldCharType="separate"/>
      </w:r>
      <w:r w:rsidR="009905AA">
        <w:rPr>
          <w:noProof/>
          <w:lang w:val="en-US"/>
        </w:rPr>
        <w:t>(</w:t>
      </w:r>
      <w:r w:rsidR="009905AA" w:rsidRPr="009905AA">
        <w:rPr>
          <w:smallCaps/>
          <w:noProof/>
          <w:lang w:val="en-US"/>
        </w:rPr>
        <w:t>R Developmental Core Team</w:t>
      </w:r>
      <w:r w:rsidR="009905AA">
        <w:rPr>
          <w:noProof/>
          <w:lang w:val="en-US"/>
        </w:rPr>
        <w:t xml:space="preserve"> 2019; </w:t>
      </w:r>
      <w:r w:rsidR="009905AA" w:rsidRPr="009905AA">
        <w:rPr>
          <w:smallCaps/>
          <w:noProof/>
          <w:sz w:val="20"/>
          <w:lang w:val="en-US"/>
        </w:rPr>
        <w:t>Long</w:t>
      </w:r>
      <w:r w:rsidR="009905AA">
        <w:rPr>
          <w:noProof/>
          <w:lang w:val="en-US"/>
        </w:rPr>
        <w:t xml:space="preserve"> 2020)</w:t>
      </w:r>
      <w:r w:rsidR="009905AA">
        <w:rPr>
          <w:lang w:val="en-US"/>
        </w:rPr>
        <w:fldChar w:fldCharType="end"/>
      </w:r>
      <w:r w:rsidR="00957C39">
        <w:rPr>
          <w:lang w:val="en-US"/>
        </w:rPr>
        <w:t>.</w:t>
      </w:r>
      <w:r w:rsidR="00E71B5A">
        <w:rPr>
          <w:lang w:val="en-US"/>
        </w:rPr>
        <w:t xml:space="preserve"> </w:t>
      </w:r>
    </w:p>
    <w:p w14:paraId="14075514" w14:textId="77777777" w:rsidR="009905AA" w:rsidRDefault="00D952B4" w:rsidP="00D952B4">
      <w:pPr>
        <w:rPr>
          <w:rFonts w:eastAsiaTheme="minorEastAsia"/>
          <w:lang w:val="en-US"/>
        </w:rPr>
      </w:pPr>
      <w:r>
        <w:rPr>
          <w:lang w:val="en-US"/>
        </w:rPr>
        <w:t xml:space="preserve">In addition, I </w:t>
      </w:r>
      <w:r>
        <w:rPr>
          <w:rFonts w:eastAsiaTheme="minorEastAsia"/>
          <w:lang w:val="en-US"/>
        </w:rPr>
        <w:t>computed the population mean</w:t>
      </w:r>
      <w:r w:rsidR="009905AA">
        <w:rPr>
          <w:rFonts w:eastAsiaTheme="minorEastAsia"/>
          <w:lang w:val="en-US"/>
        </w:rPr>
        <w:t xml:space="preserve"> Euclidean</w:t>
      </w:r>
      <w:r>
        <w:rPr>
          <w:rFonts w:eastAsiaTheme="minorEastAsia"/>
          <w:lang w:val="en-US"/>
        </w:rPr>
        <w:t xml:space="preserve"> distance from the optimum for each replicate and model</w:t>
      </w:r>
      <w:r w:rsidR="009905AA">
        <w:rPr>
          <w:rFonts w:eastAsiaTheme="minorEastAsia"/>
          <w:lang w:val="en-US"/>
        </w:rPr>
        <w:t>:</w:t>
      </w:r>
    </w:p>
    <w:p w14:paraId="5936C897" w14:textId="486E6AB1" w:rsidR="009905AA" w:rsidRPr="009905AA" w:rsidRDefault="009905AA" w:rsidP="009905AA">
      <w:pPr>
        <w:jc w:val="center"/>
        <w:rPr>
          <w:rFonts w:eastAsiaTheme="minorEastAsia"/>
          <w:lang w:val="en-US"/>
        </w:rPr>
      </w:pPr>
      <m:oMathPara>
        <m:oMath>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p</m:t>
              </m:r>
              <m:r>
                <w:rPr>
                  <w:rFonts w:ascii="Cambria Math" w:eastAsiaTheme="minorEastAsia" w:hAnsi="Cambria Math"/>
                  <w:lang w:val="en-US"/>
                </w:rPr>
                <m:t>,</m:t>
              </m:r>
              <m:r>
                <m:rPr>
                  <m:sty m:val="bi"/>
                </m:rPr>
                <w:rPr>
                  <w:rFonts w:ascii="Cambria Math" w:eastAsiaTheme="minorEastAsia" w:hAnsi="Cambria Math"/>
                  <w:lang w:val="en-US"/>
                </w:rPr>
                <m:t>q</m:t>
              </m:r>
            </m:e>
          </m: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e>
          </m:rad>
        </m:oMath>
      </m:oMathPara>
    </w:p>
    <w:p w14:paraId="194DC4AB" w14:textId="577E9070" w:rsidR="00B5034A" w:rsidRDefault="00D952B4" w:rsidP="00D952B4">
      <w:pPr>
        <w:rPr>
          <w:rFonts w:eastAsiaTheme="minorEastAsia"/>
          <w:lang w:val="en-US"/>
        </w:rPr>
      </w:pPr>
      <w:r>
        <w:rPr>
          <w:rFonts w:eastAsiaTheme="minorEastAsia"/>
          <w:lang w:val="en-US"/>
        </w:rPr>
        <w:lastRenderedPageBreak/>
        <w:t xml:space="preserve">comparing these distances with </w:t>
      </w:r>
      <w:r>
        <w:rPr>
          <w:lang w:val="en-US"/>
        </w:rPr>
        <w:t>multiple regression, again with EHW robust standard errors</w:t>
      </w:r>
      <w:r>
        <w:rPr>
          <w:rFonts w:eastAsiaTheme="minorEastAsia"/>
          <w:lang w:val="en-US"/>
        </w:rPr>
        <w:t>. Contrasts between bins were also compared with estimated marginal means.</w:t>
      </w:r>
    </w:p>
    <w:p w14:paraId="4995D845" w14:textId="77777777" w:rsidR="007C70D0" w:rsidRDefault="007C70D0" w:rsidP="004F0C57">
      <w:pPr>
        <w:rPr>
          <w:lang w:val="en-US"/>
        </w:rPr>
      </w:pPr>
    </w:p>
    <w:p w14:paraId="552519EB" w14:textId="0B602E4E" w:rsidR="006F5D7C" w:rsidRDefault="006F5D7C" w:rsidP="006F5D7C">
      <w:pPr>
        <w:pStyle w:val="Heading1"/>
      </w:pPr>
      <w:r>
        <w:t>Results</w:t>
      </w:r>
    </w:p>
    <w:p w14:paraId="2BA3F747" w14:textId="1859C99D" w:rsidR="009A464C" w:rsidRDefault="00957C39" w:rsidP="006F5D7C">
      <w:pPr>
        <w:pStyle w:val="Heading2"/>
      </w:pPr>
      <w:r>
        <w:t>Variance and covariance</w:t>
      </w:r>
    </w:p>
    <w:p w14:paraId="2E4BAF28" w14:textId="1B3ED37B" w:rsidR="00976FCF" w:rsidRDefault="006A41CE" w:rsidP="004F0C57">
      <w:pPr>
        <w:rPr>
          <w:lang w:val="en-US"/>
        </w:rPr>
      </w:pPr>
      <w:r>
        <w:rPr>
          <w:lang w:val="en-US"/>
        </w:rPr>
        <w:t xml:space="preserve">Although the residuals of groups strayed from normality, variance was homoscedastic and the number of observations (102400) led to normality of coefficient estimates through the central limit theorem, providing some robustness from the effects of non-normality </w:t>
      </w:r>
      <w:r>
        <w:rPr>
          <w:lang w:val="en-US"/>
        </w:rPr>
        <w:fldChar w:fldCharType="begin"/>
      </w:r>
      <w:r>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Pr>
          <w:lang w:val="en-US"/>
        </w:rPr>
        <w:fldChar w:fldCharType="separate"/>
      </w:r>
      <w:r>
        <w:rPr>
          <w:noProof/>
          <w:lang w:val="en-US"/>
        </w:rPr>
        <w:t>(</w:t>
      </w:r>
      <w:r w:rsidRPr="006A41CE">
        <w:rPr>
          <w:smallCaps/>
          <w:noProof/>
          <w:lang w:val="en-US"/>
        </w:rPr>
        <w:t>Lumley</w:t>
      </w:r>
      <w:r w:rsidRPr="006A41CE">
        <w:rPr>
          <w:i/>
          <w:noProof/>
          <w:lang w:val="en-US"/>
        </w:rPr>
        <w:t xml:space="preserve"> et al.</w:t>
      </w:r>
      <w:r>
        <w:rPr>
          <w:noProof/>
          <w:lang w:val="en-US"/>
        </w:rPr>
        <w:t xml:space="preserve"> 2002)</w:t>
      </w:r>
      <w:r>
        <w:rPr>
          <w:lang w:val="en-US"/>
        </w:rPr>
        <w:fldChar w:fldCharType="end"/>
      </w:r>
      <w:r>
        <w:rPr>
          <w:lang w:val="en-US"/>
        </w:rPr>
        <w:t>.</w:t>
      </w:r>
    </w:p>
    <w:p w14:paraId="62C7DB4B" w14:textId="6DD0F917" w:rsidR="00216D8C" w:rsidRDefault="00216D8C" w:rsidP="004F0C57">
      <w:pPr>
        <w:rPr>
          <w:bCs/>
          <w:lang w:val="en-US"/>
        </w:rPr>
      </w:pPr>
      <w:r w:rsidRPr="0042703B">
        <w:rPr>
          <w:lang w:val="en-US"/>
        </w:rPr>
        <w:t>To compare</w:t>
      </w:r>
      <w:r w:rsidR="00605CD1" w:rsidRPr="0042703B">
        <w:rPr>
          <w:lang w:val="en-US"/>
        </w:rPr>
        <w:t xml:space="preserve"> the effects of parameters on variance-covariance structure, I computed </w:t>
      </w:r>
      <w:r w:rsidR="00DB1515">
        <w:rPr>
          <w:bCs/>
          <w:lang w:val="en-US"/>
        </w:rPr>
        <w:t>mean variances and covariances across traits, describing the total variance/covariance in the ‘mega-trait’ space.</w:t>
      </w:r>
    </w:p>
    <w:p w14:paraId="0D97BE83" w14:textId="2CE3F9E1" w:rsidR="00E84CEB" w:rsidRDefault="00E84CEB" w:rsidP="004F0C57">
      <w:pPr>
        <w:rPr>
          <w:bCs/>
          <w:lang w:val="en-US"/>
        </w:rPr>
      </w:pPr>
      <w:r>
        <w:rPr>
          <w:bCs/>
          <w:lang w:val="en-US"/>
        </w:rPr>
        <w:t xml:space="preserve">Variance showed a cyclic behavior under all models around an equilibrium which differed depending on parameter combinations. </w:t>
      </w:r>
      <w:r w:rsidR="000145DD">
        <w:rPr>
          <w:bCs/>
          <w:lang w:val="en-US"/>
        </w:rPr>
        <w:t xml:space="preserve">To explore the nature of this variation, I fit a linear model to the variance of the mega-trait variance over a period of 50,000 generations (from generation 50,000 to 100,000, where all models had reached their local equilibria). This model included main effects of all parameters, as well as pairwise interactions and a three-way interaction between deleterious mutation rate, recombination, and additive effect size. </w:t>
      </w:r>
      <w:r w:rsidR="00251C84">
        <w:rPr>
          <w:bCs/>
          <w:lang w:val="en-US"/>
        </w:rPr>
        <w:t>Significant main effects for deleterious mutation rate, recombination rate, and additive effect size on variance of variance over time were observed, along with significant interactions between deleterious mutation and recombination, deleterious mutation and additive effect size, recombination rate and additive effect size, pleiotropy rate and additive effect size, additive effect size and selection strength, and between deleterious mutation, recombination rate, and additive effect size (F</w:t>
      </w:r>
      <w:r w:rsidR="00251C84">
        <w:rPr>
          <w:bCs/>
          <w:vertAlign w:val="subscript"/>
          <w:lang w:val="en-US"/>
        </w:rPr>
        <w:t>16, 1261</w:t>
      </w:r>
      <w:r w:rsidR="00251C84">
        <w:t xml:space="preserve"> = 90.76, p &lt; 0.0001, Adjusted R</w:t>
      </w:r>
      <w:r w:rsidR="00251C84">
        <w:rPr>
          <w:vertAlign w:val="superscript"/>
        </w:rPr>
        <w:t>2</w:t>
      </w:r>
      <w:r w:rsidR="00251C84">
        <w:t xml:space="preserve"> = 0.6684)</w:t>
      </w:r>
      <w:r w:rsidR="00251C84">
        <w:rPr>
          <w:bCs/>
          <w:lang w:val="en-US"/>
        </w:rPr>
        <w:t xml:space="preserve">. </w:t>
      </w:r>
    </w:p>
    <w:p w14:paraId="4DEC6C64" w14:textId="2905B4C7" w:rsidR="001329BF" w:rsidRPr="0010672C" w:rsidRDefault="001329BF" w:rsidP="004F0C57">
      <w:pPr>
        <w:rPr>
          <w:rStyle w:val="acopre"/>
        </w:rPr>
      </w:pPr>
      <w:r>
        <w:rPr>
          <w:bCs/>
          <w:lang w:val="en-US"/>
        </w:rPr>
        <w:t xml:space="preserve">Per unit increase, deleterious mutation rate increased the variance of mega-trait variance over time by 16550 </w:t>
      </w:r>
      <w:r>
        <w:rPr>
          <w:rStyle w:val="acopre"/>
        </w:rPr>
        <w:t>±</w:t>
      </w:r>
      <w:r>
        <w:rPr>
          <w:rStyle w:val="acopre"/>
        </w:rPr>
        <w:t xml:space="preserve"> 3185 units (t</w:t>
      </w:r>
      <w:r>
        <w:rPr>
          <w:rStyle w:val="acopre"/>
          <w:vertAlign w:val="subscript"/>
        </w:rPr>
        <w:t>1261</w:t>
      </w:r>
      <w:r>
        <w:rPr>
          <w:rStyle w:val="acopre"/>
        </w:rPr>
        <w:t xml:space="preserve"> = 5.1971, p &lt; 0.0001</w:t>
      </w:r>
      <w:r w:rsidR="0014342C">
        <w:rPr>
          <w:rStyle w:val="acopre"/>
        </w:rPr>
        <w:t xml:space="preserve">). Increasing recombination rate also increased variance of variance by 0.9694 </w:t>
      </w:r>
      <w:r w:rsidR="0014342C">
        <w:rPr>
          <w:rStyle w:val="acopre"/>
        </w:rPr>
        <w:t>±</w:t>
      </w:r>
      <w:r w:rsidR="0014342C">
        <w:rPr>
          <w:rStyle w:val="acopre"/>
        </w:rPr>
        <w:t xml:space="preserve"> 0.2667 units per 1x10</w:t>
      </w:r>
      <w:r w:rsidR="0014342C">
        <w:rPr>
          <w:rStyle w:val="acopre"/>
          <w:vertAlign w:val="superscript"/>
        </w:rPr>
        <w:t>-8</w:t>
      </w:r>
      <w:r w:rsidR="0014342C">
        <w:rPr>
          <w:rStyle w:val="acopre"/>
        </w:rPr>
        <w:t xml:space="preserve"> increase in recombination rate (t</w:t>
      </w:r>
      <w:r w:rsidR="0014342C">
        <w:rPr>
          <w:rStyle w:val="acopre"/>
          <w:vertAlign w:val="subscript"/>
        </w:rPr>
        <w:t>1261</w:t>
      </w:r>
      <w:r w:rsidR="0014342C">
        <w:rPr>
          <w:rStyle w:val="acopre"/>
        </w:rPr>
        <w:t xml:space="preserve"> = 3.6343, p = 0.0003). Additive effect size increased variance of variance by 6371 </w:t>
      </w:r>
      <w:r w:rsidR="0014342C">
        <w:rPr>
          <w:rStyle w:val="acopre"/>
        </w:rPr>
        <w:t>±</w:t>
      </w:r>
      <w:r w:rsidR="0014342C">
        <w:rPr>
          <w:rStyle w:val="acopre"/>
        </w:rPr>
        <w:t xml:space="preserve"> 610.4 units per unit of effect size (t</w:t>
      </w:r>
      <w:r w:rsidR="0014342C">
        <w:rPr>
          <w:rStyle w:val="acopre"/>
          <w:vertAlign w:val="subscript"/>
        </w:rPr>
        <w:t>1261</w:t>
      </w:r>
      <w:r w:rsidR="0014342C">
        <w:rPr>
          <w:rStyle w:val="acopre"/>
        </w:rPr>
        <w:t xml:space="preserve"> = 10.437, p &lt; 0.0001).</w:t>
      </w:r>
      <w:r w:rsidR="00134820">
        <w:rPr>
          <w:rStyle w:val="acopre"/>
        </w:rPr>
        <w:t xml:space="preserve"> Deleterious mutation reduced recombination’s effect on variance of variance by 1.177 </w:t>
      </w:r>
      <w:r w:rsidR="00134820">
        <w:rPr>
          <w:rStyle w:val="acopre"/>
        </w:rPr>
        <w:t>±</w:t>
      </w:r>
      <w:r w:rsidR="00134820">
        <w:rPr>
          <w:rStyle w:val="acopre"/>
        </w:rPr>
        <w:t xml:space="preserve"> </w:t>
      </w:r>
      <w:r w:rsidR="00A12520">
        <w:rPr>
          <w:rStyle w:val="acopre"/>
        </w:rPr>
        <w:t xml:space="preserve">0.3361 </w:t>
      </w:r>
      <w:r w:rsidR="00134820">
        <w:rPr>
          <w:rStyle w:val="acopre"/>
        </w:rPr>
        <w:t>units</w:t>
      </w:r>
      <w:r w:rsidR="00A12520">
        <w:rPr>
          <w:rStyle w:val="acopre"/>
        </w:rPr>
        <w:t xml:space="preserve"> for every </w:t>
      </w:r>
      <w:r w:rsidR="00A12520">
        <w:rPr>
          <w:rStyle w:val="acopre"/>
        </w:rPr>
        <w:t>10</w:t>
      </w:r>
      <w:r w:rsidR="00A12520">
        <w:rPr>
          <w:rStyle w:val="acopre"/>
          <w:vertAlign w:val="superscript"/>
        </w:rPr>
        <w:t xml:space="preserve">-8 </w:t>
      </w:r>
      <w:r w:rsidR="00A12520">
        <w:rPr>
          <w:rStyle w:val="acopre"/>
        </w:rPr>
        <w:t>units of recombination and every unit of deleterious mutation (t</w:t>
      </w:r>
      <w:r w:rsidR="00A12520">
        <w:rPr>
          <w:rStyle w:val="acopre"/>
          <w:vertAlign w:val="subscript"/>
        </w:rPr>
        <w:t>1261</w:t>
      </w:r>
      <w:r w:rsidR="00A12520">
        <w:rPr>
          <w:rStyle w:val="acopre"/>
        </w:rPr>
        <w:t xml:space="preserve"> = -3.5016, p = 0.0005). Deleterious mutation also interacted with additive effect size, reducing additive effect size’s increase on variance of variance by 6975 </w:t>
      </w:r>
      <w:r w:rsidR="00A12520">
        <w:rPr>
          <w:rStyle w:val="acopre"/>
        </w:rPr>
        <w:t>±</w:t>
      </w:r>
      <w:r w:rsidR="00A12520">
        <w:rPr>
          <w:rStyle w:val="acopre"/>
        </w:rPr>
        <w:t xml:space="preserve"> 899.6 units (t</w:t>
      </w:r>
      <w:r w:rsidR="00A12520">
        <w:rPr>
          <w:rStyle w:val="acopre"/>
          <w:vertAlign w:val="subscript"/>
        </w:rPr>
        <w:t>1261</w:t>
      </w:r>
      <w:r w:rsidR="00A12520">
        <w:rPr>
          <w:rStyle w:val="acopre"/>
        </w:rPr>
        <w:t xml:space="preserve"> = -7.7529, p &lt; 0.0001). Recombination and pleiotropy rate both decreased additive effect size’s per-unit increase of variance of variance, by </w:t>
      </w:r>
      <w:r w:rsidR="00A12520">
        <w:rPr>
          <w:rStyle w:val="acopre"/>
        </w:rPr>
        <w:lastRenderedPageBreak/>
        <w:t xml:space="preserve">0.3815 </w:t>
      </w:r>
      <w:r w:rsidR="00A12520">
        <w:rPr>
          <w:rStyle w:val="acopre"/>
        </w:rPr>
        <w:t>±</w:t>
      </w:r>
      <w:r w:rsidR="00A12520">
        <w:rPr>
          <w:rStyle w:val="acopre"/>
        </w:rPr>
        <w:t xml:space="preserve"> 0.07665 units per 10</w:t>
      </w:r>
      <w:r w:rsidR="00A12520">
        <w:rPr>
          <w:rStyle w:val="acopre"/>
          <w:vertAlign w:val="superscript"/>
        </w:rPr>
        <w:t>-8</w:t>
      </w:r>
      <w:r w:rsidR="00A12520">
        <w:rPr>
          <w:rStyle w:val="acopre"/>
        </w:rPr>
        <w:t xml:space="preserve"> units of recombination (t</w:t>
      </w:r>
      <w:r w:rsidR="00A12520">
        <w:rPr>
          <w:rStyle w:val="acopre"/>
          <w:vertAlign w:val="subscript"/>
        </w:rPr>
        <w:t xml:space="preserve">1261 </w:t>
      </w:r>
      <w:r w:rsidR="00A12520">
        <w:rPr>
          <w:rStyle w:val="acopre"/>
        </w:rPr>
        <w:t xml:space="preserve">= -4.9771, p &lt; 0.0001), and </w:t>
      </w:r>
      <w:r w:rsidR="00896468">
        <w:rPr>
          <w:rStyle w:val="acopre"/>
        </w:rPr>
        <w:t xml:space="preserve">1238 </w:t>
      </w:r>
      <w:r w:rsidR="00896468">
        <w:rPr>
          <w:rStyle w:val="acopre"/>
        </w:rPr>
        <w:t>±</w:t>
      </w:r>
      <w:r w:rsidR="00896468">
        <w:rPr>
          <w:rStyle w:val="acopre"/>
        </w:rPr>
        <w:t xml:space="preserve"> 374.2 units (t</w:t>
      </w:r>
      <w:r w:rsidR="00896468">
        <w:rPr>
          <w:rStyle w:val="acopre"/>
          <w:vertAlign w:val="subscript"/>
        </w:rPr>
        <w:t>1261</w:t>
      </w:r>
      <w:r w:rsidR="00896468">
        <w:rPr>
          <w:rStyle w:val="acopre"/>
        </w:rPr>
        <w:t xml:space="preserve"> = -3.309, p = 0.001), respectively. In addition, deleterious mutation significantly interacted with the interaction between recombination and additive effect size</w:t>
      </w:r>
      <w:r w:rsidR="001A77F8">
        <w:rPr>
          <w:rStyle w:val="acopre"/>
        </w:rPr>
        <w:t>. The</w:t>
      </w:r>
      <w:r w:rsidR="0010672C">
        <w:rPr>
          <w:rStyle w:val="acopre"/>
        </w:rPr>
        <w:t xml:space="preserve"> reduction of variance of variance caused by increasing additive effect size while increasing recombination rate was further magnified by increasing deleterious mutation rate by 0.5001 </w:t>
      </w:r>
      <w:r w:rsidR="0010672C">
        <w:rPr>
          <w:rStyle w:val="acopre"/>
        </w:rPr>
        <w:t>±</w:t>
      </w:r>
      <w:r w:rsidR="0010672C">
        <w:rPr>
          <w:rStyle w:val="acopre"/>
        </w:rPr>
        <w:t xml:space="preserve"> 0.1102 units per unit of deleterious mutation rate and additive effect size and per 10</w:t>
      </w:r>
      <w:r w:rsidR="0010672C">
        <w:rPr>
          <w:rStyle w:val="acopre"/>
          <w:vertAlign w:val="superscript"/>
        </w:rPr>
        <w:t>-8</w:t>
      </w:r>
      <w:r w:rsidR="0010672C">
        <w:rPr>
          <w:rStyle w:val="acopre"/>
        </w:rPr>
        <w:t xml:space="preserve"> units of recombination rate (t</w:t>
      </w:r>
      <w:r w:rsidR="0010672C">
        <w:rPr>
          <w:rStyle w:val="acopre"/>
          <w:vertAlign w:val="subscript"/>
        </w:rPr>
        <w:t>1261</w:t>
      </w:r>
      <w:r w:rsidR="0010672C">
        <w:rPr>
          <w:rStyle w:val="acopre"/>
        </w:rPr>
        <w:t xml:space="preserve"> = 4.5398, p &lt; 0.0001).</w:t>
      </w:r>
    </w:p>
    <w:p w14:paraId="5270AE18" w14:textId="0A13FE5B" w:rsidR="00896468" w:rsidRPr="00896468" w:rsidRDefault="00896468" w:rsidP="004F0C57">
      <w:pPr>
        <w:rPr>
          <w:bCs/>
          <w:lang w:val="en-US"/>
        </w:rPr>
      </w:pPr>
      <w:r>
        <w:rPr>
          <w:rStyle w:val="acopre"/>
        </w:rPr>
        <w:t xml:space="preserve">Deleterious mutation may increase variance of trait variance, </w:t>
      </w:r>
      <w:r w:rsidR="001A77F8">
        <w:rPr>
          <w:rStyle w:val="acopre"/>
        </w:rPr>
        <w:t xml:space="preserve">but the effect of this is dependent on additive effect size – greater increases under greater effect sizes. Recombination can somewhat reduce this interaction by splitting deleterious mutations from additive effects, decreasing the effect of deleterious mutation on variance of variance under larger additive effects (relative to lower levels of recom). </w:t>
      </w:r>
    </w:p>
    <w:p w14:paraId="04F0E1DE" w14:textId="4E2FE150" w:rsidR="00DB1515" w:rsidRDefault="00DB1515" w:rsidP="004F0C57">
      <w:pPr>
        <w:rPr>
          <w:bCs/>
          <w:lang w:val="en-US"/>
        </w:rPr>
      </w:pPr>
      <w:r>
        <w:rPr>
          <w:bCs/>
          <w:lang w:val="en-US"/>
        </w:rPr>
        <w:t>Variance tended to… with increasing deleterious mutation, locisigma, rwide, selection strength.</w:t>
      </w:r>
      <w:r w:rsidR="0046292B">
        <w:rPr>
          <w:bCs/>
          <w:lang w:val="en-US"/>
        </w:rPr>
        <w:t xml:space="preserve"> Null vs sel</w:t>
      </w:r>
    </w:p>
    <w:p w14:paraId="5FC17D45" w14:textId="2463E942" w:rsidR="00DB1515" w:rsidRDefault="00DB1515" w:rsidP="004F0C57">
      <w:pPr>
        <w:rPr>
          <w:lang w:val="en-US"/>
        </w:rPr>
      </w:pPr>
      <w:r>
        <w:rPr>
          <w:bCs/>
          <w:lang w:val="en-US"/>
        </w:rPr>
        <w:t xml:space="preserve">Covariance tended to… with selection strength. </w:t>
      </w:r>
    </w:p>
    <w:p w14:paraId="232F8022" w14:textId="705356D7" w:rsidR="00127C5F" w:rsidRDefault="00127C5F" w:rsidP="004F0C57">
      <w:pPr>
        <w:rPr>
          <w:rFonts w:eastAsiaTheme="minorEastAsia"/>
          <w:lang w:val="en-US"/>
        </w:rPr>
      </w:pPr>
    </w:p>
    <w:p w14:paraId="483779AE" w14:textId="0BB62EB0" w:rsidR="00127C5F" w:rsidRDefault="00B93C9D" w:rsidP="00B93C9D">
      <w:pPr>
        <w:pStyle w:val="Heading2"/>
      </w:pPr>
      <w:r>
        <w:t>Distances from the optimum</w:t>
      </w:r>
    </w:p>
    <w:p w14:paraId="34D475D1" w14:textId="77777777" w:rsidR="00CA661D" w:rsidRDefault="002E138D" w:rsidP="002E138D">
      <w:pPr>
        <w:rPr>
          <w:rFonts w:eastAsiaTheme="minorEastAsia"/>
          <w:lang w:val="en-US"/>
        </w:rPr>
      </w:pPr>
      <w:r>
        <w:rPr>
          <w:rFonts w:eastAsiaTheme="minorEastAsia"/>
          <w:lang w:val="en-US"/>
        </w:rPr>
        <w:t>Euclidean distances from the optimum were also compared</w:t>
      </w:r>
      <w:r>
        <w:rPr>
          <w:rFonts w:eastAsiaTheme="minorEastAsia"/>
          <w:lang w:val="en-US"/>
        </w:rPr>
        <w:t xml:space="preserve"> at the end of the simulation</w:t>
      </w:r>
      <w:r>
        <w:rPr>
          <w:rFonts w:eastAsiaTheme="minorEastAsia"/>
          <w:lang w:val="en-US"/>
        </w:rPr>
        <w:t>. The resulting linear model</w:t>
      </w:r>
      <w:r>
        <w:rPr>
          <w:rFonts w:eastAsiaTheme="minorEastAsia"/>
          <w:lang w:val="en-US"/>
        </w:rPr>
        <w:t>, containing main effects, pairwise interactions, and the three-way interaction between</w:t>
      </w:r>
      <w:r>
        <w:rPr>
          <w:rFonts w:eastAsiaTheme="minorEastAsia"/>
          <w:lang w:val="en-US"/>
        </w:rPr>
        <w:t xml:space="preserve"> </w:t>
      </w:r>
      <w:r>
        <w:rPr>
          <w:rFonts w:eastAsiaTheme="minorEastAsia"/>
          <w:lang w:val="en-US"/>
        </w:rPr>
        <w:t>deleterious mutation rate, recombination rate, and additive effect size, showed significant trends in regards to changes in all main effects, and all interactions barring those between recombination and selection strength, and recombination and additive effect size (F</w:t>
      </w:r>
      <w:r w:rsidR="00104F20">
        <w:rPr>
          <w:rFonts w:eastAsiaTheme="minorEastAsia"/>
          <w:vertAlign w:val="subscript"/>
          <w:lang w:val="en-US"/>
        </w:rPr>
        <w:t>16</w:t>
      </w:r>
      <w:r>
        <w:rPr>
          <w:rFonts w:eastAsiaTheme="minorEastAsia"/>
          <w:vertAlign w:val="subscript"/>
          <w:lang w:val="en-US"/>
        </w:rPr>
        <w:t>, 12798</w:t>
      </w:r>
      <w:r w:rsidR="00104F20">
        <w:rPr>
          <w:rFonts w:eastAsiaTheme="minorEastAsia"/>
          <w:vertAlign w:val="subscript"/>
          <w:lang w:val="en-US"/>
        </w:rPr>
        <w:t>3</w:t>
      </w:r>
      <w:r>
        <w:rPr>
          <w:rFonts w:eastAsiaTheme="minorEastAsia"/>
          <w:lang w:val="en-US"/>
        </w:rPr>
        <w:t xml:space="preserve"> = </w:t>
      </w:r>
      <w:r w:rsidR="00104F20">
        <w:rPr>
          <w:rFonts w:eastAsiaTheme="minorEastAsia"/>
          <w:lang w:val="en-US"/>
        </w:rPr>
        <w:t>21190</w:t>
      </w:r>
      <w:r>
        <w:rPr>
          <w:rFonts w:eastAsiaTheme="minorEastAsia"/>
          <w:lang w:val="en-US"/>
        </w:rPr>
        <w:t>, p &lt; 0.0001</w:t>
      </w:r>
      <w:r w:rsidR="00104F20">
        <w:rPr>
          <w:rFonts w:eastAsiaTheme="minorEastAsia"/>
          <w:lang w:val="en-US"/>
        </w:rPr>
        <w:t>, Adjusted R</w:t>
      </w:r>
      <w:r w:rsidR="00104F20">
        <w:rPr>
          <w:rFonts w:eastAsiaTheme="minorEastAsia"/>
          <w:vertAlign w:val="superscript"/>
          <w:lang w:val="en-US"/>
        </w:rPr>
        <w:t>2</w:t>
      </w:r>
      <w:r w:rsidR="00104F20">
        <w:rPr>
          <w:rFonts w:eastAsiaTheme="minorEastAsia"/>
          <w:lang w:val="en-US"/>
        </w:rPr>
        <w:t xml:space="preserve"> = 0.7496</w:t>
      </w:r>
      <w:r>
        <w:rPr>
          <w:rFonts w:eastAsiaTheme="minorEastAsia"/>
          <w:lang w:val="en-US"/>
        </w:rPr>
        <w:t>)</w:t>
      </w:r>
      <w:r>
        <w:rPr>
          <w:rFonts w:eastAsiaTheme="minorEastAsia"/>
          <w:lang w:val="en-US"/>
        </w:rPr>
        <w:t xml:space="preserve">. </w:t>
      </w:r>
      <w:r w:rsidR="00917656">
        <w:rPr>
          <w:rFonts w:eastAsiaTheme="minorEastAsia"/>
          <w:lang w:val="en-US"/>
        </w:rPr>
        <w:t xml:space="preserve">Increasing recombination rate led to increases in distance from the optimum of 0.0009 </w:t>
      </w:r>
      <w:r w:rsidR="00917656">
        <w:rPr>
          <w:rStyle w:val="acopre"/>
        </w:rPr>
        <w:t>±</w:t>
      </w:r>
      <w:r w:rsidR="00917656">
        <w:rPr>
          <w:rStyle w:val="acopre"/>
        </w:rPr>
        <w:t xml:space="preserve"> 0.0003 </w:t>
      </w:r>
      <w:r w:rsidR="00917656">
        <w:rPr>
          <w:rFonts w:eastAsiaTheme="minorEastAsia"/>
          <w:lang w:val="en-US"/>
        </w:rPr>
        <w:t>units for every 10</w:t>
      </w:r>
      <w:r w:rsidR="00917656">
        <w:rPr>
          <w:rFonts w:eastAsiaTheme="minorEastAsia"/>
          <w:vertAlign w:val="superscript"/>
          <w:lang w:val="en-US"/>
        </w:rPr>
        <w:t>-8</w:t>
      </w:r>
      <w:r w:rsidR="00917656">
        <w:rPr>
          <w:rFonts w:eastAsiaTheme="minorEastAsia"/>
          <w:lang w:val="en-US"/>
        </w:rPr>
        <w:t xml:space="preserve"> increase in recombination rate (t</w:t>
      </w:r>
      <w:r w:rsidR="00917656">
        <w:rPr>
          <w:rFonts w:eastAsiaTheme="minorEastAsia"/>
          <w:vertAlign w:val="subscript"/>
          <w:lang w:val="en-US"/>
        </w:rPr>
        <w:t>127983</w:t>
      </w:r>
      <w:r w:rsidR="00917656">
        <w:rPr>
          <w:rFonts w:eastAsiaTheme="minorEastAsia"/>
          <w:lang w:val="en-US"/>
        </w:rPr>
        <w:t xml:space="preserve"> = 3.747, p = 0.0002; FIGURE). Increases in additive effect size led to increases of distance of 70.05 </w:t>
      </w:r>
      <w:r w:rsidR="00917656">
        <w:rPr>
          <w:rStyle w:val="acopre"/>
        </w:rPr>
        <w:t>±</w:t>
      </w:r>
      <w:r w:rsidR="00917656">
        <w:rPr>
          <w:rStyle w:val="acopre"/>
        </w:rPr>
        <w:t xml:space="preserve"> 0.4576 units (t</w:t>
      </w:r>
      <w:r w:rsidR="00917656">
        <w:rPr>
          <w:rStyle w:val="acopre"/>
          <w:vertAlign w:val="subscript"/>
        </w:rPr>
        <w:t>127983</w:t>
      </w:r>
      <w:r w:rsidR="00917656">
        <w:rPr>
          <w:rStyle w:val="acopre"/>
        </w:rPr>
        <w:t xml:space="preserve"> = 153.093, p &lt; 0.0001; FIGURE). Increasing pleiotropy rate had a similar effect on </w:t>
      </w:r>
      <w:r w:rsidR="00462F32">
        <w:rPr>
          <w:rStyle w:val="acopre"/>
        </w:rPr>
        <w:t xml:space="preserve">distance from the optimum, with every 10% increase in pleiotropy rate resulting in 19.87 </w:t>
      </w:r>
      <w:r w:rsidR="00462F32">
        <w:rPr>
          <w:rStyle w:val="acopre"/>
        </w:rPr>
        <w:t>±</w:t>
      </w:r>
      <w:r w:rsidR="00462F32">
        <w:rPr>
          <w:rStyle w:val="acopre"/>
        </w:rPr>
        <w:t xml:space="preserve"> 0.5047 units of distance (t</w:t>
      </w:r>
      <w:r w:rsidR="00462F32">
        <w:rPr>
          <w:rStyle w:val="acopre"/>
          <w:vertAlign w:val="subscript"/>
        </w:rPr>
        <w:t>127983</w:t>
      </w:r>
      <w:r w:rsidR="00462F32">
        <w:rPr>
          <w:rStyle w:val="acopre"/>
        </w:rPr>
        <w:t xml:space="preserve"> = 39.364, p &lt; 0.0001; FIGURE). </w:t>
      </w:r>
      <w:r w:rsidR="00A83601">
        <w:rPr>
          <w:rStyle w:val="acopre"/>
        </w:rPr>
        <w:t>Increasing s</w:t>
      </w:r>
      <w:r w:rsidR="00462F32">
        <w:rPr>
          <w:rStyle w:val="acopre"/>
        </w:rPr>
        <w:t xml:space="preserve">election strength </w:t>
      </w:r>
      <w:r w:rsidR="00A83601">
        <w:rPr>
          <w:rStyle w:val="acopre"/>
        </w:rPr>
        <w:t xml:space="preserve">increased the distance from the optimum by </w:t>
      </w:r>
      <w:r w:rsidR="00F21383">
        <w:rPr>
          <w:rStyle w:val="acopre"/>
        </w:rPr>
        <w:t xml:space="preserve">0.05502 </w:t>
      </w:r>
      <w:r w:rsidR="00F21383">
        <w:rPr>
          <w:rStyle w:val="acopre"/>
        </w:rPr>
        <w:t>±</w:t>
      </w:r>
      <w:r w:rsidR="00F21383">
        <w:rPr>
          <w:rStyle w:val="acopre"/>
        </w:rPr>
        <w:t xml:space="preserve"> 0.00428 units for each unit of </w:t>
      </w:r>
      <m:oMath>
        <m:r>
          <w:rPr>
            <w:rFonts w:ascii="Cambria Math" w:eastAsiaTheme="minorEastAsia" w:hAnsi="Cambria Math"/>
            <w:lang w:val="en-US"/>
          </w:rPr>
          <m:t>τ</m:t>
        </m:r>
      </m:oMath>
      <w:r w:rsidR="004B3AD4">
        <w:rPr>
          <w:rFonts w:eastAsiaTheme="minorEastAsia"/>
          <w:lang w:val="en-US"/>
        </w:rPr>
        <w:t xml:space="preserve"> (t</w:t>
      </w:r>
      <w:r w:rsidR="004B3AD4">
        <w:rPr>
          <w:rFonts w:eastAsiaTheme="minorEastAsia"/>
          <w:vertAlign w:val="subscript"/>
          <w:lang w:val="en-US"/>
        </w:rPr>
        <w:t>127983</w:t>
      </w:r>
      <w:r w:rsidR="004B3AD4">
        <w:rPr>
          <w:rFonts w:eastAsiaTheme="minorEastAsia"/>
          <w:lang w:val="en-US"/>
        </w:rPr>
        <w:t xml:space="preserve"> = -12.862, p &lt; 0.0001)</w:t>
      </w:r>
      <w:r w:rsidR="00F21383">
        <w:rPr>
          <w:rFonts w:eastAsiaTheme="minorEastAsia"/>
          <w:lang w:val="en-US"/>
        </w:rPr>
        <w:t xml:space="preserve">. </w:t>
      </w:r>
    </w:p>
    <w:p w14:paraId="0970AD82" w14:textId="77777777" w:rsidR="001C4144" w:rsidRDefault="001C4144" w:rsidP="002E138D">
      <w:pPr>
        <w:rPr>
          <w:rFonts w:eastAsiaTheme="minorEastAsia"/>
          <w:lang w:val="en-US"/>
        </w:rPr>
      </w:pPr>
    </w:p>
    <w:p w14:paraId="42BD0A53" w14:textId="21DBF761" w:rsidR="001C4144" w:rsidRDefault="001C4144" w:rsidP="002E138D">
      <w:pPr>
        <w:rPr>
          <w:rFonts w:eastAsiaTheme="minorEastAsia"/>
          <w:lang w:val="en-US"/>
        </w:rPr>
      </w:pPr>
      <w:r>
        <w:rPr>
          <w:rFonts w:eastAsiaTheme="minorEastAsia"/>
          <w:lang w:val="en-US"/>
        </w:rPr>
        <w:t>SELECTION STRENGTH BIAS: 0 = NULL, 10 = STRONG 1000 = WEAK</w:t>
      </w:r>
    </w:p>
    <w:p w14:paraId="6941F189" w14:textId="0EADF937" w:rsidR="001C4144" w:rsidRDefault="001C4144" w:rsidP="002E138D">
      <w:pPr>
        <w:rPr>
          <w:rFonts w:eastAsiaTheme="minorEastAsia"/>
          <w:lang w:val="en-US"/>
        </w:rPr>
      </w:pPr>
      <w:r>
        <w:rPr>
          <w:rFonts w:eastAsiaTheme="minorEastAsia"/>
          <w:lang w:val="en-US"/>
        </w:rPr>
        <w:t>I think this is biasing the linear model</w:t>
      </w:r>
    </w:p>
    <w:p w14:paraId="227DCE51" w14:textId="660A212B" w:rsidR="008D0C69" w:rsidRPr="00462F32" w:rsidRDefault="00CA661D" w:rsidP="002E138D">
      <w:pPr>
        <w:rPr>
          <w:rFonts w:eastAsiaTheme="minorEastAsia"/>
          <w:lang w:val="en-US"/>
        </w:rPr>
      </w:pPr>
      <w:r>
        <w:rPr>
          <w:rFonts w:eastAsiaTheme="minorEastAsia"/>
          <w:lang w:val="en-US"/>
        </w:rPr>
        <w:lastRenderedPageBreak/>
        <w:t xml:space="preserve">Significant interactions were observed between all pairwise combinations of parameters barring recombination and additive effect size. </w:t>
      </w:r>
      <m:oMath>
        <m:r>
          <w:rPr>
            <w:rFonts w:ascii="Cambria Math" w:eastAsiaTheme="minorEastAsia" w:hAnsi="Cambria Math"/>
            <w:lang w:val="en-US"/>
          </w:rPr>
          <w:br/>
        </m:r>
      </m:oMath>
    </w:p>
    <w:p w14:paraId="4C68597C" w14:textId="77777777" w:rsidR="008D0C69" w:rsidRDefault="008D0C69" w:rsidP="002E138D">
      <w:pPr>
        <w:rPr>
          <w:rFonts w:eastAsiaTheme="minorEastAsia"/>
          <w:lang w:val="en-US"/>
        </w:rPr>
      </w:pPr>
    </w:p>
    <w:p w14:paraId="1FBD2938" w14:textId="4F60B764" w:rsidR="002E138D" w:rsidRDefault="002E138D" w:rsidP="002E138D">
      <w:pPr>
        <w:rPr>
          <w:rStyle w:val="acopre"/>
        </w:rPr>
      </w:pPr>
      <w:r>
        <w:rPr>
          <w:rFonts w:eastAsiaTheme="minorEastAsia"/>
          <w:lang w:val="en-US"/>
        </w:rPr>
        <w:t xml:space="preserve">Under strong selection, increasing background selection from low to high resulted in an average decrease in distance from the optimum of 136.5 </w:t>
      </w:r>
      <w:r>
        <w:rPr>
          <w:rStyle w:val="acopre"/>
        </w:rPr>
        <w:t>± 2.94 units (t</w:t>
      </w:r>
      <w:r>
        <w:rPr>
          <w:rStyle w:val="acopre"/>
          <w:vertAlign w:val="subscript"/>
        </w:rPr>
        <w:t>25471</w:t>
      </w:r>
      <w:r>
        <w:rPr>
          <w:rStyle w:val="acopre"/>
        </w:rPr>
        <w:t xml:space="preserve"> = 46.467, p &lt; 0.0001). Under intermediate selection, recombination rate interacted with deleterious mutation, reducing the effect of deleterious mutation on distance. Under intermediate selection and low recombination, when increasing deleterious mutation, distance from the optimum declined 247.80 ± 7.68 units (t</w:t>
      </w:r>
      <w:r>
        <w:rPr>
          <w:rStyle w:val="acopre"/>
          <w:vertAlign w:val="subscript"/>
        </w:rPr>
        <w:t xml:space="preserve">25471 </w:t>
      </w:r>
      <w:r w:rsidRPr="00895210">
        <w:rPr>
          <w:rStyle w:val="acopre"/>
        </w:rPr>
        <w:t xml:space="preserve">= </w:t>
      </w:r>
      <w:r>
        <w:rPr>
          <w:rStyle w:val="acopre"/>
        </w:rPr>
        <w:t>32.248, p &lt; 0.0001). Under high recombination rates, this decline was 92.26 ± 5.10 units (t</w:t>
      </w:r>
      <w:r>
        <w:rPr>
          <w:rStyle w:val="acopre"/>
          <w:vertAlign w:val="subscript"/>
        </w:rPr>
        <w:t xml:space="preserve">25471 </w:t>
      </w:r>
      <w:r w:rsidRPr="00895210">
        <w:rPr>
          <w:rStyle w:val="acopre"/>
        </w:rPr>
        <w:t xml:space="preserve">= </w:t>
      </w:r>
      <w:r>
        <w:rPr>
          <w:rStyle w:val="acopre"/>
        </w:rPr>
        <w:t>18.077, p &lt; 0.0001). This drop of 155.5 ± 9.16 units between contrasts was highly significant (t</w:t>
      </w:r>
      <w:r>
        <w:rPr>
          <w:rStyle w:val="acopre"/>
          <w:vertAlign w:val="subscript"/>
        </w:rPr>
        <w:t xml:space="preserve">25471 </w:t>
      </w:r>
      <w:r w:rsidRPr="00895210">
        <w:rPr>
          <w:rStyle w:val="acopre"/>
        </w:rPr>
        <w:t xml:space="preserve">= </w:t>
      </w:r>
      <w:r>
        <w:rPr>
          <w:rStyle w:val="acopre"/>
        </w:rPr>
        <w:t>16.983, p &lt; 0.0001). A similar effect was seen under weak selection, however the contrast was marginally insignificant (decrease of 28.3 ± 10.01 units between low and high recombination when deleterious mutation increased from low to high; t</w:t>
      </w:r>
      <w:r w:rsidRPr="00DD5C25">
        <w:rPr>
          <w:rStyle w:val="acopre"/>
          <w:vertAlign w:val="subscript"/>
        </w:rPr>
        <w:t>25471</w:t>
      </w:r>
      <w:r>
        <w:rPr>
          <w:rStyle w:val="acopre"/>
        </w:rPr>
        <w:t xml:space="preserve"> = 2.830, p = 0.0528).</w:t>
      </w:r>
    </w:p>
    <w:p w14:paraId="1B9156D1" w14:textId="77777777" w:rsidR="002E138D" w:rsidRDefault="002E138D" w:rsidP="004F0C57">
      <w:pPr>
        <w:rPr>
          <w:rFonts w:eastAsiaTheme="minorEastAsia"/>
          <w:lang w:val="en-US"/>
        </w:rPr>
      </w:pPr>
    </w:p>
    <w:p w14:paraId="31BC4C05" w14:textId="77777777" w:rsidR="002E138D" w:rsidRDefault="002E138D" w:rsidP="004F0C57">
      <w:pPr>
        <w:rPr>
          <w:rFonts w:eastAsiaTheme="minorEastAsia"/>
          <w:lang w:val="en-US"/>
        </w:rPr>
      </w:pPr>
    </w:p>
    <w:p w14:paraId="4B596487" w14:textId="53F93558" w:rsidR="009E14EC" w:rsidRPr="00303066" w:rsidRDefault="004B786B" w:rsidP="004F0C57">
      <w:pPr>
        <w:rPr>
          <w:rFonts w:eastAsiaTheme="minorEastAsia"/>
          <w:lang w:val="en-US"/>
        </w:rPr>
      </w:pPr>
      <w:r>
        <w:rPr>
          <w:rFonts w:eastAsiaTheme="minorEastAsia"/>
          <w:lang w:val="en-US"/>
        </w:rPr>
        <w:t>Similarly to variance, the distance to the optimum also showed a cyclic behavior (Figure 2).</w:t>
      </w:r>
      <w:r w:rsidR="00E84CEB">
        <w:rPr>
          <w:rFonts w:eastAsiaTheme="minorEastAsia"/>
          <w:lang w:val="en-US"/>
        </w:rPr>
        <w:t xml:space="preserve"> To explore the variation in these cycles, the variance in Euclidean distance over generations 100,000 – 150,000 was compared between models.</w:t>
      </w:r>
      <w:r w:rsidR="0071606A">
        <w:rPr>
          <w:rFonts w:eastAsiaTheme="minorEastAsia"/>
          <w:lang w:val="en-US"/>
        </w:rPr>
        <w:t xml:space="preserve"> A linear model fit to the main effects and pairwise interactions of all parameters showed statistically significant effects for deleterious mutation rate, </w:t>
      </w:r>
      <w:r w:rsidR="00303066">
        <w:rPr>
          <w:rFonts w:eastAsiaTheme="minorEastAsia"/>
          <w:lang w:val="en-US"/>
        </w:rPr>
        <w:t>pleiotropy rate, additive effect size, and selection strength, as well as interactions between deleterious mutation rate and additive effect size, pleiotropy rate and additive effect size, and deleterious mutation rate and selection strength (F</w:t>
      </w:r>
      <w:r w:rsidR="00303066">
        <w:rPr>
          <w:rFonts w:eastAsiaTheme="minorEastAsia"/>
          <w:vertAlign w:val="subscript"/>
          <w:lang w:val="en-US"/>
        </w:rPr>
        <w:t>16, 1263</w:t>
      </w:r>
      <w:r w:rsidR="00303066">
        <w:rPr>
          <w:rFonts w:eastAsiaTheme="minorEastAsia"/>
          <w:lang w:val="en-US"/>
        </w:rPr>
        <w:t xml:space="preserve"> = 383.3, p &lt; 0.0001, Adjusted R</w:t>
      </w:r>
      <w:r w:rsidR="00303066">
        <w:rPr>
          <w:rFonts w:eastAsiaTheme="minorEastAsia"/>
          <w:vertAlign w:val="superscript"/>
          <w:lang w:val="en-US"/>
        </w:rPr>
        <w:t>2</w:t>
      </w:r>
      <w:r w:rsidR="00303066">
        <w:rPr>
          <w:rFonts w:eastAsiaTheme="minorEastAsia"/>
          <w:lang w:val="en-US"/>
        </w:rPr>
        <w:t xml:space="preserve"> = 0.873).</w:t>
      </w:r>
    </w:p>
    <w:p w14:paraId="56677190" w14:textId="4202B843" w:rsidR="00B5034A" w:rsidRPr="00B81338" w:rsidRDefault="00E84CEB" w:rsidP="004F0C57">
      <w:pPr>
        <w:rPr>
          <w:rFonts w:eastAsiaTheme="minorEastAsia"/>
          <w:lang w:val="en-US"/>
        </w:rPr>
      </w:pPr>
      <w:r>
        <w:rPr>
          <w:rFonts w:eastAsiaTheme="minorEastAsia"/>
          <w:lang w:val="en-US"/>
        </w:rPr>
        <w:t xml:space="preserve">Increasing deleterious mutation overall increased variance in distance over time by </w:t>
      </w:r>
      <w:r w:rsidR="00303066">
        <w:rPr>
          <w:rFonts w:eastAsiaTheme="minorEastAsia"/>
          <w:lang w:val="en-US"/>
        </w:rPr>
        <w:t>4209</w:t>
      </w:r>
      <w:r w:rsidR="007A055C">
        <w:rPr>
          <w:rFonts w:eastAsiaTheme="minorEastAsia"/>
          <w:lang w:val="en-US"/>
        </w:rPr>
        <w:t xml:space="preserve"> </w:t>
      </w:r>
      <w:r w:rsidR="007A055C">
        <w:rPr>
          <w:rStyle w:val="acopre"/>
        </w:rPr>
        <w:t>±</w:t>
      </w:r>
      <w:r w:rsidR="007A055C">
        <w:rPr>
          <w:rStyle w:val="acopre"/>
        </w:rPr>
        <w:t xml:space="preserve"> </w:t>
      </w:r>
      <w:r w:rsidR="00303066">
        <w:rPr>
          <w:rStyle w:val="acopre"/>
        </w:rPr>
        <w:t>970</w:t>
      </w:r>
      <w:r w:rsidR="007A055C">
        <w:rPr>
          <w:rStyle w:val="acopre"/>
        </w:rPr>
        <w:t xml:space="preserve"> units (t</w:t>
      </w:r>
      <w:r w:rsidR="007A055C">
        <w:rPr>
          <w:rStyle w:val="acopre"/>
          <w:vertAlign w:val="subscript"/>
        </w:rPr>
        <w:t>12</w:t>
      </w:r>
      <w:r w:rsidR="00303066">
        <w:rPr>
          <w:rStyle w:val="acopre"/>
          <w:vertAlign w:val="subscript"/>
        </w:rPr>
        <w:t>63</w:t>
      </w:r>
      <w:r w:rsidR="007A055C">
        <w:rPr>
          <w:rStyle w:val="acopre"/>
          <w:vertAlign w:val="subscript"/>
        </w:rPr>
        <w:t xml:space="preserve"> </w:t>
      </w:r>
      <w:r w:rsidR="007A055C">
        <w:rPr>
          <w:rStyle w:val="acopre"/>
        </w:rPr>
        <w:t xml:space="preserve">= </w:t>
      </w:r>
      <w:r w:rsidR="00303066">
        <w:rPr>
          <w:rStyle w:val="acopre"/>
        </w:rPr>
        <w:t>4.3391</w:t>
      </w:r>
      <w:r w:rsidR="007A055C">
        <w:rPr>
          <w:rStyle w:val="acopre"/>
        </w:rPr>
        <w:t>, p &lt; 0.00</w:t>
      </w:r>
      <w:r w:rsidR="00303066">
        <w:rPr>
          <w:rStyle w:val="acopre"/>
        </w:rPr>
        <w:t>01</w:t>
      </w:r>
      <w:r w:rsidR="007A055C">
        <w:rPr>
          <w:rStyle w:val="acopre"/>
        </w:rPr>
        <w:t xml:space="preserve">). Similarly, increasing pleiotropy rate, additive effect size, and decreasing selection strength increased variance in distance over time by </w:t>
      </w:r>
      <w:r w:rsidR="00303066">
        <w:rPr>
          <w:rStyle w:val="acopre"/>
        </w:rPr>
        <w:t>5917</w:t>
      </w:r>
      <w:r w:rsidR="007A055C">
        <w:rPr>
          <w:rStyle w:val="acopre"/>
        </w:rPr>
        <w:t xml:space="preserve"> </w:t>
      </w:r>
      <w:r w:rsidR="007A055C">
        <w:rPr>
          <w:rStyle w:val="acopre"/>
        </w:rPr>
        <w:t>±</w:t>
      </w:r>
      <w:r w:rsidR="007A055C">
        <w:rPr>
          <w:rStyle w:val="acopre"/>
        </w:rPr>
        <w:t xml:space="preserve"> </w:t>
      </w:r>
      <w:r w:rsidR="00303066">
        <w:rPr>
          <w:rStyle w:val="acopre"/>
        </w:rPr>
        <w:t>1771</w:t>
      </w:r>
      <w:r w:rsidR="007A055C">
        <w:rPr>
          <w:rStyle w:val="acopre"/>
        </w:rPr>
        <w:t xml:space="preserve"> units (t</w:t>
      </w:r>
      <w:r w:rsidR="007A055C">
        <w:rPr>
          <w:rStyle w:val="acopre"/>
          <w:vertAlign w:val="subscript"/>
        </w:rPr>
        <w:t>12</w:t>
      </w:r>
      <w:r w:rsidR="00303066">
        <w:rPr>
          <w:rStyle w:val="acopre"/>
          <w:vertAlign w:val="subscript"/>
        </w:rPr>
        <w:t>63</w:t>
      </w:r>
      <w:r w:rsidR="007A055C">
        <w:rPr>
          <w:rStyle w:val="acopre"/>
        </w:rPr>
        <w:t xml:space="preserve"> = </w:t>
      </w:r>
      <w:r w:rsidR="00303066">
        <w:rPr>
          <w:rStyle w:val="acopre"/>
        </w:rPr>
        <w:t>3.3415</w:t>
      </w:r>
      <w:r w:rsidR="007A055C">
        <w:rPr>
          <w:rStyle w:val="acopre"/>
        </w:rPr>
        <w:t>, p = 0.0</w:t>
      </w:r>
      <w:r w:rsidR="00303066">
        <w:rPr>
          <w:rStyle w:val="acopre"/>
        </w:rPr>
        <w:t>009</w:t>
      </w:r>
      <w:r w:rsidR="007A055C">
        <w:rPr>
          <w:rStyle w:val="acopre"/>
        </w:rPr>
        <w:t xml:space="preserve">), </w:t>
      </w:r>
      <w:r w:rsidR="00303066">
        <w:rPr>
          <w:rStyle w:val="acopre"/>
        </w:rPr>
        <w:t>3493</w:t>
      </w:r>
      <w:r w:rsidR="007A055C">
        <w:rPr>
          <w:rStyle w:val="acopre"/>
        </w:rPr>
        <w:t xml:space="preserve"> </w:t>
      </w:r>
      <w:r w:rsidR="007A055C">
        <w:rPr>
          <w:rStyle w:val="acopre"/>
        </w:rPr>
        <w:t>±</w:t>
      </w:r>
      <w:r w:rsidR="007A055C">
        <w:rPr>
          <w:rStyle w:val="acopre"/>
        </w:rPr>
        <w:t xml:space="preserve"> </w:t>
      </w:r>
      <w:r w:rsidR="00303066">
        <w:rPr>
          <w:rStyle w:val="acopre"/>
        </w:rPr>
        <w:t>122.5</w:t>
      </w:r>
      <w:r w:rsidR="007A055C">
        <w:rPr>
          <w:rStyle w:val="acopre"/>
        </w:rPr>
        <w:t xml:space="preserve"> units (t</w:t>
      </w:r>
      <w:r w:rsidR="007A055C">
        <w:rPr>
          <w:rStyle w:val="acopre"/>
          <w:vertAlign w:val="subscript"/>
        </w:rPr>
        <w:t>12</w:t>
      </w:r>
      <w:r w:rsidR="00303066">
        <w:rPr>
          <w:rStyle w:val="acopre"/>
          <w:vertAlign w:val="subscript"/>
        </w:rPr>
        <w:t>63</w:t>
      </w:r>
      <w:r w:rsidR="007A055C">
        <w:rPr>
          <w:rStyle w:val="acopre"/>
        </w:rPr>
        <w:t xml:space="preserve"> = </w:t>
      </w:r>
      <w:r w:rsidR="00303066">
        <w:rPr>
          <w:rStyle w:val="acopre"/>
        </w:rPr>
        <w:t>28.5065</w:t>
      </w:r>
      <w:r w:rsidR="007A055C">
        <w:rPr>
          <w:rStyle w:val="acopre"/>
        </w:rPr>
        <w:t>, p &lt; 0.0001), and 7.1</w:t>
      </w:r>
      <w:r w:rsidR="00303066">
        <w:rPr>
          <w:rStyle w:val="acopre"/>
        </w:rPr>
        <w:t>09</w:t>
      </w:r>
      <w:r w:rsidR="007A055C">
        <w:rPr>
          <w:rStyle w:val="acopre"/>
        </w:rPr>
        <w:t xml:space="preserve"> </w:t>
      </w:r>
      <w:r w:rsidR="007A055C">
        <w:rPr>
          <w:rStyle w:val="acopre"/>
        </w:rPr>
        <w:t>±</w:t>
      </w:r>
      <w:r w:rsidR="007A055C">
        <w:rPr>
          <w:rStyle w:val="acopre"/>
        </w:rPr>
        <w:t xml:space="preserve"> 1.</w:t>
      </w:r>
      <w:r w:rsidR="00303066">
        <w:rPr>
          <w:rStyle w:val="acopre"/>
        </w:rPr>
        <w:t>273</w:t>
      </w:r>
      <w:r w:rsidR="007A055C">
        <w:rPr>
          <w:rStyle w:val="acopre"/>
        </w:rPr>
        <w:t xml:space="preserve"> (t</w:t>
      </w:r>
      <w:r w:rsidR="007A055C">
        <w:rPr>
          <w:rStyle w:val="acopre"/>
          <w:vertAlign w:val="subscript"/>
        </w:rPr>
        <w:t>12</w:t>
      </w:r>
      <w:r w:rsidR="00303066">
        <w:rPr>
          <w:rStyle w:val="acopre"/>
          <w:vertAlign w:val="subscript"/>
        </w:rPr>
        <w:t>63</w:t>
      </w:r>
      <w:r w:rsidR="007A055C">
        <w:rPr>
          <w:rStyle w:val="acopre"/>
        </w:rPr>
        <w:t xml:space="preserve"> = </w:t>
      </w:r>
      <w:r w:rsidR="00303066">
        <w:rPr>
          <w:rStyle w:val="acopre"/>
        </w:rPr>
        <w:t>5.5841</w:t>
      </w:r>
      <w:r w:rsidR="007A055C">
        <w:rPr>
          <w:rStyle w:val="acopre"/>
        </w:rPr>
        <w:t xml:space="preserve">, p &lt; 0.0001) units per unit change, respectively. Recombination had no significant effect on variation in distance to the optimum over time. </w:t>
      </w:r>
      <w:r w:rsidR="00B81338">
        <w:rPr>
          <w:rStyle w:val="acopre"/>
        </w:rPr>
        <w:t xml:space="preserve">Additive effect size decreased the effect of background selection by 2798 </w:t>
      </w:r>
      <w:r w:rsidR="00B81338">
        <w:rPr>
          <w:rStyle w:val="acopre"/>
        </w:rPr>
        <w:t>±</w:t>
      </w:r>
      <w:r w:rsidR="00B81338">
        <w:rPr>
          <w:rStyle w:val="acopre"/>
        </w:rPr>
        <w:t xml:space="preserve"> 133.9 units (t</w:t>
      </w:r>
      <w:r w:rsidR="00B81338">
        <w:rPr>
          <w:rStyle w:val="acopre"/>
          <w:vertAlign w:val="subscript"/>
        </w:rPr>
        <w:t>1263</w:t>
      </w:r>
      <w:r w:rsidR="00B81338">
        <w:rPr>
          <w:rStyle w:val="acopre"/>
        </w:rPr>
        <w:t xml:space="preserve"> = -20.8863, p &lt; 0.0001) per unit of effect size. A similar effect was observed with pleiotropy rate, with additive effect size decreasing the effect of pleiotropy rate on variance in distance to the optimum by 761 </w:t>
      </w:r>
      <w:r w:rsidR="00B81338">
        <w:rPr>
          <w:rStyle w:val="acopre"/>
        </w:rPr>
        <w:t>±</w:t>
      </w:r>
      <w:r w:rsidR="00B81338">
        <w:rPr>
          <w:rStyle w:val="acopre"/>
        </w:rPr>
        <w:t xml:space="preserve"> 216 units (t</w:t>
      </w:r>
      <w:r w:rsidR="00B81338">
        <w:rPr>
          <w:rStyle w:val="acopre"/>
          <w:vertAlign w:val="subscript"/>
        </w:rPr>
        <w:t xml:space="preserve">1263 </w:t>
      </w:r>
      <w:r w:rsidR="00B81338">
        <w:rPr>
          <w:rStyle w:val="acopre"/>
        </w:rPr>
        <w:t xml:space="preserve">= -3.5228, p = 0.0004). Deleterious mutation also interacted with selection strength, </w:t>
      </w:r>
      <w:r w:rsidR="00B81338">
        <w:rPr>
          <w:rStyle w:val="acopre"/>
        </w:rPr>
        <w:lastRenderedPageBreak/>
        <w:t xml:space="preserve">increasing the effect of selection strength by 3.89 </w:t>
      </w:r>
      <w:r w:rsidR="00B81338">
        <w:rPr>
          <w:rStyle w:val="acopre"/>
        </w:rPr>
        <w:t>±</w:t>
      </w:r>
      <w:r w:rsidR="00B81338">
        <w:rPr>
          <w:rStyle w:val="acopre"/>
        </w:rPr>
        <w:t xml:space="preserve"> 1.672 units (t</w:t>
      </w:r>
      <w:r w:rsidR="00B81338">
        <w:rPr>
          <w:rStyle w:val="acopre"/>
          <w:vertAlign w:val="subscript"/>
        </w:rPr>
        <w:t>1263</w:t>
      </w:r>
      <w:r w:rsidR="00B81338">
        <w:rPr>
          <w:rStyle w:val="acopre"/>
        </w:rPr>
        <w:t xml:space="preserve"> = -2.3265, p = 0.0202).</w:t>
      </w:r>
    </w:p>
    <w:p w14:paraId="22E2D345" w14:textId="77777777" w:rsidR="004B786B" w:rsidRDefault="004B786B" w:rsidP="004F0C57">
      <w:pPr>
        <w:rPr>
          <w:rFonts w:eastAsiaTheme="minorEastAsia"/>
          <w:lang w:val="en-US"/>
        </w:rPr>
      </w:pPr>
    </w:p>
    <w:p w14:paraId="13BECB75" w14:textId="018B59E8" w:rsidR="003C0FFD" w:rsidRDefault="00B317C6" w:rsidP="00B317C6">
      <w:pPr>
        <w:pStyle w:val="Heading1"/>
      </w:pPr>
      <w:r>
        <w:t>Discussion</w:t>
      </w:r>
    </w:p>
    <w:p w14:paraId="0AD3142F" w14:textId="77777777" w:rsidR="00B317C6" w:rsidRDefault="00B317C6" w:rsidP="00B317C6">
      <w:pPr>
        <w:rPr>
          <w:lang w:val="en-US"/>
        </w:rPr>
      </w:pPr>
    </w:p>
    <w:p w14:paraId="5EB9FF2D" w14:textId="77777777" w:rsidR="00B317C6" w:rsidRDefault="00B317C6" w:rsidP="00B317C6">
      <w:pPr>
        <w:rPr>
          <w:lang w:val="en-US"/>
        </w:rPr>
      </w:pPr>
    </w:p>
    <w:p w14:paraId="4BA06634" w14:textId="27CDC65D" w:rsidR="00490AD2" w:rsidRDefault="00B317C6" w:rsidP="00B317C6">
      <w:pPr>
        <w:rPr>
          <w:lang w:val="en-US"/>
        </w:rPr>
      </w:pPr>
      <w:r>
        <w:rPr>
          <w:lang w:val="en-US"/>
        </w:rPr>
        <w:t xml:space="preserve">In theoretical quantitative genetics, much debate is had over which particular models best describe the maintenance of variation in the presence of stabilizing selection over time. Selection is able to retain variation, particularly in large populations where drift is weak, and scenarios where balancing selection creates a non-linear fitness landscape, however the extent of this differs depending on many factors, including selection strength, genetic architectures, epistatic and dominant interactions, and the strength of selection relative to mutation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317C6">
        <w:rPr>
          <w:smallCaps/>
          <w:noProof/>
          <w:lang w:val="en-US"/>
        </w:rPr>
        <w:t>Walsh and Lynch</w:t>
      </w:r>
      <w:r>
        <w:rPr>
          <w:noProof/>
          <w:lang w:val="en-US"/>
        </w:rPr>
        <w:t xml:space="preserve"> 2018)</w:t>
      </w:r>
      <w:r>
        <w:rPr>
          <w:lang w:val="en-US"/>
        </w:rPr>
        <w:fldChar w:fldCharType="end"/>
      </w:r>
      <w:r>
        <w:rPr>
          <w:lang w:val="en-US"/>
        </w:rPr>
        <w:t xml:space="preserve">. </w:t>
      </w:r>
      <w:r w:rsidR="00807D63">
        <w:rPr>
          <w:lang w:val="en-US"/>
        </w:rPr>
        <w:t>Understanding the relative strength of selection to mutation has led to two distinct approximations of expected distributions of allelic effects. When mutation is much stronger than selection, Kimura</w:t>
      </w:r>
      <w:r w:rsidR="00490AD2">
        <w:rPr>
          <w:lang w:val="en-US"/>
        </w:rPr>
        <w:t xml:space="preserve"> (</w:t>
      </w:r>
      <w:r w:rsidR="00490AD2" w:rsidRPr="00490AD2">
        <w:rPr>
          <w:b/>
          <w:lang w:val="en-US"/>
        </w:rPr>
        <w:t>1965a</w:t>
      </w:r>
      <w:r w:rsidR="00490AD2">
        <w:rPr>
          <w:lang w:val="en-US"/>
        </w:rPr>
        <w:t>)</w:t>
      </w:r>
      <w:r w:rsidR="00807D63">
        <w:rPr>
          <w:lang w:val="en-US"/>
        </w:rPr>
        <w:t xml:space="preserve"> and Fleming’s (</w:t>
      </w:r>
      <w:r w:rsidR="00490AD2" w:rsidRPr="00490AD2">
        <w:rPr>
          <w:b/>
          <w:lang w:val="en-US"/>
        </w:rPr>
        <w:t>1979</w:t>
      </w:r>
      <w:r w:rsidR="00807D63">
        <w:rPr>
          <w:lang w:val="en-US"/>
        </w:rPr>
        <w:t xml:space="preserve">) Gaussian approximation holds true, whereas when the opposite occurs, Turelli’s </w:t>
      </w:r>
      <w:r w:rsidR="00490AD2">
        <w:rPr>
          <w:lang w:val="en-US"/>
        </w:rPr>
        <w:t>(</w:t>
      </w:r>
      <w:r w:rsidR="00490AD2" w:rsidRPr="00490AD2">
        <w:rPr>
          <w:b/>
          <w:lang w:val="en-US"/>
        </w:rPr>
        <w:t>1984</w:t>
      </w:r>
      <w:r w:rsidR="00490AD2">
        <w:rPr>
          <w:lang w:val="en-US"/>
        </w:rPr>
        <w:t>) house of cards approximation is more accurate. This distinction between models</w:t>
      </w:r>
      <w:r w:rsidR="00A056F7">
        <w:rPr>
          <w:lang w:val="en-US"/>
        </w:rPr>
        <w:t xml:space="preserve"> is arbitrarily granular, mostly for analytical viability. Computational methods allow for a continuous exploration of this space of models.</w:t>
      </w:r>
    </w:p>
    <w:p w14:paraId="19900493" w14:textId="77777777" w:rsidR="003C0FFD" w:rsidRDefault="003C0FFD" w:rsidP="004F0C57">
      <w:pPr>
        <w:rPr>
          <w:lang w:val="en-US"/>
        </w:rPr>
      </w:pPr>
    </w:p>
    <w:p w14:paraId="7FA5DCF3" w14:textId="77777777" w:rsidR="003C0FFD" w:rsidRDefault="003C0FFD" w:rsidP="004F0C57">
      <w:pPr>
        <w:rPr>
          <w:lang w:val="en-US"/>
        </w:rPr>
      </w:pPr>
    </w:p>
    <w:p w14:paraId="191A5476" w14:textId="77777777" w:rsidR="003C0FFD" w:rsidRDefault="003C0FFD" w:rsidP="004F0C57">
      <w:pPr>
        <w:rPr>
          <w:lang w:val="en-US"/>
        </w:rPr>
      </w:pPr>
    </w:p>
    <w:p w14:paraId="2226E1D9" w14:textId="77777777" w:rsidR="003C0FFD" w:rsidRDefault="003C0FFD" w:rsidP="004F0C57">
      <w:pPr>
        <w:rPr>
          <w:lang w:val="en-US"/>
        </w:rPr>
      </w:pPr>
    </w:p>
    <w:p w14:paraId="3BE3E9DE" w14:textId="41173D7A" w:rsidR="00316740" w:rsidRDefault="001843C9" w:rsidP="003A3DF1">
      <w:pPr>
        <w:pStyle w:val="Heading1"/>
        <w:rPr>
          <w:b w:val="0"/>
          <w:bCs w:val="0"/>
        </w:rPr>
      </w:pPr>
      <w:r>
        <w:t xml:space="preserve">Snippets </w:t>
      </w:r>
    </w:p>
    <w:p w14:paraId="633363E1" w14:textId="596594F4" w:rsidR="003A3DF1" w:rsidRDefault="003A3DF1" w:rsidP="003A3DF1">
      <w:pPr>
        <w:rPr>
          <w:lang w:val="en-US"/>
        </w:rPr>
      </w:pPr>
      <w:r>
        <w:rPr>
          <w:lang w:val="en-US"/>
        </w:rPr>
        <w:t xml:space="preserve">Underpinning this model is </w:t>
      </w:r>
      <w:r>
        <w:rPr>
          <w:lang w:val="en-US"/>
        </w:rPr>
        <w:t>the continuum of alleles model</w:t>
      </w:r>
      <w:r w:rsidR="00FA5458">
        <w:rPr>
          <w:lang w:val="en-US"/>
        </w:rPr>
        <w:t xml:space="preserve"> of allelic effects, suggesting large numbers of alleles at many loci forming a continuous distribution of effect sizes, usually Normal in shape (</w:t>
      </w:r>
      <w:r w:rsidR="00FA5458" w:rsidRPr="00FA5458">
        <w:rPr>
          <w:highlight w:val="yellow"/>
          <w:lang w:val="en-US"/>
        </w:rPr>
        <w:t>Lande</w:t>
      </w:r>
      <w:r w:rsidR="00FA5458">
        <w:rPr>
          <w:lang w:val="en-US"/>
        </w:rPr>
        <w:t>).</w:t>
      </w:r>
    </w:p>
    <w:p w14:paraId="652B4364" w14:textId="60F7B1A7" w:rsidR="00EB735F" w:rsidRDefault="00EB735F" w:rsidP="003A3DF1">
      <w:pPr>
        <w:rPr>
          <w:lang w:val="en-US"/>
        </w:rPr>
      </w:pPr>
      <w:r w:rsidRPr="00EB735F">
        <w:rPr>
          <w:lang w:val="en-US"/>
        </w:rPr>
        <w:t xml:space="preserve">Pleiotropy fundamentally alters the signatures of </w:t>
      </w:r>
      <w:r>
        <w:rPr>
          <w:lang w:val="en-US"/>
        </w:rPr>
        <w:t>HCA vs Gaussian approximation in COA</w:t>
      </w:r>
      <w:bookmarkStart w:id="1" w:name="_GoBack"/>
      <w:bookmarkEnd w:id="1"/>
      <w:r w:rsidRPr="00EB735F">
        <w:rPr>
          <w:lang w:val="en-US"/>
        </w:rPr>
        <w:t xml:space="preserve"> so they approach each other - other parameters may as well?</w:t>
      </w:r>
    </w:p>
    <w:p w14:paraId="458B935E" w14:textId="77777777" w:rsidR="003A3DF1" w:rsidRPr="00B317C6" w:rsidRDefault="003A3DF1" w:rsidP="003A3DF1">
      <w:pPr>
        <w:rPr>
          <w:lang w:val="en-US"/>
        </w:rPr>
      </w:pPr>
      <w:r>
        <w:rPr>
          <w:lang w:val="en-US"/>
        </w:rPr>
        <w:t>Most effort in understanding stabilizing selection has focused on assuming either a Gaussian (as in this paper) or quadratic fitness function</w:t>
      </w:r>
    </w:p>
    <w:p w14:paraId="339E4278" w14:textId="77777777" w:rsidR="003A3DF1" w:rsidRPr="003A3DF1" w:rsidRDefault="003A3DF1" w:rsidP="003A3DF1">
      <w:pPr>
        <w:rPr>
          <w:lang w:val="en-US"/>
        </w:rPr>
      </w:pPr>
    </w:p>
    <w:p w14:paraId="3165EE66" w14:textId="77777777" w:rsidR="00316740" w:rsidRDefault="00316740" w:rsidP="004F0C57">
      <w:pPr>
        <w:rPr>
          <w:lang w:val="en-US"/>
        </w:rPr>
      </w:pPr>
    </w:p>
    <w:p w14:paraId="2E779034" w14:textId="70391E9B" w:rsidR="00316740" w:rsidRDefault="00316740" w:rsidP="004F0C57">
      <w:pPr>
        <w:rPr>
          <w:lang w:val="en-US"/>
        </w:rPr>
      </w:pP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7F772F44" w:rsidR="00445817" w:rsidRDefault="00445817" w:rsidP="004F0C57">
      <w:pPr>
        <w:rPr>
          <w:lang w:val="en-US"/>
        </w:rPr>
      </w:pPr>
    </w:p>
    <w:p w14:paraId="117ADEA6" w14:textId="0927F468" w:rsidR="00445817" w:rsidRDefault="00445817" w:rsidP="004F0C57">
      <w:pPr>
        <w:rPr>
          <w:lang w:val="en-US"/>
        </w:rPr>
      </w:pPr>
    </w:p>
    <w:p w14:paraId="2C2AB5E5" w14:textId="61C179A4" w:rsidR="00EF7908" w:rsidRDefault="00EF7908" w:rsidP="004F0C57">
      <w:pPr>
        <w:rPr>
          <w:lang w:val="en-US"/>
        </w:rPr>
      </w:pPr>
    </w:p>
    <w:p w14:paraId="5BCB0E6E" w14:textId="1316035C" w:rsidR="001F7463" w:rsidRDefault="001F7463" w:rsidP="004F0C57">
      <w:pPr>
        <w:rPr>
          <w:lang w:val="en-US"/>
        </w:rPr>
      </w:pPr>
    </w:p>
    <w:p w14:paraId="17F585BA" w14:textId="12EB0D38" w:rsidR="001F7463" w:rsidRDefault="001F7463" w:rsidP="004F0C57">
      <w:pPr>
        <w:rPr>
          <w:lang w:val="en-US"/>
        </w:rPr>
      </w:pPr>
    </w:p>
    <w:p w14:paraId="4CE4BA21" w14:textId="5E66DC0F" w:rsidR="008563F4" w:rsidRDefault="008563F4" w:rsidP="004F0C57">
      <w:pPr>
        <w:rPr>
          <w:lang w:val="en-US"/>
        </w:rPr>
      </w:pPr>
    </w:p>
    <w:p w14:paraId="4117FC66" w14:textId="77777777" w:rsidR="001F7463" w:rsidRDefault="001F7463" w:rsidP="004F0C57">
      <w:pPr>
        <w:rPr>
          <w:lang w:val="en-US"/>
        </w:rPr>
      </w:pPr>
    </w:p>
    <w:p w14:paraId="20CA34C5" w14:textId="77777777" w:rsidR="00CF3C11" w:rsidRDefault="00CF3C11" w:rsidP="004F0C57">
      <w:pPr>
        <w:rPr>
          <w:lang w:val="en-US"/>
        </w:rPr>
      </w:pPr>
    </w:p>
    <w:p w14:paraId="08573F70" w14:textId="4CDF14F5" w:rsidR="00CF3C11" w:rsidRDefault="00111B61" w:rsidP="004F0C57">
      <w:pPr>
        <w:rPr>
          <w:lang w:val="en-US"/>
        </w:rPr>
      </w:pPr>
      <w:r>
        <w:rPr>
          <w:lang w:val="en-US"/>
        </w:rPr>
        <w:pict w14:anchorId="0D649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7pt">
            <v:imagedata r:id="rId6" o:title="sel_eucdist"/>
          </v:shape>
        </w:pict>
      </w:r>
    </w:p>
    <w:p w14:paraId="5050F5F3" w14:textId="77777777" w:rsidR="00CF3C11" w:rsidRDefault="00CF3C11" w:rsidP="004F0C57">
      <w:pPr>
        <w:rPr>
          <w:lang w:val="en-US"/>
        </w:rPr>
      </w:pPr>
    </w:p>
    <w:p w14:paraId="4CF857FF" w14:textId="5A58CE0A" w:rsidR="00CF3C11" w:rsidRDefault="00CF3C11" w:rsidP="004F0C57">
      <w:pPr>
        <w:rPr>
          <w:lang w:val="en-US"/>
        </w:rPr>
        <w:sectPr w:rsidR="00CF3C11">
          <w:pgSz w:w="12240" w:h="15840"/>
          <w:pgMar w:top="1440" w:right="1440" w:bottom="1440" w:left="1440" w:header="720" w:footer="720" w:gutter="0"/>
          <w:cols w:space="720"/>
          <w:docGrid w:linePitch="360"/>
        </w:sectPr>
      </w:pPr>
      <w:r>
        <w:rPr>
          <w:lang w:val="en-US"/>
        </w:rPr>
        <w:t xml:space="preserve">Figure </w:t>
      </w:r>
      <w:r w:rsidR="00957C39">
        <w:rPr>
          <w:lang w:val="en-US"/>
        </w:rPr>
        <w:t>1</w:t>
      </w:r>
      <w:r>
        <w:rPr>
          <w:lang w:val="en-US"/>
        </w:rPr>
        <w:t xml:space="preserve"> – Euclidean distance from the optimum by parameter and selection strength</w:t>
      </w: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E3C36F7" w:rsidR="00564ED3" w:rsidRDefault="003E2D3D" w:rsidP="003E2D3D">
            <w:pPr>
              <w:tabs>
                <w:tab w:val="left" w:pos="300"/>
                <w:tab w:val="center" w:pos="817"/>
              </w:tabs>
              <w:rPr>
                <w:lang w:val="en-US"/>
              </w:rPr>
            </w:pPr>
            <w:r>
              <w:rPr>
                <w:lang w:val="en-US"/>
              </w:rPr>
              <w:tab/>
            </w:r>
            <w:r>
              <w:rPr>
                <w:lang w:val="en-US"/>
              </w:rPr>
              <w:tab/>
            </w:r>
            <w:r w:rsidR="00564ED3">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r>
              <w:rPr>
                <w:lang w:val="en-US"/>
              </w:rPr>
              <w:t>Stapley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non-trait</w:t>
            </w:r>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ay be changed by this parameter. H</w:t>
            </w:r>
            <w:r>
              <w:rPr>
                <w:lang w:val="en-US"/>
              </w:rPr>
              <w:t xml:space="preserve">owever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r>
              <w:rPr>
                <w:lang w:val="en-US"/>
              </w:rPr>
              <w:t xml:space="preserve">Chesmore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Additive effect size controls the variance of trait effect size around mean 0, so that N(0,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1B55744" w14:textId="77777777" w:rsidR="00C95026" w:rsidRDefault="00C95026" w:rsidP="00EF444B"/>
    <w:p w14:paraId="559E4BE5" w14:textId="77777777" w:rsidR="00684609" w:rsidRDefault="001D7B57" w:rsidP="001D7B57">
      <w:pPr>
        <w:pStyle w:val="Heading1"/>
      </w:pPr>
      <w:r>
        <w:t>References</w:t>
      </w:r>
    </w:p>
    <w:p w14:paraId="2AECC212" w14:textId="77777777" w:rsidR="00B317C6" w:rsidRPr="00B317C6" w:rsidRDefault="00684609" w:rsidP="00B317C6">
      <w:pPr>
        <w:pStyle w:val="EndNoteBibliography"/>
        <w:spacing w:after="0"/>
        <w:ind w:left="720" w:hanging="720"/>
      </w:pPr>
      <w:r>
        <w:fldChar w:fldCharType="begin"/>
      </w:r>
      <w:r>
        <w:instrText xml:space="preserve"> ADDIN EN.REFLIST </w:instrText>
      </w:r>
      <w:r>
        <w:fldChar w:fldCharType="separate"/>
      </w:r>
      <w:r w:rsidR="00B317C6" w:rsidRPr="00B317C6">
        <w:t>Aguirre, J. D., E. Hine, K. McGuigan and M. W. Blows, 2014 Comparing G: multivariate analysis of genetic variation in multiple populations. Heredity 112</w:t>
      </w:r>
      <w:r w:rsidR="00B317C6" w:rsidRPr="00B317C6">
        <w:rPr>
          <w:b/>
        </w:rPr>
        <w:t>:</w:t>
      </w:r>
      <w:r w:rsidR="00B317C6" w:rsidRPr="00B317C6">
        <w:t xml:space="preserve"> 21-29.</w:t>
      </w:r>
    </w:p>
    <w:p w14:paraId="5BD8D4D2" w14:textId="77777777" w:rsidR="00B317C6" w:rsidRPr="00B317C6" w:rsidRDefault="00B317C6" w:rsidP="00B317C6">
      <w:pPr>
        <w:pStyle w:val="EndNoteBibliography"/>
        <w:spacing w:after="0"/>
        <w:ind w:left="720" w:hanging="720"/>
      </w:pPr>
      <w:r w:rsidRPr="00B317C6">
        <w:t>Aston, E., A. Channon, R. V. Belavkin, D. R. Gifford, R. Krasovec</w:t>
      </w:r>
      <w:r w:rsidRPr="00B317C6">
        <w:rPr>
          <w:i/>
        </w:rPr>
        <w:t xml:space="preserve"> et al.</w:t>
      </w:r>
      <w:r w:rsidRPr="00B317C6">
        <w:t>, 2017 Critical Mutation Rate has an Exponential Dependence on Population Size for Eukaryotic-length Genomes with Crossover. Sci Rep 7</w:t>
      </w:r>
      <w:r w:rsidRPr="00B317C6">
        <w:rPr>
          <w:b/>
        </w:rPr>
        <w:t>:</w:t>
      </w:r>
      <w:r w:rsidRPr="00B317C6">
        <w:t xml:space="preserve"> 15519.</w:t>
      </w:r>
    </w:p>
    <w:p w14:paraId="6DDA6D7C" w14:textId="77777777" w:rsidR="00B317C6" w:rsidRPr="00B317C6" w:rsidRDefault="00B317C6" w:rsidP="00B317C6">
      <w:pPr>
        <w:pStyle w:val="EndNoteBibliography"/>
        <w:spacing w:after="0"/>
        <w:ind w:left="720" w:hanging="720"/>
      </w:pPr>
      <w:r w:rsidRPr="00B317C6">
        <w:t>Barton, N. H., 2017 How does epistasis influence the response to selection? Heredity (Edinb) 118</w:t>
      </w:r>
      <w:r w:rsidRPr="00B317C6">
        <w:rPr>
          <w:b/>
        </w:rPr>
        <w:t>:</w:t>
      </w:r>
      <w:r w:rsidRPr="00B317C6">
        <w:t xml:space="preserve"> 96-109.</w:t>
      </w:r>
    </w:p>
    <w:p w14:paraId="76A10425" w14:textId="77777777" w:rsidR="00B317C6" w:rsidRPr="00B317C6" w:rsidRDefault="00B317C6" w:rsidP="00B317C6">
      <w:pPr>
        <w:pStyle w:val="EndNoteBibliography"/>
        <w:spacing w:after="0"/>
        <w:ind w:left="720" w:hanging="720"/>
      </w:pPr>
      <w:r w:rsidRPr="00B317C6">
        <w:t>Barton, N. H., and B. Charlesworth, 1998 Why sex and recombination? Science 281</w:t>
      </w:r>
      <w:r w:rsidRPr="00B317C6">
        <w:rPr>
          <w:b/>
        </w:rPr>
        <w:t>:</w:t>
      </w:r>
      <w:r w:rsidRPr="00B317C6">
        <w:t xml:space="preserve"> 1986-1990.</w:t>
      </w:r>
    </w:p>
    <w:p w14:paraId="3B6C3E73" w14:textId="77777777" w:rsidR="00B317C6" w:rsidRPr="00B317C6" w:rsidRDefault="00B317C6" w:rsidP="00B317C6">
      <w:pPr>
        <w:pStyle w:val="EndNoteBibliography"/>
        <w:spacing w:after="0"/>
        <w:ind w:left="720" w:hanging="720"/>
      </w:pPr>
      <w:r w:rsidRPr="00B317C6">
        <w:t>Careau, V., M. E. Wolak, P. A. Carter and T. Garland, Jr., 2015 Evolution of the additive genetic variance-covariance matrix under continuous directional selection on a complex behavioural phenotype. Proc Biol Sci 282.</w:t>
      </w:r>
    </w:p>
    <w:p w14:paraId="1FA6B5AF" w14:textId="77777777" w:rsidR="00B317C6" w:rsidRPr="00B317C6" w:rsidRDefault="00B317C6" w:rsidP="00B317C6">
      <w:pPr>
        <w:pStyle w:val="EndNoteBibliography"/>
        <w:spacing w:after="0"/>
        <w:ind w:left="720" w:hanging="720"/>
      </w:pPr>
      <w:r w:rsidRPr="00B317C6">
        <w:t xml:space="preserve">Eicker, F., 1967 Limit theorems for regressions with unequal and dependent errors, pp. 59-82 in </w:t>
      </w:r>
      <w:r w:rsidRPr="00B317C6">
        <w:rPr>
          <w:i/>
        </w:rPr>
        <w:t>Proceedings of the Fifth Berkeley Symposium on Mathematical Statistics and Probability, Volume 1: Statistics</w:t>
      </w:r>
      <w:r w:rsidRPr="00B317C6">
        <w:t>. University of California Press, Berkeley, Calif.</w:t>
      </w:r>
    </w:p>
    <w:p w14:paraId="3C722605" w14:textId="77777777" w:rsidR="00B317C6" w:rsidRPr="00B317C6" w:rsidRDefault="00B317C6" w:rsidP="00B317C6">
      <w:pPr>
        <w:pStyle w:val="EndNoteBibliography"/>
        <w:spacing w:after="0"/>
        <w:ind w:left="720" w:hanging="720"/>
      </w:pPr>
      <w:r w:rsidRPr="00B317C6">
        <w:t>Haller, B. C., and P. W. Messer, 2019 SLiM 3: Forward Genetic Simulations Beyond the Wright-Fisher Model. Molecular Biology and Evolution 36</w:t>
      </w:r>
      <w:r w:rsidRPr="00B317C6">
        <w:rPr>
          <w:b/>
        </w:rPr>
        <w:t>:</w:t>
      </w:r>
      <w:r w:rsidRPr="00B317C6">
        <w:t xml:space="preserve"> 632-637.</w:t>
      </w:r>
    </w:p>
    <w:p w14:paraId="11525AC3" w14:textId="77777777" w:rsidR="00B317C6" w:rsidRPr="00B317C6" w:rsidRDefault="00B317C6" w:rsidP="00B317C6">
      <w:pPr>
        <w:pStyle w:val="EndNoteBibliography"/>
        <w:spacing w:after="0"/>
        <w:ind w:left="720" w:hanging="720"/>
      </w:pPr>
      <w:r w:rsidRPr="00B317C6">
        <w:t xml:space="preserve">Huber, P. J., 1967 The behavior of maximum likelihood estimates under nonstandard conditions, pp. 221-233 in </w:t>
      </w:r>
      <w:r w:rsidRPr="00B317C6">
        <w:rPr>
          <w:i/>
        </w:rPr>
        <w:t>Proceedings of the Fifth Berkeley Symposium on Mathematical Statistics and Probability, Volume 1: Statistics</w:t>
      </w:r>
      <w:r w:rsidRPr="00B317C6">
        <w:t>. University of California Press, Berkeley, Calif.</w:t>
      </w:r>
    </w:p>
    <w:p w14:paraId="20CD9483" w14:textId="77777777" w:rsidR="00B317C6" w:rsidRPr="00B317C6" w:rsidRDefault="00B317C6" w:rsidP="00B317C6">
      <w:pPr>
        <w:pStyle w:val="EndNoteBibliography"/>
        <w:spacing w:after="0"/>
        <w:ind w:left="720" w:hanging="720"/>
      </w:pPr>
      <w:r w:rsidRPr="00B317C6">
        <w:t>Kimura, M., and J. F. Crow, 1964 The Number of Alleles That Can Be Maintained in a Finite Population. Genetics 49</w:t>
      </w:r>
      <w:r w:rsidRPr="00B317C6">
        <w:rPr>
          <w:b/>
        </w:rPr>
        <w:t>:</w:t>
      </w:r>
      <w:r w:rsidRPr="00B317C6">
        <w:t xml:space="preserve"> 725-738.</w:t>
      </w:r>
    </w:p>
    <w:p w14:paraId="3991AAE3" w14:textId="77777777" w:rsidR="00B317C6" w:rsidRPr="00B317C6" w:rsidRDefault="00B317C6" w:rsidP="00B317C6">
      <w:pPr>
        <w:pStyle w:val="EndNoteBibliography"/>
        <w:ind w:left="720" w:hanging="720"/>
      </w:pPr>
      <w:r w:rsidRPr="00B317C6">
        <w:rPr>
          <w:sz w:val="20"/>
        </w:rPr>
        <w:t>Long, J. A.</w:t>
      </w:r>
      <w:r w:rsidRPr="00B317C6">
        <w:t>, 2020 jtools: Analysis and Presentation of Social Scientific Data</w:t>
      </w:r>
    </w:p>
    <w:p w14:paraId="02C5CF97" w14:textId="77777777" w:rsidR="00B317C6" w:rsidRPr="00B317C6" w:rsidRDefault="00B317C6" w:rsidP="00B317C6">
      <w:pPr>
        <w:pStyle w:val="EndNoteBibliography"/>
        <w:spacing w:after="0"/>
      </w:pPr>
    </w:p>
    <w:p w14:paraId="068351A4" w14:textId="77777777" w:rsidR="00B317C6" w:rsidRPr="00B317C6" w:rsidRDefault="00B317C6" w:rsidP="00B317C6">
      <w:pPr>
        <w:pStyle w:val="EndNoteBibliography"/>
        <w:spacing w:after="0"/>
        <w:ind w:left="720" w:hanging="720"/>
      </w:pPr>
      <w:r w:rsidRPr="00B317C6">
        <w:t>Lumley, T., P. Diehr, S. Emerson and L. Chen, 2002 The importance of the normality assumption in large public health data sets. Annu Rev Public Health 23</w:t>
      </w:r>
      <w:r w:rsidRPr="00B317C6">
        <w:rPr>
          <w:b/>
        </w:rPr>
        <w:t>:</w:t>
      </w:r>
      <w:r w:rsidRPr="00B317C6">
        <w:t xml:space="preserve"> 151-169.</w:t>
      </w:r>
    </w:p>
    <w:p w14:paraId="7DE33C13" w14:textId="77777777" w:rsidR="00B317C6" w:rsidRPr="00B317C6" w:rsidRDefault="00B317C6" w:rsidP="00B317C6">
      <w:pPr>
        <w:pStyle w:val="EndNoteBibliography"/>
        <w:spacing w:after="0"/>
        <w:ind w:left="720" w:hanging="720"/>
      </w:pPr>
      <w:r w:rsidRPr="00B317C6">
        <w:t>Lynch, M., and R. Lande, 1998 The critical effective size for a genetically secure population. Animal Conservation 1</w:t>
      </w:r>
      <w:r w:rsidRPr="00B317C6">
        <w:rPr>
          <w:b/>
        </w:rPr>
        <w:t>:</w:t>
      </w:r>
      <w:r w:rsidRPr="00B317C6">
        <w:t xml:space="preserve"> 70-72.</w:t>
      </w:r>
    </w:p>
    <w:p w14:paraId="4ABA92E2" w14:textId="77777777" w:rsidR="00B317C6" w:rsidRPr="00B317C6" w:rsidRDefault="00B317C6" w:rsidP="00B317C6">
      <w:pPr>
        <w:pStyle w:val="EndNoteBibliography"/>
        <w:spacing w:after="0"/>
        <w:ind w:left="720" w:hanging="720"/>
      </w:pPr>
      <w:r w:rsidRPr="00B317C6">
        <w:t>Melo, D., G. Garcia, A. Hubbe, A. P. Assis and G. Marroig, 2015 EvolQG - An R package for evolutionary quantitative genetics. F1000Research 4</w:t>
      </w:r>
      <w:r w:rsidRPr="00B317C6">
        <w:rPr>
          <w:b/>
        </w:rPr>
        <w:t>:</w:t>
      </w:r>
      <w:r w:rsidRPr="00B317C6">
        <w:t xml:space="preserve"> 925.</w:t>
      </w:r>
    </w:p>
    <w:p w14:paraId="41D0D547" w14:textId="77777777" w:rsidR="00B317C6" w:rsidRPr="00B317C6" w:rsidRDefault="00B317C6" w:rsidP="00B317C6">
      <w:pPr>
        <w:pStyle w:val="EndNoteBibliography"/>
        <w:spacing w:after="0"/>
        <w:ind w:left="720" w:hanging="720"/>
      </w:pPr>
      <w:r w:rsidRPr="00B317C6">
        <w:t>R Developmental Core Team, 2019 R: A language and environment for statistical computing, pp. R Foundation for Statistical Computing, Vienna, Austria.</w:t>
      </w:r>
    </w:p>
    <w:p w14:paraId="4A10B79F" w14:textId="77777777" w:rsidR="00B317C6" w:rsidRPr="00B317C6" w:rsidRDefault="00B317C6" w:rsidP="00B317C6">
      <w:pPr>
        <w:pStyle w:val="EndNoteBibliography"/>
        <w:spacing w:after="0"/>
        <w:ind w:left="720" w:hanging="720"/>
      </w:pPr>
      <w:r w:rsidRPr="00B317C6">
        <w:t>Thornton, K. R., 2019 Polygenic Adaptation to an Environmental Shift: Temporal Dynamics of Variation Under Gaussian Stabilizing Selection and Additive Effects on a Single Trait. Genetics 213</w:t>
      </w:r>
      <w:r w:rsidRPr="00B317C6">
        <w:rPr>
          <w:b/>
        </w:rPr>
        <w:t>:</w:t>
      </w:r>
      <w:r w:rsidRPr="00B317C6">
        <w:t xml:space="preserve"> 1513-1530.</w:t>
      </w:r>
    </w:p>
    <w:p w14:paraId="37452CA2" w14:textId="77777777" w:rsidR="00B317C6" w:rsidRPr="00B317C6" w:rsidRDefault="00B317C6" w:rsidP="00B317C6">
      <w:pPr>
        <w:pStyle w:val="EndNoteBibliography"/>
        <w:spacing w:after="0"/>
        <w:ind w:left="720" w:hanging="720"/>
      </w:pPr>
      <w:r w:rsidRPr="00B317C6">
        <w:t xml:space="preserve">Walsh, B., and M. Lynch, 2018 </w:t>
      </w:r>
      <w:r w:rsidRPr="00B317C6">
        <w:rPr>
          <w:i/>
        </w:rPr>
        <w:t>Evolution and selection of quantitative traits</w:t>
      </w:r>
      <w:r w:rsidRPr="00B317C6">
        <w:t>. Oxford University Press, New York, NY.</w:t>
      </w:r>
    </w:p>
    <w:p w14:paraId="458B7FD6" w14:textId="77777777" w:rsidR="00B317C6" w:rsidRPr="00B317C6" w:rsidRDefault="00B317C6" w:rsidP="00B317C6">
      <w:pPr>
        <w:pStyle w:val="EndNoteBibliography"/>
        <w:spacing w:after="0"/>
        <w:ind w:left="720" w:hanging="720"/>
      </w:pPr>
      <w:r w:rsidRPr="00B317C6">
        <w:t>White, H., 1980 A Heteroskedasticity-Consistent Covariance-Matrix Estimator and a Direct Test for Heteroskedasticity. Econometrica 48</w:t>
      </w:r>
      <w:r w:rsidRPr="00B317C6">
        <w:rPr>
          <w:b/>
        </w:rPr>
        <w:t>:</w:t>
      </w:r>
      <w:r w:rsidRPr="00B317C6">
        <w:t xml:space="preserve"> 817-838.</w:t>
      </w:r>
    </w:p>
    <w:p w14:paraId="506CB1CA" w14:textId="77777777" w:rsidR="00B317C6" w:rsidRPr="00B317C6" w:rsidRDefault="00B317C6" w:rsidP="00B317C6">
      <w:pPr>
        <w:pStyle w:val="EndNoteBibliography"/>
        <w:ind w:left="720" w:hanging="720"/>
      </w:pPr>
      <w:r w:rsidRPr="00B317C6">
        <w:lastRenderedPageBreak/>
        <w:t>Xu, L., H. Chen, X. Hu, R. Zhang, Z. Zhang</w:t>
      </w:r>
      <w:r w:rsidRPr="00B317C6">
        <w:rPr>
          <w:i/>
        </w:rPr>
        <w:t xml:space="preserve"> et al.</w:t>
      </w:r>
      <w:r w:rsidRPr="00B317C6">
        <w:t>, 2006 Average gene length is highly conserved in prokaryotes and eukaryotes and diverges only between the two kingdoms. Mol Biol Evol 23</w:t>
      </w:r>
      <w:r w:rsidRPr="00B317C6">
        <w:rPr>
          <w:b/>
        </w:rPr>
        <w:t>:</w:t>
      </w:r>
      <w:r w:rsidRPr="00B317C6">
        <w:t xml:space="preserve"> 1107-1108.</w:t>
      </w:r>
    </w:p>
    <w:p w14:paraId="1C337693" w14:textId="7B10D949"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4&lt;/item&gt;&lt;item&gt;26&lt;/item&gt;&lt;item&gt;27&lt;/item&gt;&lt;item&gt;66&lt;/item&gt;&lt;item&gt;70&lt;/item&gt;&lt;item&gt;97&lt;/item&gt;&lt;item&gt;129&lt;/item&gt;&lt;item&gt;133&lt;/item&gt;&lt;item&gt;152&lt;/item&gt;&lt;item&gt;153&lt;/item&gt;&lt;item&gt;154&lt;/item&gt;&lt;item&gt;155&lt;/item&gt;&lt;item&gt;156&lt;/item&gt;&lt;item&gt;157&lt;/item&gt;&lt;item&gt;158&lt;/item&gt;&lt;item&gt;159&lt;/item&gt;&lt;item&gt;160&lt;/item&gt;&lt;/record-ids&gt;&lt;/item&gt;&lt;/Libraries&gt;"/>
  </w:docVars>
  <w:rsids>
    <w:rsidRoot w:val="004F0C57"/>
    <w:rsid w:val="00007E00"/>
    <w:rsid w:val="0001140F"/>
    <w:rsid w:val="00013167"/>
    <w:rsid w:val="00013215"/>
    <w:rsid w:val="000145DD"/>
    <w:rsid w:val="000148E6"/>
    <w:rsid w:val="00023792"/>
    <w:rsid w:val="00026414"/>
    <w:rsid w:val="00030268"/>
    <w:rsid w:val="000338FD"/>
    <w:rsid w:val="00034011"/>
    <w:rsid w:val="00055CC2"/>
    <w:rsid w:val="0005601C"/>
    <w:rsid w:val="000565C4"/>
    <w:rsid w:val="00086730"/>
    <w:rsid w:val="00094A10"/>
    <w:rsid w:val="000A17B9"/>
    <w:rsid w:val="000A5207"/>
    <w:rsid w:val="000A78C8"/>
    <w:rsid w:val="000B6C20"/>
    <w:rsid w:val="000C19EF"/>
    <w:rsid w:val="000D52A0"/>
    <w:rsid w:val="000E7C40"/>
    <w:rsid w:val="000F0531"/>
    <w:rsid w:val="00101F4B"/>
    <w:rsid w:val="00104F20"/>
    <w:rsid w:val="0010672C"/>
    <w:rsid w:val="00110238"/>
    <w:rsid w:val="00111B61"/>
    <w:rsid w:val="00116403"/>
    <w:rsid w:val="00116AEC"/>
    <w:rsid w:val="0011724E"/>
    <w:rsid w:val="00126EB6"/>
    <w:rsid w:val="00127C5F"/>
    <w:rsid w:val="00131663"/>
    <w:rsid w:val="001329BF"/>
    <w:rsid w:val="00134820"/>
    <w:rsid w:val="0013636E"/>
    <w:rsid w:val="00137A3B"/>
    <w:rsid w:val="00140D67"/>
    <w:rsid w:val="0014342C"/>
    <w:rsid w:val="001453C0"/>
    <w:rsid w:val="001463EA"/>
    <w:rsid w:val="001525A9"/>
    <w:rsid w:val="00154450"/>
    <w:rsid w:val="00156C50"/>
    <w:rsid w:val="001746A2"/>
    <w:rsid w:val="00175EF6"/>
    <w:rsid w:val="001775B8"/>
    <w:rsid w:val="001843C9"/>
    <w:rsid w:val="00185B2B"/>
    <w:rsid w:val="00195473"/>
    <w:rsid w:val="001A09EB"/>
    <w:rsid w:val="001A6709"/>
    <w:rsid w:val="001A77F8"/>
    <w:rsid w:val="001C11E6"/>
    <w:rsid w:val="001C4144"/>
    <w:rsid w:val="001C465B"/>
    <w:rsid w:val="001C6F41"/>
    <w:rsid w:val="001D2170"/>
    <w:rsid w:val="001D7B57"/>
    <w:rsid w:val="001E2A26"/>
    <w:rsid w:val="001E45A9"/>
    <w:rsid w:val="001E5A0A"/>
    <w:rsid w:val="001E75DE"/>
    <w:rsid w:val="001F7463"/>
    <w:rsid w:val="002062FA"/>
    <w:rsid w:val="00207704"/>
    <w:rsid w:val="002107AD"/>
    <w:rsid w:val="00213F3E"/>
    <w:rsid w:val="00216D8C"/>
    <w:rsid w:val="002236D4"/>
    <w:rsid w:val="0022375E"/>
    <w:rsid w:val="00223B5C"/>
    <w:rsid w:val="00225F14"/>
    <w:rsid w:val="00231959"/>
    <w:rsid w:val="00244216"/>
    <w:rsid w:val="00251C84"/>
    <w:rsid w:val="00252178"/>
    <w:rsid w:val="00254E87"/>
    <w:rsid w:val="00260698"/>
    <w:rsid w:val="00261DAC"/>
    <w:rsid w:val="00264C81"/>
    <w:rsid w:val="00272A74"/>
    <w:rsid w:val="0028160A"/>
    <w:rsid w:val="002816DF"/>
    <w:rsid w:val="00285B32"/>
    <w:rsid w:val="00293F52"/>
    <w:rsid w:val="0029447D"/>
    <w:rsid w:val="002A06F1"/>
    <w:rsid w:val="002A417C"/>
    <w:rsid w:val="002B286E"/>
    <w:rsid w:val="002B3D60"/>
    <w:rsid w:val="002B6382"/>
    <w:rsid w:val="002B6AEB"/>
    <w:rsid w:val="002C10C6"/>
    <w:rsid w:val="002C408E"/>
    <w:rsid w:val="002C6592"/>
    <w:rsid w:val="002D2218"/>
    <w:rsid w:val="002D3AFB"/>
    <w:rsid w:val="002D5442"/>
    <w:rsid w:val="002E138D"/>
    <w:rsid w:val="002E28E0"/>
    <w:rsid w:val="002E5721"/>
    <w:rsid w:val="002F00AC"/>
    <w:rsid w:val="003027A4"/>
    <w:rsid w:val="00303066"/>
    <w:rsid w:val="00313F85"/>
    <w:rsid w:val="00316740"/>
    <w:rsid w:val="00321F8E"/>
    <w:rsid w:val="00332BE3"/>
    <w:rsid w:val="00334741"/>
    <w:rsid w:val="00337A3D"/>
    <w:rsid w:val="003539B9"/>
    <w:rsid w:val="00354519"/>
    <w:rsid w:val="00370DEA"/>
    <w:rsid w:val="00376C8E"/>
    <w:rsid w:val="00380507"/>
    <w:rsid w:val="00390426"/>
    <w:rsid w:val="00395219"/>
    <w:rsid w:val="003A1132"/>
    <w:rsid w:val="003A3DF1"/>
    <w:rsid w:val="003A6FA5"/>
    <w:rsid w:val="003B3051"/>
    <w:rsid w:val="003B71FA"/>
    <w:rsid w:val="003C0FFD"/>
    <w:rsid w:val="003C13A0"/>
    <w:rsid w:val="003D05BF"/>
    <w:rsid w:val="003D331B"/>
    <w:rsid w:val="003E02F0"/>
    <w:rsid w:val="003E2D3D"/>
    <w:rsid w:val="003E42BB"/>
    <w:rsid w:val="003E72C0"/>
    <w:rsid w:val="003F6258"/>
    <w:rsid w:val="003F73C8"/>
    <w:rsid w:val="003F7645"/>
    <w:rsid w:val="00422EA1"/>
    <w:rsid w:val="0042703B"/>
    <w:rsid w:val="004270CD"/>
    <w:rsid w:val="004300F2"/>
    <w:rsid w:val="0043696D"/>
    <w:rsid w:val="00437AD1"/>
    <w:rsid w:val="0044538A"/>
    <w:rsid w:val="00445817"/>
    <w:rsid w:val="004567F3"/>
    <w:rsid w:val="0046292B"/>
    <w:rsid w:val="00462F32"/>
    <w:rsid w:val="004669DC"/>
    <w:rsid w:val="00467A73"/>
    <w:rsid w:val="00470115"/>
    <w:rsid w:val="00487561"/>
    <w:rsid w:val="00490AD2"/>
    <w:rsid w:val="00494E5C"/>
    <w:rsid w:val="004953B6"/>
    <w:rsid w:val="004A0BB9"/>
    <w:rsid w:val="004B05A5"/>
    <w:rsid w:val="004B1416"/>
    <w:rsid w:val="004B1956"/>
    <w:rsid w:val="004B3AD4"/>
    <w:rsid w:val="004B4692"/>
    <w:rsid w:val="004B786B"/>
    <w:rsid w:val="004C63D1"/>
    <w:rsid w:val="004D21B7"/>
    <w:rsid w:val="004D4A4F"/>
    <w:rsid w:val="004D5EB8"/>
    <w:rsid w:val="004E0ECF"/>
    <w:rsid w:val="004E2F6B"/>
    <w:rsid w:val="004E5966"/>
    <w:rsid w:val="004F0C57"/>
    <w:rsid w:val="004F7619"/>
    <w:rsid w:val="0050335C"/>
    <w:rsid w:val="00521BDE"/>
    <w:rsid w:val="00523F2A"/>
    <w:rsid w:val="00527FB6"/>
    <w:rsid w:val="00545C7E"/>
    <w:rsid w:val="00561508"/>
    <w:rsid w:val="00562583"/>
    <w:rsid w:val="00563568"/>
    <w:rsid w:val="00564ED3"/>
    <w:rsid w:val="00567DCF"/>
    <w:rsid w:val="00576558"/>
    <w:rsid w:val="005930F4"/>
    <w:rsid w:val="00593BDF"/>
    <w:rsid w:val="005A16E0"/>
    <w:rsid w:val="005A33AA"/>
    <w:rsid w:val="005A3B84"/>
    <w:rsid w:val="005A3FE8"/>
    <w:rsid w:val="005B324A"/>
    <w:rsid w:val="005B7EF5"/>
    <w:rsid w:val="005C3EB4"/>
    <w:rsid w:val="005D3309"/>
    <w:rsid w:val="005D5C1F"/>
    <w:rsid w:val="00600A5E"/>
    <w:rsid w:val="00605CD1"/>
    <w:rsid w:val="0061349B"/>
    <w:rsid w:val="00615120"/>
    <w:rsid w:val="006220DA"/>
    <w:rsid w:val="0062262A"/>
    <w:rsid w:val="006278B7"/>
    <w:rsid w:val="00627FDB"/>
    <w:rsid w:val="00641FB8"/>
    <w:rsid w:val="00644A27"/>
    <w:rsid w:val="0064752F"/>
    <w:rsid w:val="00650703"/>
    <w:rsid w:val="006614CA"/>
    <w:rsid w:val="00661621"/>
    <w:rsid w:val="006661CB"/>
    <w:rsid w:val="00670465"/>
    <w:rsid w:val="00671225"/>
    <w:rsid w:val="006827A1"/>
    <w:rsid w:val="006834F1"/>
    <w:rsid w:val="00684609"/>
    <w:rsid w:val="0069389C"/>
    <w:rsid w:val="00694149"/>
    <w:rsid w:val="006943D2"/>
    <w:rsid w:val="006A41CE"/>
    <w:rsid w:val="006A5980"/>
    <w:rsid w:val="006B6C5E"/>
    <w:rsid w:val="006C2FF1"/>
    <w:rsid w:val="006C35AB"/>
    <w:rsid w:val="006D15A5"/>
    <w:rsid w:val="006D2E7D"/>
    <w:rsid w:val="006E0C52"/>
    <w:rsid w:val="006F0488"/>
    <w:rsid w:val="006F5D7C"/>
    <w:rsid w:val="00705975"/>
    <w:rsid w:val="00715667"/>
    <w:rsid w:val="0071606A"/>
    <w:rsid w:val="007410E2"/>
    <w:rsid w:val="00742DB2"/>
    <w:rsid w:val="00743ED1"/>
    <w:rsid w:val="00747EBA"/>
    <w:rsid w:val="00750B46"/>
    <w:rsid w:val="00752EB2"/>
    <w:rsid w:val="0075385C"/>
    <w:rsid w:val="0076067A"/>
    <w:rsid w:val="00766EE2"/>
    <w:rsid w:val="00767477"/>
    <w:rsid w:val="007836DB"/>
    <w:rsid w:val="00784E88"/>
    <w:rsid w:val="00794E91"/>
    <w:rsid w:val="007A055C"/>
    <w:rsid w:val="007B2A4B"/>
    <w:rsid w:val="007B2B62"/>
    <w:rsid w:val="007C70D0"/>
    <w:rsid w:val="007C7F38"/>
    <w:rsid w:val="007D7DA5"/>
    <w:rsid w:val="007E383D"/>
    <w:rsid w:val="007E653D"/>
    <w:rsid w:val="007F39D0"/>
    <w:rsid w:val="007F3EDF"/>
    <w:rsid w:val="007F6053"/>
    <w:rsid w:val="00806FBF"/>
    <w:rsid w:val="00807D63"/>
    <w:rsid w:val="00811DD4"/>
    <w:rsid w:val="00826D70"/>
    <w:rsid w:val="008349C8"/>
    <w:rsid w:val="00835609"/>
    <w:rsid w:val="00854026"/>
    <w:rsid w:val="008563F4"/>
    <w:rsid w:val="00862DBD"/>
    <w:rsid w:val="00867601"/>
    <w:rsid w:val="008703C8"/>
    <w:rsid w:val="00876045"/>
    <w:rsid w:val="00890206"/>
    <w:rsid w:val="00895210"/>
    <w:rsid w:val="00896468"/>
    <w:rsid w:val="0089662F"/>
    <w:rsid w:val="00897D18"/>
    <w:rsid w:val="008A04E0"/>
    <w:rsid w:val="008A1502"/>
    <w:rsid w:val="008A2847"/>
    <w:rsid w:val="008B1923"/>
    <w:rsid w:val="008D078B"/>
    <w:rsid w:val="008D0C69"/>
    <w:rsid w:val="008D4724"/>
    <w:rsid w:val="008F235D"/>
    <w:rsid w:val="0090468E"/>
    <w:rsid w:val="00913620"/>
    <w:rsid w:val="00915125"/>
    <w:rsid w:val="00917656"/>
    <w:rsid w:val="00924B41"/>
    <w:rsid w:val="009302A4"/>
    <w:rsid w:val="009348D8"/>
    <w:rsid w:val="00952652"/>
    <w:rsid w:val="00957C39"/>
    <w:rsid w:val="009623F1"/>
    <w:rsid w:val="00976B70"/>
    <w:rsid w:val="00976FCF"/>
    <w:rsid w:val="00980383"/>
    <w:rsid w:val="00981368"/>
    <w:rsid w:val="00984986"/>
    <w:rsid w:val="009905AA"/>
    <w:rsid w:val="00993860"/>
    <w:rsid w:val="00994321"/>
    <w:rsid w:val="009A23CA"/>
    <w:rsid w:val="009A464C"/>
    <w:rsid w:val="009A6796"/>
    <w:rsid w:val="009B1353"/>
    <w:rsid w:val="009B3896"/>
    <w:rsid w:val="009B5521"/>
    <w:rsid w:val="009C2C14"/>
    <w:rsid w:val="009C4CC6"/>
    <w:rsid w:val="009D0D47"/>
    <w:rsid w:val="009D4A51"/>
    <w:rsid w:val="009D572C"/>
    <w:rsid w:val="009D5B9C"/>
    <w:rsid w:val="009E14EC"/>
    <w:rsid w:val="009E28DE"/>
    <w:rsid w:val="00A02701"/>
    <w:rsid w:val="00A056F7"/>
    <w:rsid w:val="00A06DD5"/>
    <w:rsid w:val="00A12520"/>
    <w:rsid w:val="00A17EAD"/>
    <w:rsid w:val="00A2270D"/>
    <w:rsid w:val="00A22B5B"/>
    <w:rsid w:val="00A2552C"/>
    <w:rsid w:val="00A444BB"/>
    <w:rsid w:val="00A54AFE"/>
    <w:rsid w:val="00A62907"/>
    <w:rsid w:val="00A63C6E"/>
    <w:rsid w:val="00A72E83"/>
    <w:rsid w:val="00A83601"/>
    <w:rsid w:val="00A85692"/>
    <w:rsid w:val="00A87266"/>
    <w:rsid w:val="00A879B2"/>
    <w:rsid w:val="00A95E48"/>
    <w:rsid w:val="00AB4E76"/>
    <w:rsid w:val="00AB53A2"/>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7C6"/>
    <w:rsid w:val="00B31E46"/>
    <w:rsid w:val="00B32810"/>
    <w:rsid w:val="00B34A3B"/>
    <w:rsid w:val="00B3652F"/>
    <w:rsid w:val="00B43D42"/>
    <w:rsid w:val="00B5034A"/>
    <w:rsid w:val="00B55D73"/>
    <w:rsid w:val="00B66FAF"/>
    <w:rsid w:val="00B71BD6"/>
    <w:rsid w:val="00B7464A"/>
    <w:rsid w:val="00B81338"/>
    <w:rsid w:val="00B81C6E"/>
    <w:rsid w:val="00B84227"/>
    <w:rsid w:val="00B93C9D"/>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572BD"/>
    <w:rsid w:val="00C642BC"/>
    <w:rsid w:val="00C81D6D"/>
    <w:rsid w:val="00C95026"/>
    <w:rsid w:val="00C95F6B"/>
    <w:rsid w:val="00CA3EE7"/>
    <w:rsid w:val="00CA5672"/>
    <w:rsid w:val="00CA661D"/>
    <w:rsid w:val="00CC3DA5"/>
    <w:rsid w:val="00CC77F7"/>
    <w:rsid w:val="00CD5941"/>
    <w:rsid w:val="00CE02EC"/>
    <w:rsid w:val="00CE3531"/>
    <w:rsid w:val="00CE774A"/>
    <w:rsid w:val="00CF3C11"/>
    <w:rsid w:val="00D035BE"/>
    <w:rsid w:val="00D03748"/>
    <w:rsid w:val="00D175F6"/>
    <w:rsid w:val="00D244C3"/>
    <w:rsid w:val="00D33077"/>
    <w:rsid w:val="00D36D3F"/>
    <w:rsid w:val="00D46F7A"/>
    <w:rsid w:val="00D533B9"/>
    <w:rsid w:val="00D54DC2"/>
    <w:rsid w:val="00D642CC"/>
    <w:rsid w:val="00D72F80"/>
    <w:rsid w:val="00D74B21"/>
    <w:rsid w:val="00D82638"/>
    <w:rsid w:val="00D85648"/>
    <w:rsid w:val="00D952B4"/>
    <w:rsid w:val="00DA3108"/>
    <w:rsid w:val="00DA5DB8"/>
    <w:rsid w:val="00DB1515"/>
    <w:rsid w:val="00DB3412"/>
    <w:rsid w:val="00DB3C2C"/>
    <w:rsid w:val="00DB6553"/>
    <w:rsid w:val="00DC08B5"/>
    <w:rsid w:val="00DD1F75"/>
    <w:rsid w:val="00DD5C25"/>
    <w:rsid w:val="00DE23FE"/>
    <w:rsid w:val="00DE75E1"/>
    <w:rsid w:val="00DF137C"/>
    <w:rsid w:val="00E0611C"/>
    <w:rsid w:val="00E11C3E"/>
    <w:rsid w:val="00E1306F"/>
    <w:rsid w:val="00E13A54"/>
    <w:rsid w:val="00E141DE"/>
    <w:rsid w:val="00E147CA"/>
    <w:rsid w:val="00E2557D"/>
    <w:rsid w:val="00E27891"/>
    <w:rsid w:val="00E316DF"/>
    <w:rsid w:val="00E545B1"/>
    <w:rsid w:val="00E56334"/>
    <w:rsid w:val="00E630D0"/>
    <w:rsid w:val="00E718A1"/>
    <w:rsid w:val="00E71B5A"/>
    <w:rsid w:val="00E82625"/>
    <w:rsid w:val="00E84CEB"/>
    <w:rsid w:val="00EA1E67"/>
    <w:rsid w:val="00EA3377"/>
    <w:rsid w:val="00EB3C50"/>
    <w:rsid w:val="00EB735F"/>
    <w:rsid w:val="00ED18BB"/>
    <w:rsid w:val="00ED2FDB"/>
    <w:rsid w:val="00ED49CB"/>
    <w:rsid w:val="00ED73A8"/>
    <w:rsid w:val="00EF444B"/>
    <w:rsid w:val="00EF4938"/>
    <w:rsid w:val="00EF7908"/>
    <w:rsid w:val="00F04D37"/>
    <w:rsid w:val="00F120DB"/>
    <w:rsid w:val="00F147D5"/>
    <w:rsid w:val="00F17580"/>
    <w:rsid w:val="00F21383"/>
    <w:rsid w:val="00F2298B"/>
    <w:rsid w:val="00F3005C"/>
    <w:rsid w:val="00F33542"/>
    <w:rsid w:val="00F51A26"/>
    <w:rsid w:val="00F56DE6"/>
    <w:rsid w:val="00F63F27"/>
    <w:rsid w:val="00F6621B"/>
    <w:rsid w:val="00F71B00"/>
    <w:rsid w:val="00F72186"/>
    <w:rsid w:val="00F731BF"/>
    <w:rsid w:val="00F77E1D"/>
    <w:rsid w:val="00F840E0"/>
    <w:rsid w:val="00F93E1B"/>
    <w:rsid w:val="00F9461E"/>
    <w:rsid w:val="00F9643C"/>
    <w:rsid w:val="00FA5458"/>
    <w:rsid w:val="00FA6A2D"/>
    <w:rsid w:val="00FA6E19"/>
    <w:rsid w:val="00FA75EE"/>
    <w:rsid w:val="00FA7980"/>
    <w:rsid w:val="00FA7F4B"/>
    <w:rsid w:val="00FB0206"/>
    <w:rsid w:val="00FB40E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9E02E9-3640-4D4E-8819-6440FF9D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19308</TotalTime>
  <Pages>13</Pages>
  <Words>6300</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Nick</cp:lastModifiedBy>
  <cp:revision>385</cp:revision>
  <dcterms:created xsi:type="dcterms:W3CDTF">2020-08-30T04:22:00Z</dcterms:created>
  <dcterms:modified xsi:type="dcterms:W3CDTF">2020-10-22T02:03:00Z</dcterms:modified>
</cp:coreProperties>
</file>