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proofErr w:type="spellStart"/>
      <w:r>
        <w:t>SLiM</w:t>
      </w:r>
      <w:proofErr w:type="spellEnd"/>
      <w:r>
        <w:t xml:space="preserve"> as a tool to computationally study these effects over long time scales</w:t>
      </w:r>
    </w:p>
    <w:p w14:paraId="34C5287C" w14:textId="0086DA92" w:rsidR="00E11C3E" w:rsidRDefault="00E11C3E" w:rsidP="00E11C3E">
      <w:pPr>
        <w:pStyle w:val="ListParagraph"/>
        <w:numPr>
          <w:ilvl w:val="0"/>
          <w:numId w:val="1"/>
        </w:numPr>
      </w:pPr>
      <w:r>
        <w:t xml:space="preserve">Introduction of aims – to quantify the effects of deleterious mutation and pleiotropy on neutral evolution in an intermediate-sized population &amp; to quantify the effects of del </w:t>
      </w:r>
      <w:proofErr w:type="spellStart"/>
      <w:r>
        <w:t>muts</w:t>
      </w:r>
      <w:proofErr w:type="spellEnd"/>
      <w:r>
        <w:t xml:space="preserve"> and </w:t>
      </w:r>
      <w:proofErr w:type="spellStart"/>
      <w:r>
        <w:t>pleio</w:t>
      </w:r>
      <w:proofErr w:type="spellEnd"/>
      <w:r>
        <w:t xml:space="preserve">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proofErr w:type="gramStart"/>
      <w:r>
        <w:rPr>
          <w:lang w:val="en-US"/>
        </w:rPr>
        <w:t>where</w:t>
      </w:r>
      <w:proofErr w:type="gramEnd"/>
      <w:r>
        <w:rPr>
          <w:lang w:val="en-US"/>
        </w:rPr>
        <w:t xml:space="preserv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64752F"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64752F"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64752F"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643A6A3D"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Heteroscedasticity was accounted for using </w:t>
      </w:r>
      <w:proofErr w:type="spellStart"/>
      <w:r w:rsidR="00F840E0">
        <w:rPr>
          <w:lang w:val="en-US"/>
        </w:rPr>
        <w:t>Eicker</w:t>
      </w:r>
      <w:proofErr w:type="spellEnd"/>
      <w:r w:rsidR="00F840E0">
        <w:rPr>
          <w:lang w:val="en-US"/>
        </w:rPr>
        <w:t>-Hubert-White</w:t>
      </w:r>
      <w:r w:rsidR="003E72C0">
        <w:rPr>
          <w:lang w:val="en-US"/>
        </w:rPr>
        <w:t xml:space="preserve"> (EHW)</w:t>
      </w:r>
      <w:r w:rsidR="00F840E0">
        <w:rPr>
          <w:lang w:val="en-US"/>
        </w:rPr>
        <w:t xml:space="preserve"> robust standard errors</w:t>
      </w:r>
      <w:r w:rsidR="005D5C1F">
        <w:rPr>
          <w:lang w:val="en-US"/>
        </w:rPr>
        <w:t xml:space="preserve">, although owing to the large </w:t>
      </w:r>
      <w:r w:rsidR="00743ED1">
        <w:rPr>
          <w:lang w:val="en-US"/>
        </w:rPr>
        <w:t>sample size, this adjustment had minimal effect on t-statistics</w:t>
      </w:r>
      <w:r w:rsidR="00F840E0">
        <w:rPr>
          <w:lang w:val="en-US"/>
        </w:rPr>
        <w:t xml:space="preserve"> </w: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 </w:instrTex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EN.CITE.DATA </w:instrText>
      </w:r>
      <w:r w:rsidR="00F840E0">
        <w:rPr>
          <w:lang w:val="en-US"/>
        </w:rPr>
      </w:r>
      <w:r w:rsidR="00F840E0">
        <w:rPr>
          <w:lang w:val="en-US"/>
        </w:rPr>
        <w:fldChar w:fldCharType="end"/>
      </w:r>
      <w:r w:rsidR="00F840E0">
        <w:rPr>
          <w:lang w:val="en-US"/>
        </w:rPr>
      </w:r>
      <w:r w:rsidR="00F840E0">
        <w:rPr>
          <w:lang w:val="en-US"/>
        </w:rPr>
        <w:fldChar w:fldCharType="separate"/>
      </w:r>
      <w:r w:rsidR="00F840E0">
        <w:rPr>
          <w:noProof/>
          <w:lang w:val="en-US"/>
        </w:rPr>
        <w:t>(</w:t>
      </w:r>
      <w:r w:rsidR="00F840E0" w:rsidRPr="00F840E0">
        <w:rPr>
          <w:smallCaps/>
          <w:noProof/>
          <w:lang w:val="en-US"/>
        </w:rPr>
        <w:t>Eicker</w:t>
      </w:r>
      <w:r w:rsidR="00F840E0">
        <w:rPr>
          <w:noProof/>
          <w:lang w:val="en-US"/>
        </w:rPr>
        <w:t xml:space="preserve"> 1967; </w:t>
      </w:r>
      <w:r w:rsidR="00F840E0" w:rsidRPr="00F840E0">
        <w:rPr>
          <w:smallCaps/>
          <w:noProof/>
          <w:lang w:val="en-US"/>
        </w:rPr>
        <w:t>Huber</w:t>
      </w:r>
      <w:r w:rsidR="00F840E0">
        <w:rPr>
          <w:noProof/>
          <w:lang w:val="en-US"/>
        </w:rPr>
        <w:t xml:space="preserve"> 1967; </w:t>
      </w:r>
      <w:r w:rsidR="00F840E0" w:rsidRPr="00F840E0">
        <w:rPr>
          <w:smallCaps/>
          <w:noProof/>
          <w:lang w:val="en-US"/>
        </w:rPr>
        <w:t>White</w:t>
      </w:r>
      <w:r w:rsidR="00F840E0">
        <w:rPr>
          <w:noProof/>
          <w:lang w:val="en-US"/>
        </w:rPr>
        <w:t xml:space="preserve"> 1980)</w:t>
      </w:r>
      <w:r w:rsidR="00F840E0">
        <w:rPr>
          <w:lang w:val="en-US"/>
        </w:rPr>
        <w:fldChar w:fldCharType="end"/>
      </w:r>
      <w:r w:rsidR="00F840E0">
        <w:rPr>
          <w:lang w:val="en-US"/>
        </w:rPr>
        <w:t>.</w:t>
      </w:r>
    </w:p>
    <w:p w14:paraId="5D052254" w14:textId="70F0E92F"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E72C0">
        <w:rPr>
          <w:lang w:val="en-US"/>
        </w:rPr>
        <w:t>multiple regression with EHW errors</w:t>
      </w:r>
      <w:r w:rsidR="00641FB8">
        <w:rPr>
          <w:lang w:val="en-US"/>
        </w:rPr>
        <w:t xml:space="preserve"> (comparing only first-order interactions between predictor variables)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3E72C0">
        <w:rPr>
          <w:lang w:val="en-US"/>
        </w:rPr>
        <w:t>least-square</w:t>
      </w:r>
      <w:r w:rsidR="00576558">
        <w:rPr>
          <w:lang w:val="en-US"/>
        </w:rPr>
        <w:t xml:space="preserve">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2B6B079F"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the ‘</w:t>
      </w:r>
      <w:proofErr w:type="spellStart"/>
      <w:r w:rsidR="002B286E">
        <w:rPr>
          <w:lang w:val="en-US"/>
        </w:rPr>
        <w:t>vcvComp</w:t>
      </w:r>
      <w:proofErr w:type="spellEnd"/>
      <w:r w:rsidR="002B286E">
        <w:rPr>
          <w:lang w:val="en-US"/>
        </w:rPr>
        <w:t xml:space="preserve">’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w:t>
      </w:r>
      <w:r w:rsidR="003E72C0">
        <w:rPr>
          <w:lang w:val="en-US"/>
        </w:rPr>
        <w:t>pairs of</w:t>
      </w:r>
      <w:r w:rsidR="004D4A4F">
        <w:rPr>
          <w:lang w:val="en-US"/>
        </w:rPr>
        <w:t xml:space="preserve">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72E22A20" w:rsidR="001E2A26" w:rsidRDefault="00576558" w:rsidP="00FB0206">
      <w:pPr>
        <w:rPr>
          <w:lang w:val="en-US"/>
        </w:rPr>
      </w:pPr>
      <w:r>
        <w:rPr>
          <w:lang w:val="en-US"/>
        </w:rPr>
        <w:t xml:space="preserve">Using a similar methodology to my ellipse analysis, I used </w:t>
      </w:r>
      <w:r w:rsidR="003E72C0">
        <w:rPr>
          <w:lang w:val="en-US"/>
        </w:rPr>
        <w:t xml:space="preserve">multiple regression </w:t>
      </w:r>
      <w:r>
        <w:rPr>
          <w:lang w:val="en-US"/>
        </w:rPr>
        <w:t>to compare log generalized variances between groups. I then</w:t>
      </w:r>
      <w:r w:rsidR="0001140F">
        <w:rPr>
          <w:lang w:val="en-US"/>
        </w:rPr>
        <w:t xml:space="preserve"> computed post-hoc least-square</w:t>
      </w:r>
      <w:r>
        <w:rPr>
          <w:lang w:val="en-US"/>
        </w:rPr>
        <w:t xml:space="preserve"> means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01140F">
        <w:rPr>
          <w:lang w:val="en-US"/>
        </w:rPr>
        <w:t>using Kolmogorov-Smirnov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76CAD7DC" w:rsidR="00316740" w:rsidRDefault="00994321" w:rsidP="00FB0206">
      <w:pPr>
        <w:rPr>
          <w:rFonts w:eastAsiaTheme="minorEastAsia"/>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xml:space="preserve">, in statistical models. </w:t>
      </w:r>
      <w:r w:rsidR="00316740">
        <w:rPr>
          <w:rFonts w:eastAsiaTheme="minorEastAsia"/>
          <w:lang w:val="en-US"/>
        </w:rPr>
        <w:t xml:space="preserve">I grouped the five predictors into bins as with the null model, but included selection strength as another parameter to compare these parameters against. </w:t>
      </w:r>
    </w:p>
    <w:p w14:paraId="318FAE5C" w14:textId="77777777" w:rsidR="00316740" w:rsidRDefault="00316740" w:rsidP="00FB0206">
      <w:pPr>
        <w:rPr>
          <w:rFonts w:eastAsiaTheme="minorEastAsia"/>
          <w:lang w:val="en-US"/>
        </w:rPr>
      </w:pPr>
    </w:p>
    <w:p w14:paraId="300A83BF" w14:textId="1E6D0B35" w:rsidR="0043696D" w:rsidRDefault="00316740" w:rsidP="0043696D">
      <w:pPr>
        <w:pStyle w:val="Heading2"/>
      </w:pPr>
      <w:r>
        <w:t>Null/selection comparisons</w:t>
      </w:r>
    </w:p>
    <w:p w14:paraId="5853BB68" w14:textId="1530B762" w:rsidR="0043696D" w:rsidRDefault="0043696D" w:rsidP="0043696D">
      <w:pPr>
        <w:rPr>
          <w:lang w:val="en-US"/>
        </w:rPr>
      </w:pPr>
      <w:r>
        <w:rPr>
          <w:lang w:val="en-US"/>
        </w:rPr>
        <w:t xml:space="preserve">For analysis, each parameter was grouped into three categories: low, medium, and high, with each bin containing a third of the total data. </w:t>
      </w:r>
      <m:oMath>
        <m:r>
          <w:rPr>
            <w:rFonts w:ascii="Cambria Math" w:eastAsiaTheme="minorEastAsia" w:hAnsi="Cambria Math"/>
            <w:lang w:val="en-US"/>
          </w:rPr>
          <m:t>τ</m:t>
        </m:r>
        <m:r>
          <w:rPr>
            <w:rFonts w:ascii="Cambria Math" w:eastAsiaTheme="minorEastAsia" w:hAnsi="Cambria Math"/>
            <w:lang w:val="en-US"/>
          </w:rPr>
          <m:t xml:space="preserve"> </m:t>
        </m:r>
      </m:oMath>
      <w:proofErr w:type="gramStart"/>
      <w:r w:rsidR="00261DAC">
        <w:rPr>
          <w:rFonts w:eastAsiaTheme="minorEastAsia"/>
          <w:lang w:val="en-US"/>
        </w:rPr>
        <w:t>was</w:t>
      </w:r>
      <w:proofErr w:type="gramEnd"/>
      <w:r w:rsidR="00261DAC">
        <w:rPr>
          <w:rFonts w:eastAsiaTheme="minorEastAsia"/>
          <w:lang w:val="en-US"/>
        </w:rPr>
        <w:t xml:space="preserve"> the exception to this, with a </w:t>
      </w:r>
      <w:r>
        <w:rPr>
          <w:rFonts w:eastAsiaTheme="minorEastAsia"/>
          <w:lang w:val="en-US"/>
        </w:rPr>
        <w:t xml:space="preserve">fourth bin, null, describing the neutral models with no </w:t>
      </w:r>
      <m:oMath>
        <m:r>
          <w:rPr>
            <w:rFonts w:ascii="Cambria Math" w:eastAsiaTheme="minorEastAsia" w:hAnsi="Cambria Math"/>
            <w:lang w:val="en-US"/>
          </w:rPr>
          <m:t>τ</m:t>
        </m:r>
        <m:r>
          <w:rPr>
            <w:rFonts w:ascii="Cambria Math" w:eastAsiaTheme="minorEastAsia" w:hAnsi="Cambria Math"/>
            <w:lang w:val="en-US"/>
          </w:rPr>
          <m:t xml:space="preserve"> </m:t>
        </m:r>
      </m:oMath>
      <w:r>
        <w:rPr>
          <w:rFonts w:eastAsiaTheme="minorEastAsia"/>
          <w:lang w:val="en-US"/>
        </w:rPr>
        <w:t>value at all.</w:t>
      </w:r>
      <w:r>
        <w:rPr>
          <w:lang w:val="en-US"/>
        </w:rPr>
        <w:t xml:space="preserve"> I used </w:t>
      </w:r>
      <w:proofErr w:type="spellStart"/>
      <w:r>
        <w:rPr>
          <w:lang w:val="en-US"/>
        </w:rPr>
        <w:t>eigentensor</w:t>
      </w:r>
      <w:proofErr w:type="spellEnd"/>
      <w:r>
        <w:rPr>
          <w:lang w:val="en-US"/>
        </w:rPr>
        <w:t xml:space="preserve"> analysis to determine which levels of parameters were responsible for the most divergence in a set </w:t>
      </w:r>
      <w:r w:rsidR="00261DAC">
        <w:rPr>
          <w:lang w:val="en-US"/>
        </w:rPr>
        <w:t>of matrices binned by selection strength.</w:t>
      </w:r>
    </w:p>
    <w:p w14:paraId="7A63593E" w14:textId="19A34BDA" w:rsidR="00ED73A8" w:rsidRDefault="00261DAC" w:rsidP="0043696D">
      <w:pPr>
        <w:rPr>
          <w:lang w:val="en-US"/>
        </w:rPr>
      </w:pPr>
      <w:proofErr w:type="spellStart"/>
      <w:r>
        <w:rPr>
          <w:lang w:val="en-US"/>
        </w:rPr>
        <w:t>Eigentensor</w:t>
      </w:r>
      <w:proofErr w:type="spellEnd"/>
      <w:r>
        <w:rPr>
          <w:lang w:val="en-US"/>
        </w:rPr>
        <w:t xml:space="preserve"> analysis involves the construction of a fourth-order tensor: an array of variance-covariance matrices</w:t>
      </w:r>
      <w:r w:rsidR="0064752F">
        <w:rPr>
          <w:lang w:val="en-US"/>
        </w:rPr>
        <w:t xml:space="preserve">. In this case, these are </w:t>
      </w:r>
      <w:r w:rsidR="0064752F">
        <w:rPr>
          <w:b/>
          <w:lang w:val="en-US"/>
        </w:rPr>
        <w:t>G</w:t>
      </w:r>
      <w:r w:rsidR="0064752F">
        <w:rPr>
          <w:lang w:val="en-US"/>
        </w:rPr>
        <w:t xml:space="preserve"> matrices</w:t>
      </w:r>
      <w:r>
        <w:rPr>
          <w:lang w:val="en-US"/>
        </w:rPr>
        <w:t xml:space="preserve">. This is followed by a ‘flattening’ of this tensor into its </w:t>
      </w:r>
      <w:r>
        <w:rPr>
          <w:b/>
          <w:lang w:val="en-US"/>
        </w:rPr>
        <w:t>S</w:t>
      </w:r>
      <w:r>
        <w:rPr>
          <w:lang w:val="en-US"/>
        </w:rPr>
        <w:t xml:space="preserve"> matrix: a second-order representation of the fourth-order tensor describing the variances and covariances of the elements of the set of matrices </w: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 </w:instrTex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261DAC">
        <w:rPr>
          <w:smallCaps/>
          <w:noProof/>
          <w:lang w:val="en-US"/>
        </w:rPr>
        <w:t>Hine</w:t>
      </w:r>
      <w:r w:rsidRPr="00261DAC">
        <w:rPr>
          <w:i/>
          <w:noProof/>
          <w:lang w:val="en-US"/>
        </w:rPr>
        <w:t xml:space="preserve"> et al.</w:t>
      </w:r>
      <w:r>
        <w:rPr>
          <w:noProof/>
          <w:lang w:val="en-US"/>
        </w:rPr>
        <w:t xml:space="preserve"> 2009; </w:t>
      </w:r>
      <w:r w:rsidRPr="00261DAC">
        <w:rPr>
          <w:smallCaps/>
          <w:noProof/>
          <w:lang w:val="en-US"/>
        </w:rPr>
        <w:t>Aguirre</w:t>
      </w:r>
      <w:r w:rsidRPr="00261DAC">
        <w:rPr>
          <w:i/>
          <w:noProof/>
          <w:lang w:val="en-US"/>
        </w:rPr>
        <w:t xml:space="preserve"> et al.</w:t>
      </w:r>
      <w:r>
        <w:rPr>
          <w:noProof/>
          <w:lang w:val="en-US"/>
        </w:rPr>
        <w:t xml:space="preserve"> 2014; </w:t>
      </w:r>
      <w:r w:rsidRPr="00261DAC">
        <w:rPr>
          <w:smallCaps/>
          <w:noProof/>
          <w:lang w:val="en-US"/>
        </w:rPr>
        <w:t>Walter</w:t>
      </w:r>
      <w:r w:rsidRPr="00261DAC">
        <w:rPr>
          <w:i/>
          <w:noProof/>
          <w:lang w:val="en-US"/>
        </w:rPr>
        <w:t xml:space="preserve"> et al.</w:t>
      </w:r>
      <w:r>
        <w:rPr>
          <w:noProof/>
          <w:lang w:val="en-US"/>
        </w:rPr>
        <w:t xml:space="preserve"> 2018)</w:t>
      </w:r>
      <w:r>
        <w:rPr>
          <w:lang w:val="en-US"/>
        </w:rPr>
        <w:fldChar w:fldCharType="end"/>
      </w:r>
      <w:r>
        <w:rPr>
          <w:lang w:val="en-US"/>
        </w:rPr>
        <w:t xml:space="preserve">. </w:t>
      </w:r>
      <w:proofErr w:type="spellStart"/>
      <w:r w:rsidR="009348D8">
        <w:rPr>
          <w:lang w:val="en-US"/>
        </w:rPr>
        <w:t>Eigenanalysis</w:t>
      </w:r>
      <w:proofErr w:type="spellEnd"/>
      <w:r w:rsidR="009348D8">
        <w:rPr>
          <w:lang w:val="en-US"/>
        </w:rPr>
        <w:t xml:space="preserve"> of the </w:t>
      </w:r>
      <w:r w:rsidR="009348D8">
        <w:rPr>
          <w:b/>
          <w:lang w:val="en-US"/>
        </w:rPr>
        <w:t xml:space="preserve">S </w:t>
      </w:r>
      <w:r w:rsidR="009348D8">
        <w:rPr>
          <w:lang w:val="en-US"/>
        </w:rPr>
        <w:t xml:space="preserve">matrix </w:t>
      </w:r>
      <w:r w:rsidR="00195473">
        <w:rPr>
          <w:lang w:val="en-US"/>
        </w:rPr>
        <w:t>reveals</w:t>
      </w:r>
      <w:r w:rsidR="009348D8">
        <w:rPr>
          <w:lang w:val="en-US"/>
        </w:rPr>
        <w:t xml:space="preserve"> the rotations in </w:t>
      </w:r>
      <w:r w:rsidR="00195473">
        <w:rPr>
          <w:lang w:val="en-US"/>
        </w:rPr>
        <w:t>tensor</w:t>
      </w:r>
      <w:r w:rsidR="009348D8">
        <w:rPr>
          <w:lang w:val="en-US"/>
        </w:rPr>
        <w:t xml:space="preserve"> space that describe the most variation in the </w:t>
      </w:r>
      <w:r w:rsidR="00195473">
        <w:rPr>
          <w:lang w:val="en-US"/>
        </w:rPr>
        <w:t xml:space="preserve">set of matrices. Hence, the first </w:t>
      </w:r>
      <w:proofErr w:type="spellStart"/>
      <w:r w:rsidR="00195473">
        <w:rPr>
          <w:lang w:val="en-US"/>
        </w:rPr>
        <w:t>eigentensor</w:t>
      </w:r>
      <w:proofErr w:type="spellEnd"/>
      <w:r w:rsidR="00195473">
        <w:rPr>
          <w:lang w:val="en-US"/>
        </w:rPr>
        <w:t xml:space="preserve"> is a linear combination of matrices describing the most variation in the original set of matrices </w:t>
      </w:r>
      <w:r w:rsidR="00195473">
        <w:rPr>
          <w:lang w:val="en-US"/>
        </w:rPr>
        <w:fldChar w:fldCharType="begin"/>
      </w:r>
      <w:r w:rsidR="00195473">
        <w:rPr>
          <w:lang w:val="en-US"/>
        </w:rPr>
        <w:instrText xml:space="preserve"> ADDIN EN.CITE &lt;EndNote&gt;&lt;Cite&gt;&lt;Author&gt;Hine&lt;/Author&gt;&lt;Year&gt;2009&lt;/Year&gt;&lt;RecNum&gt;161&lt;/RecNum&gt;&lt;DisplayText&gt;(&lt;style face="smallcaps"&gt;Hine&lt;/style&gt;&lt;style face="italic"&gt; et al.&lt;/style&gt; 2009)&lt;/DisplayText&gt;&lt;record&gt;&lt;rec-number&gt;161&lt;/rec-number&gt;&lt;foreign-keys&gt;&lt;key app="EN" db-id="5ppvfvtxcxr5xnew0zqvex91vs0vv2wxd90d" timestamp="1602561137"&gt;161&lt;/key&gt;&lt;/foreign-keys&gt;&lt;ref-type name="Journal Article"&gt;17&lt;/ref-type&gt;&lt;contributors&gt;&lt;authors&gt;&lt;author&gt;Hine, E.&lt;/author&gt;&lt;author&gt;Chenoweth, S. F.&lt;/author&gt;&lt;author&gt;Rundle, H. D.&lt;/author&gt;&lt;author&gt;Blows, M. W.&lt;/author&gt;&lt;/authors&gt;&lt;/contributors&gt;&lt;auth-address&gt;School of Integrative Biology, University of Queensland, Brisbane, Queensland 4072, Australia. e.hine@uq.edu.au&lt;/auth-address&gt;&lt;titles&gt;&lt;title&gt;Characterizing the evolution of genetic variance using genetic covariance tensors&lt;/title&gt;&lt;secondary-title&gt;Philos Trans R Soc Lond B Biol Sci&lt;/secondary-title&gt;&lt;/titles&gt;&lt;periodical&gt;&lt;full-title&gt;Philos Trans R Soc Lond B Biol Sci&lt;/full-title&gt;&lt;/periodical&gt;&lt;pages&gt;1567-78&lt;/pages&gt;&lt;volume&gt;364&lt;/volume&gt;&lt;number&gt;1523&lt;/number&gt;&lt;edition&gt;2009/05/06&lt;/edition&gt;&lt;keywords&gt;&lt;keyword&gt;Analysis of Variance&lt;/keyword&gt;&lt;keyword&gt;Animals&lt;/keyword&gt;&lt;keyword&gt;Drosophila/*genetics&lt;/keyword&gt;&lt;keyword&gt;*Evolution, Molecular&lt;/keyword&gt;&lt;keyword&gt;*Genetic Variation&lt;/keyword&gt;&lt;keyword&gt;*Genetics, Population&lt;/keyword&gt;&lt;keyword&gt;Male&lt;/keyword&gt;&lt;keyword&gt;*Models, Genetic&lt;/keyword&gt;&lt;keyword&gt;Selection, Genetic&lt;/keyword&gt;&lt;/keywords&gt;&lt;dates&gt;&lt;year&gt;2009&lt;/year&gt;&lt;pub-dates&gt;&lt;date&gt;Jun 12&lt;/date&gt;&lt;/pub-dates&gt;&lt;/dates&gt;&lt;isbn&gt;1471-2970 (Electronic)&amp;#xD;0962-8436 (Linking)&lt;/isbn&gt;&lt;accession-num&gt;19414471&lt;/accession-num&gt;&lt;urls&gt;&lt;related-urls&gt;&lt;url&gt;https://www.ncbi.nlm.nih.gov/pubmed/19414471&lt;/url&gt;&lt;/related-urls&gt;&lt;/urls&gt;&lt;custom2&gt;PMC2691006&lt;/custom2&gt;&lt;electronic-resource-num&gt;10.1098/rstb.2008.0313&lt;/electronic-resource-num&gt;&lt;/record&gt;&lt;/Cite&gt;&lt;/EndNote&gt;</w:instrText>
      </w:r>
      <w:r w:rsidR="00195473">
        <w:rPr>
          <w:lang w:val="en-US"/>
        </w:rPr>
        <w:fldChar w:fldCharType="separate"/>
      </w:r>
      <w:r w:rsidR="00195473">
        <w:rPr>
          <w:noProof/>
          <w:lang w:val="en-US"/>
        </w:rPr>
        <w:t>(</w:t>
      </w:r>
      <w:r w:rsidR="00195473" w:rsidRPr="00195473">
        <w:rPr>
          <w:smallCaps/>
          <w:noProof/>
          <w:lang w:val="en-US"/>
        </w:rPr>
        <w:t>Hine</w:t>
      </w:r>
      <w:r w:rsidR="00195473" w:rsidRPr="00195473">
        <w:rPr>
          <w:i/>
          <w:noProof/>
          <w:lang w:val="en-US"/>
        </w:rPr>
        <w:t xml:space="preserve"> et al.</w:t>
      </w:r>
      <w:r w:rsidR="00195473">
        <w:rPr>
          <w:noProof/>
          <w:lang w:val="en-US"/>
        </w:rPr>
        <w:t xml:space="preserve"> 2009)</w:t>
      </w:r>
      <w:r w:rsidR="00195473">
        <w:rPr>
          <w:lang w:val="en-US"/>
        </w:rPr>
        <w:fldChar w:fldCharType="end"/>
      </w:r>
      <w:r w:rsidR="00195473">
        <w:rPr>
          <w:lang w:val="en-US"/>
        </w:rPr>
        <w:t xml:space="preserve">. </w:t>
      </w:r>
      <w:r w:rsidR="00ED73A8">
        <w:rPr>
          <w:lang w:val="en-US"/>
        </w:rPr>
        <w:t xml:space="preserve">To determine the contribution of a particular matrix to the total </w:t>
      </w:r>
      <w:proofErr w:type="spellStart"/>
      <w:r w:rsidR="00ED73A8">
        <w:rPr>
          <w:lang w:val="en-US"/>
        </w:rPr>
        <w:t>hypervolume</w:t>
      </w:r>
      <w:proofErr w:type="spellEnd"/>
      <w:r w:rsidR="00ED73A8">
        <w:rPr>
          <w:lang w:val="en-US"/>
        </w:rPr>
        <w:t xml:space="preserve"> of matrix differences, the original </w:t>
      </w:r>
      <w:r w:rsidR="0064752F" w:rsidRPr="0064752F">
        <w:rPr>
          <w:b/>
          <w:lang w:val="en-US"/>
        </w:rPr>
        <w:t>G</w:t>
      </w:r>
      <w:r w:rsidR="0064752F">
        <w:rPr>
          <w:lang w:val="en-US"/>
        </w:rPr>
        <w:t xml:space="preserve"> </w:t>
      </w:r>
      <w:r w:rsidR="00ED73A8" w:rsidRPr="0064752F">
        <w:rPr>
          <w:lang w:val="en-US"/>
        </w:rPr>
        <w:t>matrices</w:t>
      </w:r>
      <w:r w:rsidR="00ED73A8">
        <w:rPr>
          <w:lang w:val="en-US"/>
        </w:rPr>
        <w:t xml:space="preserve"> can be projected through an </w:t>
      </w:r>
      <w:proofErr w:type="spellStart"/>
      <w:r w:rsidR="00ED73A8">
        <w:rPr>
          <w:lang w:val="en-US"/>
        </w:rPr>
        <w:t>eigentensor</w:t>
      </w:r>
      <w:proofErr w:type="spellEnd"/>
      <w:r w:rsidR="00ED73A8">
        <w:rPr>
          <w:lang w:val="en-US"/>
        </w:rPr>
        <w:t xml:space="preserve"> via the </w:t>
      </w:r>
      <w:proofErr w:type="spellStart"/>
      <w:r w:rsidR="00ED73A8">
        <w:rPr>
          <w:lang w:val="en-US"/>
        </w:rPr>
        <w:t>Frobenius</w:t>
      </w:r>
      <w:proofErr w:type="spellEnd"/>
      <w:r w:rsidR="00ED73A8">
        <w:rPr>
          <w:lang w:val="en-US"/>
        </w:rPr>
        <w:t xml:space="preserve"> product of the </w:t>
      </w:r>
      <w:r w:rsidR="0064752F">
        <w:rPr>
          <w:lang w:val="en-US"/>
        </w:rPr>
        <w:t xml:space="preserve">matrix and the </w:t>
      </w:r>
      <w:proofErr w:type="spellStart"/>
      <w:r w:rsidR="0064752F">
        <w:rPr>
          <w:lang w:val="en-US"/>
        </w:rPr>
        <w:t>eigentensor</w:t>
      </w:r>
      <w:proofErr w:type="spellEnd"/>
      <w:r w:rsidR="00ED73A8">
        <w:rPr>
          <w:lang w:val="en-US"/>
        </w:rPr>
        <w:t xml:space="preserve"> </w:t>
      </w:r>
      <w:r w:rsidR="00ED73A8">
        <w:rPr>
          <w:lang w:val="en-US"/>
        </w:rPr>
        <w:fldChar w:fldCharType="begin"/>
      </w:r>
      <w:r w:rsidR="00ED73A8">
        <w:rPr>
          <w:lang w:val="en-US"/>
        </w:rPr>
        <w:instrText xml:space="preserve"> ADDIN EN.CITE &lt;EndNote&gt;&lt;Cite&gt;&lt;Author&gt;Walter&lt;/Author&gt;&lt;Year&gt;2018&lt;/Year&gt;&lt;RecNum&gt;29&lt;/RecNum&gt;&lt;DisplayText&gt;(&lt;style face="smallcaps"&gt;Walter&lt;/style&gt;&lt;style face="italic"&gt; et al.&lt;/style&gt; 2018)&lt;/DisplayText&gt;&lt;record&gt;&lt;rec-number&gt;29&lt;/rec-number&gt;&lt;foreign-keys&gt;&lt;key app="EN" db-id="5ppvfvtxcxr5xnew0zqvex91vs0vv2wxd90d" timestamp="1584268996"&gt;29&lt;/key&gt;&lt;/foreign-keys&gt;&lt;ref-type name="Journal Article"&gt;17&lt;/ref-type&gt;&lt;contributors&gt;&lt;authors&gt;&lt;author&gt;Greg M. Walter&lt;/author&gt;&lt;author&gt;J. David Aguirre&lt;/author&gt;&lt;author&gt;Mark W. Blows&lt;/author&gt;&lt;author&gt;Daniel Ortiz-Barrientos&lt;/author&gt;&lt;/authors&gt;&lt;/contributors&gt;&lt;titles&gt;&lt;title&gt;Evolution of Genetic Variance during Adaptive Radiation&lt;/title&gt;&lt;secondary-title&gt;The American Naturalist&lt;/secondary-title&gt;&lt;/titles&gt;&lt;periodical&gt;&lt;full-title&gt;The American Naturalist&lt;/full-title&gt;&lt;/periodical&gt;&lt;pages&gt;E108-E128&lt;/pages&gt;&lt;volume&gt;191&lt;/volume&gt;&lt;number&gt;4&lt;/number&gt;&lt;keywords&gt;&lt;keyword&gt;adaptive radiation,genetic constraint,additive genetic variance,phenotypic divergence,covariance tensor&lt;/keyword&gt;&lt;/keywords&gt;&lt;dates&gt;&lt;year&gt;2018&lt;/year&gt;&lt;/dates&gt;&lt;accession-num&gt;29570402&lt;/accession-num&gt;&lt;urls&gt;&lt;related-urls&gt;&lt;url&gt;https://www.journals.uchicago.edu/doi/abs/10.1086/696123&lt;/url&gt;&lt;/related-urls&gt;&lt;/urls&gt;&lt;electronic-resource-num&gt;10.1086/696123&lt;/electronic-resource-num&gt;&lt;/record&gt;&lt;/Cite&gt;&lt;/EndNote&gt;</w:instrText>
      </w:r>
      <w:r w:rsidR="00ED73A8">
        <w:rPr>
          <w:lang w:val="en-US"/>
        </w:rPr>
        <w:fldChar w:fldCharType="separate"/>
      </w:r>
      <w:r w:rsidR="00ED73A8">
        <w:rPr>
          <w:noProof/>
          <w:lang w:val="en-US"/>
        </w:rPr>
        <w:t>(</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sidR="00ED73A8">
        <w:rPr>
          <w:lang w:val="en-US"/>
        </w:rPr>
        <w:t xml:space="preserve">. The result is a coordinate of the matrix relative to the others in the set, with the absolute magnitude of the coordinates describing </w:t>
      </w:r>
      <w:r w:rsidR="002C408E">
        <w:rPr>
          <w:lang w:val="en-US"/>
        </w:rPr>
        <w:t xml:space="preserve">the size of differences of a given matrix relative to the total differences in the fourth-order tensor, and the sign of the coordinate giving the direction of differences (i.e. if two matrices in a set have opposite-signed coordinates, this implies differences are in opposite directions for the given </w:t>
      </w:r>
      <w:proofErr w:type="spellStart"/>
      <w:r w:rsidR="002C408E">
        <w:rPr>
          <w:lang w:val="en-US"/>
        </w:rPr>
        <w:t>eigentensor</w:t>
      </w:r>
      <w:proofErr w:type="spellEnd"/>
      <w:r w:rsidR="002C408E">
        <w:rPr>
          <w:lang w:val="en-US"/>
        </w:rPr>
        <w:t xml:space="preserve">) </w: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 </w:instrTex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EN.CITE.DATA </w:instrText>
      </w:r>
      <w:r w:rsidR="002C408E">
        <w:rPr>
          <w:lang w:val="en-US"/>
        </w:rPr>
      </w:r>
      <w:r w:rsidR="002C408E">
        <w:rPr>
          <w:lang w:val="en-US"/>
        </w:rPr>
        <w:fldChar w:fldCharType="end"/>
      </w:r>
      <w:r w:rsidR="002C408E">
        <w:rPr>
          <w:lang w:val="en-US"/>
        </w:rPr>
        <w:fldChar w:fldCharType="separate"/>
      </w:r>
      <w:r w:rsidR="002C408E">
        <w:rPr>
          <w:noProof/>
          <w:lang w:val="en-US"/>
        </w:rPr>
        <w:t>(</w:t>
      </w:r>
      <w:r w:rsidR="002C408E" w:rsidRPr="002C408E">
        <w:rPr>
          <w:smallCaps/>
          <w:noProof/>
          <w:lang w:val="en-US"/>
        </w:rPr>
        <w:t>Hine</w:t>
      </w:r>
      <w:r w:rsidR="002C408E" w:rsidRPr="002C408E">
        <w:rPr>
          <w:i/>
          <w:noProof/>
          <w:lang w:val="en-US"/>
        </w:rPr>
        <w:t xml:space="preserve"> et al.</w:t>
      </w:r>
      <w:r w:rsidR="002C408E">
        <w:rPr>
          <w:noProof/>
          <w:lang w:val="en-US"/>
        </w:rPr>
        <w:t xml:space="preserve"> 2009; </w:t>
      </w:r>
      <w:r w:rsidR="002C408E" w:rsidRPr="002C408E">
        <w:rPr>
          <w:smallCaps/>
          <w:noProof/>
          <w:lang w:val="en-US"/>
        </w:rPr>
        <w:lastRenderedPageBreak/>
        <w:t>Walter</w:t>
      </w:r>
      <w:r w:rsidR="002C408E" w:rsidRPr="002C408E">
        <w:rPr>
          <w:i/>
          <w:noProof/>
          <w:lang w:val="en-US"/>
        </w:rPr>
        <w:t xml:space="preserve"> et al.</w:t>
      </w:r>
      <w:r w:rsidR="002C408E">
        <w:rPr>
          <w:noProof/>
          <w:lang w:val="en-US"/>
        </w:rPr>
        <w:t xml:space="preserve"> 2018)</w:t>
      </w:r>
      <w:r w:rsidR="002C408E">
        <w:rPr>
          <w:lang w:val="en-US"/>
        </w:rPr>
        <w:fldChar w:fldCharType="end"/>
      </w:r>
      <w:r w:rsidR="002C408E">
        <w:rPr>
          <w:lang w:val="en-US"/>
        </w:rPr>
        <w:t>.</w:t>
      </w:r>
      <w:r w:rsidR="0013636E">
        <w:rPr>
          <w:lang w:val="en-US"/>
        </w:rPr>
        <w:t xml:space="preserve"> To determine which traits contribute to divergence the most, further analysis can be done.</w:t>
      </w:r>
    </w:p>
    <w:p w14:paraId="0DF543A5" w14:textId="40071A9A" w:rsidR="00261DAC" w:rsidRDefault="00195473" w:rsidP="0043696D">
      <w:pPr>
        <w:rPr>
          <w:lang w:val="en-US"/>
        </w:rPr>
      </w:pPr>
      <w:r>
        <w:rPr>
          <w:lang w:val="en-US"/>
        </w:rPr>
        <w:t xml:space="preserve">Subsequent </w:t>
      </w:r>
      <w:proofErr w:type="spellStart"/>
      <w:r>
        <w:rPr>
          <w:lang w:val="en-US"/>
        </w:rPr>
        <w:t>eigenanalysis</w:t>
      </w:r>
      <w:proofErr w:type="spellEnd"/>
      <w:r>
        <w:rPr>
          <w:lang w:val="en-US"/>
        </w:rPr>
        <w:t xml:space="preserve"> of an </w:t>
      </w:r>
      <w:proofErr w:type="spellStart"/>
      <w:r>
        <w:rPr>
          <w:lang w:val="en-US"/>
        </w:rPr>
        <w:t>eigentensor</w:t>
      </w:r>
      <w:proofErr w:type="spellEnd"/>
      <w:r>
        <w:rPr>
          <w:lang w:val="en-US"/>
        </w:rPr>
        <w:t xml:space="preserve"> uncovers the linear combinations of traits that result in the variation between models described by that </w:t>
      </w:r>
      <w:proofErr w:type="spellStart"/>
      <w:r>
        <w:rPr>
          <w:lang w:val="en-US"/>
        </w:rPr>
        <w:t>eigentensor</w:t>
      </w:r>
      <w:proofErr w:type="spellEnd"/>
      <w:r>
        <w:rPr>
          <w:lang w:val="en-US"/>
        </w:rPr>
        <w:t xml:space="preserve">. </w:t>
      </w:r>
      <w:proofErr w:type="spellStart"/>
      <w:r>
        <w:rPr>
          <w:lang w:val="en-US"/>
        </w:rPr>
        <w:t>Eigenanalysis</w:t>
      </w:r>
      <w:proofErr w:type="spellEnd"/>
      <w:r>
        <w:rPr>
          <w:lang w:val="en-US"/>
        </w:rPr>
        <w:t xml:space="preserve"> of the first </w:t>
      </w:r>
      <w:proofErr w:type="spellStart"/>
      <w:r>
        <w:rPr>
          <w:lang w:val="en-US"/>
        </w:rPr>
        <w:t>eigentensor</w:t>
      </w:r>
      <w:proofErr w:type="spellEnd"/>
      <w:r>
        <w:rPr>
          <w:lang w:val="en-US"/>
        </w:rPr>
        <w:t xml:space="preserve"> describes the linear combination of traits that leads to the most variation between matrices in the given set</w:t>
      </w:r>
      <w:r w:rsidR="00ED73A8">
        <w:rPr>
          <w:lang w:val="en-US"/>
        </w:rPr>
        <w:t xml:space="preserve"> </w: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 </w:instrTex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EN.CITE.DATA </w:instrText>
      </w:r>
      <w:r w:rsidR="00ED73A8">
        <w:rPr>
          <w:lang w:val="en-US"/>
        </w:rPr>
      </w:r>
      <w:r w:rsidR="00ED73A8">
        <w:rPr>
          <w:lang w:val="en-US"/>
        </w:rPr>
        <w:fldChar w:fldCharType="end"/>
      </w:r>
      <w:r w:rsidR="00ED73A8">
        <w:rPr>
          <w:lang w:val="en-US"/>
        </w:rPr>
        <w:fldChar w:fldCharType="separate"/>
      </w:r>
      <w:r w:rsidR="00ED73A8">
        <w:rPr>
          <w:noProof/>
          <w:lang w:val="en-US"/>
        </w:rPr>
        <w:t>(</w:t>
      </w:r>
      <w:r w:rsidR="00ED73A8" w:rsidRPr="00ED73A8">
        <w:rPr>
          <w:smallCaps/>
          <w:noProof/>
          <w:lang w:val="en-US"/>
        </w:rPr>
        <w:t>Hine</w:t>
      </w:r>
      <w:r w:rsidR="00ED73A8" w:rsidRPr="00ED73A8">
        <w:rPr>
          <w:i/>
          <w:noProof/>
          <w:lang w:val="en-US"/>
        </w:rPr>
        <w:t xml:space="preserve"> et al.</w:t>
      </w:r>
      <w:r w:rsidR="00ED73A8">
        <w:rPr>
          <w:noProof/>
          <w:lang w:val="en-US"/>
        </w:rPr>
        <w:t xml:space="preserve"> 2009; </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Pr>
          <w:lang w:val="en-US"/>
        </w:rPr>
        <w:t xml:space="preserve">. </w:t>
      </w:r>
    </w:p>
    <w:p w14:paraId="65E4E6CD" w14:textId="10B018A8" w:rsidR="00D952B4" w:rsidRDefault="0013636E" w:rsidP="00D952B4">
      <w:pPr>
        <w:rPr>
          <w:lang w:val="en-US"/>
        </w:rPr>
      </w:pPr>
      <w:r>
        <w:rPr>
          <w:lang w:val="en-US"/>
        </w:rPr>
        <w:t xml:space="preserve">To perform </w:t>
      </w:r>
      <w:proofErr w:type="spellStart"/>
      <w:r>
        <w:rPr>
          <w:lang w:val="en-US"/>
        </w:rPr>
        <w:t>eigentensor</w:t>
      </w:r>
      <w:proofErr w:type="spellEnd"/>
      <w:r>
        <w:rPr>
          <w:lang w:val="en-US"/>
        </w:rPr>
        <w:t xml:space="preserve"> analysis, I randomly sampled </w:t>
      </w:r>
      <w:r>
        <w:rPr>
          <w:b/>
          <w:lang w:val="en-US"/>
        </w:rPr>
        <w:t>G</w:t>
      </w:r>
      <w:r>
        <w:rPr>
          <w:lang w:val="en-US"/>
        </w:rPr>
        <w:t xml:space="preserve"> matrices </w:t>
      </w:r>
      <w:r w:rsidR="0064752F">
        <w:rPr>
          <w:lang w:val="en-US"/>
        </w:rPr>
        <w:t xml:space="preserve">with a given combination of two parameter values (e.g. deleterious mutation = low and recombination rate = medium; Table 1). One </w:t>
      </w:r>
      <w:r w:rsidR="0064752F">
        <w:rPr>
          <w:b/>
          <w:lang w:val="en-US"/>
        </w:rPr>
        <w:t xml:space="preserve">G </w:t>
      </w:r>
      <w:r w:rsidR="0064752F">
        <w:rPr>
          <w:lang w:val="en-US"/>
        </w:rPr>
        <w:t xml:space="preserve">matrix was sampled for </w:t>
      </w:r>
      <w:r>
        <w:rPr>
          <w:lang w:val="en-US"/>
        </w:rPr>
        <w:t xml:space="preserve">each level of selection (null, low, medium, or high). </w:t>
      </w:r>
      <w:bookmarkStart w:id="0" w:name="_GoBack"/>
      <w:bookmarkEnd w:id="0"/>
      <w:r>
        <w:rPr>
          <w:lang w:val="en-US"/>
        </w:rPr>
        <w:t xml:space="preserve">These four matrices constructed a fourth-order tensor, which was subject to </w:t>
      </w:r>
      <w:proofErr w:type="spellStart"/>
      <w:r>
        <w:rPr>
          <w:lang w:val="en-US"/>
        </w:rPr>
        <w:t>eigentensor</w:t>
      </w:r>
      <w:proofErr w:type="spellEnd"/>
      <w:r>
        <w:rPr>
          <w:lang w:val="en-US"/>
        </w:rPr>
        <w:t xml:space="preserve"> decomposition and subsequent </w:t>
      </w:r>
      <w:proofErr w:type="spellStart"/>
      <w:r>
        <w:rPr>
          <w:lang w:val="en-US"/>
        </w:rPr>
        <w:t>Frobenius</w:t>
      </w:r>
      <w:proofErr w:type="spellEnd"/>
      <w:r>
        <w:rPr>
          <w:lang w:val="en-US"/>
        </w:rPr>
        <w:t xml:space="preserve"> projection via the ‘</w:t>
      </w:r>
      <w:proofErr w:type="spellStart"/>
      <w:r>
        <w:rPr>
          <w:lang w:val="en-US"/>
        </w:rPr>
        <w:t>evolqg</w:t>
      </w:r>
      <w:proofErr w:type="spellEnd"/>
      <w:r>
        <w:rPr>
          <w:lang w:val="en-US"/>
        </w:rPr>
        <w:t xml:space="preserve">’ package in R 4.0.2 </w: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 </w:instrTex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13636E">
        <w:rPr>
          <w:smallCaps/>
          <w:noProof/>
          <w:lang w:val="en-US"/>
        </w:rPr>
        <w:t>Melo</w:t>
      </w:r>
      <w:r w:rsidRPr="0013636E">
        <w:rPr>
          <w:i/>
          <w:noProof/>
          <w:lang w:val="en-US"/>
        </w:rPr>
        <w:t xml:space="preserve"> et al.</w:t>
      </w:r>
      <w:r>
        <w:rPr>
          <w:noProof/>
          <w:lang w:val="en-US"/>
        </w:rPr>
        <w:t xml:space="preserve"> 2015; </w:t>
      </w:r>
      <w:r w:rsidRPr="0013636E">
        <w:rPr>
          <w:smallCaps/>
          <w:noProof/>
          <w:lang w:val="en-US"/>
        </w:rPr>
        <w:t>R Developmental Core Team</w:t>
      </w:r>
      <w:r>
        <w:rPr>
          <w:noProof/>
          <w:lang w:val="en-US"/>
        </w:rPr>
        <w:t xml:space="preserve"> 2019)</w:t>
      </w:r>
      <w:r>
        <w:rPr>
          <w:lang w:val="en-US"/>
        </w:rPr>
        <w:fldChar w:fldCharType="end"/>
      </w:r>
      <w:r>
        <w:rPr>
          <w:lang w:val="en-US"/>
        </w:rPr>
        <w:t>.</w:t>
      </w:r>
      <w:r w:rsidR="00D952B4">
        <w:rPr>
          <w:lang w:val="en-US"/>
        </w:rPr>
        <w:t xml:space="preserve"> I then used base R functions to perform </w:t>
      </w:r>
      <w:proofErr w:type="spellStart"/>
      <w:r w:rsidR="00D952B4">
        <w:rPr>
          <w:lang w:val="en-US"/>
        </w:rPr>
        <w:t>eigenanalysis</w:t>
      </w:r>
      <w:proofErr w:type="spellEnd"/>
      <w:r w:rsidR="00D952B4">
        <w:rPr>
          <w:lang w:val="en-US"/>
        </w:rPr>
        <w:t xml:space="preserve"> on the first </w:t>
      </w:r>
      <w:proofErr w:type="spellStart"/>
      <w:r w:rsidR="00D952B4">
        <w:rPr>
          <w:lang w:val="en-US"/>
        </w:rPr>
        <w:t>eigentensor</w:t>
      </w:r>
      <w:proofErr w:type="spellEnd"/>
      <w:r w:rsidR="00D952B4">
        <w:rPr>
          <w:lang w:val="en-US"/>
        </w:rPr>
        <w:t xml:space="preserve"> to determine which trait combinations contributed to matrix divergence. This process was repeated for each combination of parameter values (3</w:t>
      </w:r>
      <w:r w:rsidR="00D952B4">
        <w:rPr>
          <w:vertAlign w:val="superscript"/>
          <w:lang w:val="en-US"/>
        </w:rPr>
        <w:t>2</w:t>
      </w:r>
      <w:r w:rsidR="00D952B4">
        <w:rPr>
          <w:lang w:val="en-US"/>
        </w:rPr>
        <w:t xml:space="preserve"> = 9 combinations), and the total analysis was repeated 1000 times via bootstrapping. The </w:t>
      </w:r>
      <w:proofErr w:type="spellStart"/>
      <w:r w:rsidR="00D952B4">
        <w:rPr>
          <w:lang w:val="en-US"/>
        </w:rPr>
        <w:t>eigentensor</w:t>
      </w:r>
      <w:proofErr w:type="spellEnd"/>
      <w:r w:rsidR="00D952B4">
        <w:rPr>
          <w:lang w:val="en-US"/>
        </w:rPr>
        <w:t xml:space="preserve"> projections and the first </w:t>
      </w:r>
      <w:proofErr w:type="spellStart"/>
      <w:r w:rsidR="00D952B4">
        <w:rPr>
          <w:lang w:val="en-US"/>
        </w:rPr>
        <w:t>eigentensor’s</w:t>
      </w:r>
      <w:proofErr w:type="spellEnd"/>
      <w:r w:rsidR="00D952B4">
        <w:rPr>
          <w:lang w:val="en-US"/>
        </w:rPr>
        <w:t xml:space="preserve"> first eigenvalue were compared with a linear model, adjusting for heteroscedasticity with </w:t>
      </w:r>
      <w:proofErr w:type="spellStart"/>
      <w:r w:rsidR="00D952B4">
        <w:rPr>
          <w:lang w:val="en-US"/>
        </w:rPr>
        <w:t>Eicker</w:t>
      </w:r>
      <w:proofErr w:type="spellEnd"/>
      <w:r w:rsidR="00D952B4">
        <w:rPr>
          <w:lang w:val="en-US"/>
        </w:rPr>
        <w:t xml:space="preserve">-Hubert-White (EHW) robust standard errors, although owing to the large sample size, this adjustment had minimal effect on t-statistics </w: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 </w:instrTex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EN.CITE.DATA </w:instrText>
      </w:r>
      <w:r w:rsidR="00D952B4">
        <w:rPr>
          <w:lang w:val="en-US"/>
        </w:rPr>
      </w:r>
      <w:r w:rsidR="00D952B4">
        <w:rPr>
          <w:lang w:val="en-US"/>
        </w:rPr>
        <w:fldChar w:fldCharType="end"/>
      </w:r>
      <w:r w:rsidR="00D952B4">
        <w:rPr>
          <w:lang w:val="en-US"/>
        </w:rPr>
      </w:r>
      <w:r w:rsidR="00D952B4">
        <w:rPr>
          <w:lang w:val="en-US"/>
        </w:rPr>
        <w:fldChar w:fldCharType="separate"/>
      </w:r>
      <w:r w:rsidR="00D952B4">
        <w:rPr>
          <w:noProof/>
          <w:lang w:val="en-US"/>
        </w:rPr>
        <w:t>(</w:t>
      </w:r>
      <w:r w:rsidR="00D952B4" w:rsidRPr="00F840E0">
        <w:rPr>
          <w:smallCaps/>
          <w:noProof/>
          <w:lang w:val="en-US"/>
        </w:rPr>
        <w:t>Eicker</w:t>
      </w:r>
      <w:r w:rsidR="00D952B4">
        <w:rPr>
          <w:noProof/>
          <w:lang w:val="en-US"/>
        </w:rPr>
        <w:t xml:space="preserve"> 1967; </w:t>
      </w:r>
      <w:r w:rsidR="00D952B4" w:rsidRPr="00F840E0">
        <w:rPr>
          <w:smallCaps/>
          <w:noProof/>
          <w:lang w:val="en-US"/>
        </w:rPr>
        <w:t>Huber</w:t>
      </w:r>
      <w:r w:rsidR="00D952B4">
        <w:rPr>
          <w:noProof/>
          <w:lang w:val="en-US"/>
        </w:rPr>
        <w:t xml:space="preserve"> 1967; </w:t>
      </w:r>
      <w:r w:rsidR="00D952B4" w:rsidRPr="00F840E0">
        <w:rPr>
          <w:smallCaps/>
          <w:noProof/>
          <w:lang w:val="en-US"/>
        </w:rPr>
        <w:t>White</w:t>
      </w:r>
      <w:r w:rsidR="00D952B4">
        <w:rPr>
          <w:noProof/>
          <w:lang w:val="en-US"/>
        </w:rPr>
        <w:t xml:space="preserve"> 1980)</w:t>
      </w:r>
      <w:r w:rsidR="00D952B4">
        <w:rPr>
          <w:lang w:val="en-US"/>
        </w:rPr>
        <w:fldChar w:fldCharType="end"/>
      </w:r>
      <w:r w:rsidR="00D952B4">
        <w:rPr>
          <w:lang w:val="en-US"/>
        </w:rPr>
        <w:t>.</w:t>
      </w:r>
      <w:r w:rsidR="00D952B4">
        <w:rPr>
          <w:lang w:val="en-US"/>
        </w:rPr>
        <w:t xml:space="preserve"> Contrasts were compared using estimated marginal means.</w:t>
      </w:r>
    </w:p>
    <w:p w14:paraId="3CBDA282" w14:textId="2464925C" w:rsidR="00D952B4" w:rsidRDefault="00D952B4" w:rsidP="00D952B4">
      <w:pPr>
        <w:rPr>
          <w:rFonts w:eastAsiaTheme="minorEastAsia"/>
          <w:lang w:val="en-US"/>
        </w:rPr>
      </w:pPr>
      <w:r>
        <w:rPr>
          <w:lang w:val="en-US"/>
        </w:rPr>
        <w:t>In addition, I also</w:t>
      </w:r>
      <w:r>
        <w:rPr>
          <w:rFonts w:eastAsiaTheme="minorEastAsia"/>
          <w:lang w:val="en-US"/>
        </w:rPr>
        <w:t xml:space="preserve"> computed the population mean distance from the optimum for each replicate and model, comparing these distances with </w:t>
      </w:r>
      <w:r>
        <w:rPr>
          <w:lang w:val="en-US"/>
        </w:rPr>
        <w:t>multiple regression</w:t>
      </w:r>
      <w:r>
        <w:rPr>
          <w:lang w:val="en-US"/>
        </w:rPr>
        <w:t>, again with EHW robust standard errors</w:t>
      </w:r>
      <w:r>
        <w:rPr>
          <w:rFonts w:eastAsiaTheme="minorEastAsia"/>
          <w:lang w:val="en-US"/>
        </w:rPr>
        <w:t xml:space="preserve">. </w:t>
      </w:r>
      <w:r>
        <w:rPr>
          <w:rFonts w:eastAsiaTheme="minorEastAsia"/>
          <w:lang w:val="en-US"/>
        </w:rPr>
        <w:t>Contrasts between bins were also compared with estimated marginal means.</w:t>
      </w:r>
    </w:p>
    <w:p w14:paraId="59709049" w14:textId="5EC8143F" w:rsidR="0013636E" w:rsidRPr="00D952B4" w:rsidRDefault="0013636E" w:rsidP="0043696D">
      <w:pPr>
        <w:rPr>
          <w:lang w:val="en-US"/>
        </w:rPr>
      </w:pPr>
    </w:p>
    <w:p w14:paraId="3D946CEB" w14:textId="42DFE205"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sidR="003D331B">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1B3ED37B" w:rsidR="00976FCF" w:rsidRDefault="006A41CE" w:rsidP="004F0C57">
      <w:pPr>
        <w:rPr>
          <w:lang w:val="en-US"/>
        </w:rPr>
      </w:pPr>
      <w:r>
        <w:rPr>
          <w:lang w:val="en-US"/>
        </w:rPr>
        <w:t xml:space="preserve">Although the residuals of groups strayed from normality, variance was homoscedastic and the number of observations (102400) led to normality of coefficient estimates </w:t>
      </w:r>
      <w:r>
        <w:rPr>
          <w:lang w:val="en-US"/>
        </w:rPr>
        <w:lastRenderedPageBreak/>
        <w:t xml:space="preserve">through the central limit theorem, providing some robustness from the effects of non-normality </w:t>
      </w:r>
      <w:r>
        <w:rPr>
          <w:lang w:val="en-US"/>
        </w:rPr>
        <w:fldChar w:fldCharType="begin"/>
      </w:r>
      <w:r>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Pr>
          <w:lang w:val="en-US"/>
        </w:rPr>
        <w:fldChar w:fldCharType="separate"/>
      </w:r>
      <w:r>
        <w:rPr>
          <w:noProof/>
          <w:lang w:val="en-US"/>
        </w:rPr>
        <w:t>(</w:t>
      </w:r>
      <w:r w:rsidRPr="006A41CE">
        <w:rPr>
          <w:smallCaps/>
          <w:noProof/>
          <w:lang w:val="en-US"/>
        </w:rPr>
        <w:t>Lumley</w:t>
      </w:r>
      <w:r w:rsidRPr="006A41CE">
        <w:rPr>
          <w:i/>
          <w:noProof/>
          <w:lang w:val="en-US"/>
        </w:rPr>
        <w:t xml:space="preserve"> et al.</w:t>
      </w:r>
      <w:r>
        <w:rPr>
          <w:noProof/>
          <w:lang w:val="en-US"/>
        </w:rPr>
        <w:t xml:space="preserve"> 2002)</w:t>
      </w:r>
      <w:r>
        <w:rPr>
          <w:lang w:val="en-US"/>
        </w:rPr>
        <w:fldChar w:fldCharType="end"/>
      </w:r>
      <w:r>
        <w:rPr>
          <w:lang w:val="en-US"/>
        </w:rPr>
        <w:t>.</w:t>
      </w:r>
    </w:p>
    <w:p w14:paraId="62C7DB4B" w14:textId="4243DF1B" w:rsidR="00216D8C" w:rsidRDefault="00216D8C" w:rsidP="004F0C57">
      <w:pPr>
        <w:rPr>
          <w:lang w:val="en-US"/>
        </w:rPr>
      </w:pPr>
      <w:r w:rsidRPr="0042703B">
        <w:rPr>
          <w:lang w:val="en-US"/>
        </w:rPr>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counter-clockwise rotations around the mean: 36.27 ± 1.1 degrees (t</w:t>
      </w:r>
      <w:r>
        <w:rPr>
          <w:rStyle w:val="acopre"/>
          <w:vertAlign w:val="subscript"/>
        </w:rPr>
        <w:t>103249</w:t>
      </w:r>
      <w:r>
        <w:rPr>
          <w:rStyle w:val="acopre"/>
        </w:rPr>
        <w:t xml:space="preserve"> = -32.886, p &lt; 0.0001), and 37.3 ± 1.07 degrees (t</w:t>
      </w:r>
      <w:r>
        <w:rPr>
          <w:rStyle w:val="acopre"/>
          <w:vertAlign w:val="subscript"/>
        </w:rPr>
        <w:t>103249</w:t>
      </w:r>
      <w:r>
        <w:rPr>
          <w:rStyle w:val="acopre"/>
        </w:rPr>
        <w:t xml:space="preserve"> = -34.761, p &lt; 0.0001), respectively. Intermediate levels of recombination reduced this rotation to 29.28 ± 1.12 degrees (t</w:t>
      </w:r>
      <w:r>
        <w:rPr>
          <w:rStyle w:val="acopre"/>
          <w:vertAlign w:val="subscript"/>
        </w:rPr>
        <w:t>102349</w:t>
      </w:r>
      <w:r>
        <w:rPr>
          <w:rStyle w:val="acopre"/>
        </w:rPr>
        <w:t xml:space="preserve"> = -26.072, p &lt; 0.0001). When under low levels of pleiotropy, increasing deleterious mutation led to counter-clockwise rotations of 26.51 ± 1.10 degrees (t</w:t>
      </w:r>
      <w:r>
        <w:rPr>
          <w:rStyle w:val="acopre"/>
          <w:vertAlign w:val="subscript"/>
        </w:rPr>
        <w:t>102349</w:t>
      </w:r>
      <w:r>
        <w:rPr>
          <w:rStyle w:val="acopre"/>
        </w:rPr>
        <w:t xml:space="preserve"> = -24.026, p &lt; 0.0001), whereas high rates of pleiotropy led to </w:t>
      </w:r>
      <w:r w:rsidR="00DB6553">
        <w:rPr>
          <w:rStyle w:val="acopre"/>
        </w:rPr>
        <w:t>an increase of this rotation to 48.88 ±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counter-clockwise rotation of 7.049 ±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127D65A9" w14:textId="77777777" w:rsidR="003C0FFD" w:rsidRDefault="003C0FFD" w:rsidP="004F0C57">
      <w:pPr>
        <w:rPr>
          <w:rFonts w:eastAsiaTheme="minorEastAsia"/>
          <w:lang w:val="en-US"/>
        </w:rPr>
      </w:pPr>
    </w:p>
    <w:p w14:paraId="05410060" w14:textId="29B80EB6" w:rsidR="007E653D" w:rsidRDefault="007E653D" w:rsidP="007E653D">
      <w:pPr>
        <w:pStyle w:val="Heading2"/>
      </w:pPr>
      <w:r>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4E8445D4" w:rsidR="00A95E48" w:rsidRDefault="00A95E48" w:rsidP="004E0ECF">
      <w:pPr>
        <w:rPr>
          <w:rStyle w:val="acopre"/>
        </w:rPr>
      </w:pPr>
      <w:r>
        <w:rPr>
          <w:lang w:val="en-US"/>
        </w:rPr>
        <w:t>The area of the ellipse was greatly affected by changes in all parameters. Under strong selection, increasing background selection</w:t>
      </w:r>
      <w:r w:rsidR="00E141DE">
        <w:rPr>
          <w:lang w:val="en-US"/>
        </w:rPr>
        <w:t xml:space="preserve"> from low</w:t>
      </w:r>
      <w:r>
        <w:rPr>
          <w:lang w:val="en-US"/>
        </w:rPr>
        <w:t xml:space="preserve"> to high levels resulted in a decrease of </w:t>
      </w:r>
      <w:r w:rsidR="00E141DE">
        <w:rPr>
          <w:lang w:val="en-US"/>
        </w:rPr>
        <w:t xml:space="preserve">1671 </w:t>
      </w:r>
      <w:r w:rsidR="00A02701" w:rsidRPr="00A02701">
        <w:rPr>
          <w:lang w:val="en-US"/>
        </w:rPr>
        <w:t>±</w:t>
      </w:r>
      <w:r w:rsidR="00A02701">
        <w:rPr>
          <w:lang w:val="en-US"/>
        </w:rPr>
        <w:t xml:space="preserve"> </w:t>
      </w:r>
      <w:r w:rsidR="008A04E0">
        <w:rPr>
          <w:lang w:val="en-US"/>
        </w:rPr>
        <w:t>191</w:t>
      </w:r>
      <w:r>
        <w:rPr>
          <w:lang w:val="en-US"/>
        </w:rPr>
        <w:t xml:space="preserve"> units</w:t>
      </w:r>
      <w:r>
        <w:rPr>
          <w:vertAlign w:val="superscript"/>
          <w:lang w:val="en-US"/>
        </w:rPr>
        <w:t>2</w:t>
      </w:r>
      <w:r>
        <w:rPr>
          <w:lang w:val="en-US"/>
        </w:rPr>
        <w:t xml:space="preserve"> in area (t</w:t>
      </w:r>
      <w:r w:rsidR="00E141DE">
        <w:rPr>
          <w:vertAlign w:val="subscript"/>
          <w:lang w:val="en-US"/>
        </w:rPr>
        <w:t>255</w:t>
      </w:r>
      <w:r>
        <w:rPr>
          <w:vertAlign w:val="subscript"/>
          <w:lang w:val="en-US"/>
        </w:rPr>
        <w:t>27</w:t>
      </w:r>
      <w:r>
        <w:rPr>
          <w:lang w:val="en-US"/>
        </w:rPr>
        <w:t xml:space="preserve"> = </w:t>
      </w:r>
      <w:r w:rsidR="008A04E0">
        <w:rPr>
          <w:lang w:val="en-US"/>
        </w:rPr>
        <w:t>8.729</w:t>
      </w:r>
      <w:r>
        <w:rPr>
          <w:lang w:val="en-US"/>
        </w:rPr>
        <w:t xml:space="preserve">, p &lt; .0001). Under weak selection however, the same increase in background selection led to </w:t>
      </w:r>
      <w:r w:rsidR="00E141DE">
        <w:rPr>
          <w:lang w:val="en-US"/>
        </w:rPr>
        <w:t xml:space="preserve">larger decrease of 5002 </w:t>
      </w:r>
      <w:r w:rsidR="00E141DE" w:rsidRPr="00A02701">
        <w:rPr>
          <w:lang w:val="en-US"/>
        </w:rPr>
        <w:t>±</w:t>
      </w:r>
      <w:r w:rsidR="008A04E0">
        <w:rPr>
          <w:lang w:val="en-US"/>
        </w:rPr>
        <w:t xml:space="preserve"> 246</w:t>
      </w:r>
      <w:r w:rsidR="00E141DE">
        <w:rPr>
          <w:lang w:val="en-US"/>
        </w:rPr>
        <w:t xml:space="preserve"> units</w:t>
      </w:r>
      <w:r w:rsidR="00E141DE">
        <w:rPr>
          <w:vertAlign w:val="superscript"/>
          <w:lang w:val="en-US"/>
        </w:rPr>
        <w:t>2</w:t>
      </w:r>
      <w:r w:rsidR="00E141DE">
        <w:rPr>
          <w:lang w:val="en-US"/>
        </w:rPr>
        <w:t xml:space="preserve"> </w:t>
      </w:r>
      <w:r>
        <w:rPr>
          <w:lang w:val="en-US"/>
        </w:rPr>
        <w:t>(t</w:t>
      </w:r>
      <w:r w:rsidR="00E141DE">
        <w:rPr>
          <w:vertAlign w:val="subscript"/>
          <w:lang w:val="en-US"/>
        </w:rPr>
        <w:t>25527</w:t>
      </w:r>
      <w:r>
        <w:rPr>
          <w:lang w:val="en-US"/>
        </w:rPr>
        <w:t xml:space="preserve"> = </w:t>
      </w:r>
      <w:r w:rsidR="008A04E0">
        <w:rPr>
          <w:lang w:val="en-US"/>
        </w:rPr>
        <w:t>20.301</w:t>
      </w:r>
      <w:r>
        <w:rPr>
          <w:lang w:val="en-US"/>
        </w:rPr>
        <w:t xml:space="preserve">, p </w:t>
      </w:r>
      <w:r w:rsidR="00E141DE">
        <w:rPr>
          <w:lang w:val="en-US"/>
        </w:rPr>
        <w:t>&lt; 0.0001</w:t>
      </w:r>
      <w:r>
        <w:rPr>
          <w:lang w:val="en-US"/>
        </w:rPr>
        <w:t xml:space="preserve">). </w:t>
      </w:r>
      <w:r w:rsidR="00A02701">
        <w:rPr>
          <w:lang w:val="en-US"/>
        </w:rPr>
        <w:t xml:space="preserve">Increasing recombination rate in both cases decreased ellipse area, however more-so at high selection strength (high selection: </w:t>
      </w:r>
      <w:r w:rsidR="008A2847">
        <w:rPr>
          <w:lang w:val="en-US"/>
        </w:rPr>
        <w:t xml:space="preserve">2665.3 </w:t>
      </w:r>
      <w:r w:rsidR="00A02701">
        <w:rPr>
          <w:rStyle w:val="acopre"/>
        </w:rPr>
        <w:t>± 2</w:t>
      </w:r>
      <w:r w:rsidR="008A04E0">
        <w:rPr>
          <w:rStyle w:val="acopre"/>
        </w:rPr>
        <w:t>06</w:t>
      </w:r>
      <w:r w:rsidR="00A02701">
        <w:rPr>
          <w:rStyle w:val="acopre"/>
        </w:rPr>
        <w:t xml:space="preserve"> units</w:t>
      </w:r>
      <w:r w:rsidR="00A02701">
        <w:rPr>
          <w:rStyle w:val="acopre"/>
          <w:vertAlign w:val="superscript"/>
        </w:rPr>
        <w:t>2</w:t>
      </w:r>
      <w:r w:rsidR="00FA6A2D">
        <w:rPr>
          <w:rStyle w:val="acopre"/>
        </w:rPr>
        <w:t xml:space="preserve"> of change</w:t>
      </w:r>
      <w:r w:rsidR="00A02701">
        <w:rPr>
          <w:rStyle w:val="acopre"/>
        </w:rPr>
        <w:t>; t</w:t>
      </w:r>
      <w:r w:rsidR="00E141DE">
        <w:rPr>
          <w:rStyle w:val="acopre"/>
          <w:vertAlign w:val="subscript"/>
        </w:rPr>
        <w:t>25527</w:t>
      </w:r>
      <w:r w:rsidR="00A02701">
        <w:rPr>
          <w:rStyle w:val="acopre"/>
        </w:rPr>
        <w:t xml:space="preserve"> = </w:t>
      </w:r>
      <w:r w:rsidR="008A2847">
        <w:rPr>
          <w:rStyle w:val="acopre"/>
        </w:rPr>
        <w:t>12.</w:t>
      </w:r>
      <w:r w:rsidR="008A04E0">
        <w:rPr>
          <w:rStyle w:val="acopre"/>
        </w:rPr>
        <w:t>969</w:t>
      </w:r>
      <w:r w:rsidR="00A02701">
        <w:rPr>
          <w:rStyle w:val="acopre"/>
        </w:rPr>
        <w:t xml:space="preserve">, p &lt; 0.0001; low selection: </w:t>
      </w:r>
      <w:r w:rsidR="008A2847">
        <w:rPr>
          <w:rStyle w:val="acopre"/>
        </w:rPr>
        <w:t>3781</w:t>
      </w:r>
      <w:r w:rsidR="00A02701">
        <w:rPr>
          <w:rStyle w:val="acopre"/>
        </w:rPr>
        <w:t xml:space="preserve"> ± 2</w:t>
      </w:r>
      <w:r w:rsidR="008A04E0">
        <w:rPr>
          <w:rStyle w:val="acopre"/>
        </w:rPr>
        <w:t>43</w:t>
      </w:r>
      <w:r w:rsidR="00A02701">
        <w:rPr>
          <w:rStyle w:val="acopre"/>
        </w:rPr>
        <w:t xml:space="preserve"> units</w:t>
      </w:r>
      <w:r w:rsidR="00A02701">
        <w:rPr>
          <w:rStyle w:val="acopre"/>
          <w:vertAlign w:val="superscript"/>
        </w:rPr>
        <w:t>2</w:t>
      </w:r>
      <w:r w:rsidR="00A02701">
        <w:rPr>
          <w:rStyle w:val="acopre"/>
        </w:rPr>
        <w:t>; t</w:t>
      </w:r>
      <w:r w:rsidR="00E141DE">
        <w:rPr>
          <w:rStyle w:val="acopre"/>
          <w:vertAlign w:val="subscript"/>
        </w:rPr>
        <w:t>25527</w:t>
      </w:r>
      <w:r w:rsidR="00A02701">
        <w:t xml:space="preserve"> = </w:t>
      </w:r>
      <w:r w:rsidR="008A04E0">
        <w:t>15.545</w:t>
      </w:r>
      <w:r w:rsidR="00A02701">
        <w:t xml:space="preserve">, p &lt; 0.0001). </w:t>
      </w:r>
      <w:r w:rsidR="00AD2A73">
        <w:t xml:space="preserve">Increasing the rate of pleiotropy increases </w:t>
      </w:r>
      <w:r w:rsidR="00AD2A73">
        <w:rPr>
          <w:b/>
        </w:rPr>
        <w:t>G</w:t>
      </w:r>
      <w:r w:rsidR="00AD2A73">
        <w:t xml:space="preserve"> ellipse area, </w:t>
      </w:r>
      <w:r w:rsidR="00CC3DA5">
        <w:t xml:space="preserve">under both high and low selection strengths; this effect is stronger under high selection strengths </w:t>
      </w:r>
      <w:r w:rsidR="00AD2A73">
        <w:t>(</w:t>
      </w:r>
      <w:r w:rsidR="00CC3DA5">
        <w:t xml:space="preserve">high selection: </w:t>
      </w:r>
      <w:r w:rsidR="00F51A26">
        <w:t>4000.1</w:t>
      </w:r>
      <w:r w:rsidR="00AD2A73">
        <w:t xml:space="preserve"> </w:t>
      </w:r>
      <w:r w:rsidR="00AD2A73">
        <w:rPr>
          <w:rStyle w:val="acopre"/>
        </w:rPr>
        <w:t xml:space="preserve">± </w:t>
      </w:r>
      <w:r w:rsidR="00F51A26">
        <w:rPr>
          <w:rStyle w:val="acopre"/>
        </w:rPr>
        <w:t>212</w:t>
      </w:r>
      <w:r w:rsidR="00AD2A73">
        <w:rPr>
          <w:rStyle w:val="acopre"/>
        </w:rPr>
        <w:t xml:space="preserve"> units</w:t>
      </w:r>
      <w:r w:rsidR="00AD2A73">
        <w:rPr>
          <w:rStyle w:val="acopre"/>
          <w:vertAlign w:val="superscript"/>
        </w:rPr>
        <w:t>2</w:t>
      </w:r>
      <w:r w:rsidR="00AD2A73">
        <w:rPr>
          <w:rStyle w:val="acopre"/>
        </w:rPr>
        <w:t>; t</w:t>
      </w:r>
      <w:r w:rsidR="00E141DE">
        <w:rPr>
          <w:rStyle w:val="acopre"/>
          <w:vertAlign w:val="subscript"/>
        </w:rPr>
        <w:t>25527</w:t>
      </w:r>
      <w:r w:rsidR="00AD2A73">
        <w:rPr>
          <w:rStyle w:val="acopre"/>
        </w:rPr>
        <w:t xml:space="preserve"> = -</w:t>
      </w:r>
      <w:r w:rsidR="003A6FA5">
        <w:rPr>
          <w:rStyle w:val="acopre"/>
        </w:rPr>
        <w:t>18.84</w:t>
      </w:r>
      <w:r w:rsidR="00F51A26">
        <w:rPr>
          <w:rStyle w:val="acopre"/>
        </w:rPr>
        <w:t>6</w:t>
      </w:r>
      <w:r w:rsidR="00AD2A73">
        <w:rPr>
          <w:rStyle w:val="acopre"/>
        </w:rPr>
        <w:t>, p &lt; 0.0003</w:t>
      </w:r>
      <w:r w:rsidR="00F51A26">
        <w:rPr>
          <w:rStyle w:val="acopre"/>
        </w:rPr>
        <w:t xml:space="preserve">; low selection: 1426.7 </w:t>
      </w:r>
      <w:r w:rsidR="00F51A26" w:rsidRPr="00A02701">
        <w:rPr>
          <w:lang w:val="en-US"/>
        </w:rPr>
        <w:t>±</w:t>
      </w:r>
      <w:r w:rsidR="00F51A26">
        <w:rPr>
          <w:lang w:val="en-US"/>
        </w:rPr>
        <w:t xml:space="preserve"> 2</w:t>
      </w:r>
      <w:r w:rsidR="003A6FA5">
        <w:rPr>
          <w:lang w:val="en-US"/>
        </w:rPr>
        <w:t>50</w:t>
      </w:r>
      <w:r w:rsidR="00F51A26">
        <w:rPr>
          <w:lang w:val="en-US"/>
        </w:rPr>
        <w:t xml:space="preserve"> t</w:t>
      </w:r>
      <w:r w:rsidR="00F51A26">
        <w:rPr>
          <w:vertAlign w:val="subscript"/>
          <w:lang w:val="en-US"/>
        </w:rPr>
        <w:t>25527</w:t>
      </w:r>
      <w:r w:rsidR="00F51A26">
        <w:rPr>
          <w:lang w:val="en-US"/>
        </w:rPr>
        <w:t xml:space="preserve"> = -</w:t>
      </w:r>
      <w:r w:rsidR="003A6FA5">
        <w:rPr>
          <w:lang w:val="en-US"/>
        </w:rPr>
        <w:t>5.698</w:t>
      </w:r>
      <w:r w:rsidR="00F51A26">
        <w:rPr>
          <w:lang w:val="en-US"/>
        </w:rPr>
        <w:t>, p &lt; 0.0001</w:t>
      </w:r>
      <w:r w:rsidR="00AD2A73">
        <w:rPr>
          <w:rStyle w:val="acopre"/>
        </w:rPr>
        <w:t>).</w:t>
      </w:r>
    </w:p>
    <w:p w14:paraId="7E8056AA" w14:textId="4E2216C5"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r w:rsidR="00826D70">
        <w:rPr>
          <w:rStyle w:val="acopre"/>
        </w:rPr>
        <w:t>counter-clockwise</w:t>
      </w:r>
      <w:r w:rsidR="008349C8">
        <w:rPr>
          <w:rStyle w:val="acopre"/>
        </w:rPr>
        <w:t xml:space="preserve"> rotation of </w:t>
      </w:r>
      <w:r w:rsidR="00826D70">
        <w:rPr>
          <w:rStyle w:val="acopre"/>
        </w:rPr>
        <w:t>1</w:t>
      </w:r>
      <w:r w:rsidR="008349C8">
        <w:rPr>
          <w:rStyle w:val="acopre"/>
        </w:rPr>
        <w:t>3.</w:t>
      </w:r>
      <w:r w:rsidR="00D03748">
        <w:rPr>
          <w:rStyle w:val="acopre"/>
        </w:rPr>
        <w:t>55</w:t>
      </w:r>
      <w:r w:rsidR="008349C8">
        <w:rPr>
          <w:rStyle w:val="acopre"/>
        </w:rPr>
        <w:t xml:space="preserve"> ± </w:t>
      </w:r>
      <w:r w:rsidR="00D03748">
        <w:rPr>
          <w:rStyle w:val="acopre"/>
        </w:rPr>
        <w:t>1.97</w:t>
      </w:r>
      <w:r w:rsidR="008349C8">
        <w:rPr>
          <w:rStyle w:val="acopre"/>
        </w:rPr>
        <w:t xml:space="preserve"> degrees (t</w:t>
      </w:r>
      <w:r w:rsidR="00E141DE">
        <w:rPr>
          <w:rStyle w:val="acopre"/>
          <w:vertAlign w:val="subscript"/>
        </w:rPr>
        <w:t>25527</w:t>
      </w:r>
      <w:r w:rsidR="008349C8">
        <w:t>= -</w:t>
      </w:r>
      <w:r w:rsidR="00826D70">
        <w:t>6.</w:t>
      </w:r>
      <w:r w:rsidR="00D03748">
        <w:t>871</w:t>
      </w:r>
      <w:r w:rsidR="008349C8">
        <w:t>, p &lt; 0.0001)</w:t>
      </w:r>
      <w:r w:rsidR="00826D70">
        <w:t>. Under weak selection, there was no significant change</w:t>
      </w:r>
      <w:r w:rsidR="008349C8">
        <w:t xml:space="preserve"> </w:t>
      </w:r>
      <w:r w:rsidR="00826D70">
        <w:t>in rotation when background selection was increased from low to high</w:t>
      </w:r>
      <w:r w:rsidR="00D03748">
        <w:t xml:space="preserve"> (-3.96 </w:t>
      </w:r>
      <w:r w:rsidR="00D03748">
        <w:rPr>
          <w:rStyle w:val="acopre"/>
        </w:rPr>
        <w:t>± 1.91; t</w:t>
      </w:r>
      <w:r w:rsidR="00D03748">
        <w:rPr>
          <w:rStyle w:val="acopre"/>
          <w:vertAlign w:val="subscript"/>
        </w:rPr>
        <w:t>25527</w:t>
      </w:r>
      <w:r w:rsidR="00D03748">
        <w:rPr>
          <w:rStyle w:val="acopre"/>
        </w:rPr>
        <w:t xml:space="preserve"> = -2.072, p = 0.0956)</w:t>
      </w:r>
      <w:r w:rsidR="008349C8">
        <w:rPr>
          <w:rStyle w:val="acopre"/>
        </w:rPr>
        <w:t>.</w:t>
      </w:r>
      <w:r w:rsidR="00AE5BBD">
        <w:rPr>
          <w:rStyle w:val="acopre"/>
        </w:rPr>
        <w:t xml:space="preserve"> </w:t>
      </w:r>
      <w:r w:rsidR="004953B6">
        <w:rPr>
          <w:rStyle w:val="acopre"/>
        </w:rPr>
        <w:t>W</w:t>
      </w:r>
      <w:r w:rsidR="00AE5BBD">
        <w:rPr>
          <w:rStyle w:val="acopre"/>
        </w:rPr>
        <w:t>hen recombination is increased</w:t>
      </w:r>
      <w:r w:rsidR="004953B6">
        <w:rPr>
          <w:rStyle w:val="acopre"/>
        </w:rPr>
        <w:t>, selection has a similar effect on rotation</w:t>
      </w:r>
      <w:r w:rsidR="00AE5BBD">
        <w:rPr>
          <w:rStyle w:val="acopre"/>
        </w:rPr>
        <w:t>. Under strong selection, inc</w:t>
      </w:r>
      <w:r w:rsidR="00D03748">
        <w:rPr>
          <w:rStyle w:val="acopre"/>
        </w:rPr>
        <w:t>reases in recombination le</w:t>
      </w:r>
      <w:r w:rsidR="00AE5BBD">
        <w:rPr>
          <w:rStyle w:val="acopre"/>
        </w:rPr>
        <w:t xml:space="preserve">d to clockwise rotations of </w:t>
      </w:r>
      <w:r w:rsidR="004953B6">
        <w:rPr>
          <w:rStyle w:val="acopre"/>
        </w:rPr>
        <w:t>39.94</w:t>
      </w:r>
      <w:r w:rsidR="00AE5BBD">
        <w:rPr>
          <w:rStyle w:val="acopre"/>
        </w:rPr>
        <w:t xml:space="preserve"> ± </w:t>
      </w:r>
      <w:r w:rsidR="004953B6">
        <w:rPr>
          <w:rStyle w:val="acopre"/>
        </w:rPr>
        <w:t>1.</w:t>
      </w:r>
      <w:r w:rsidR="00D03748">
        <w:rPr>
          <w:rStyle w:val="acopre"/>
        </w:rPr>
        <w:t>85</w:t>
      </w:r>
      <w:r w:rsidR="00AE5BBD">
        <w:rPr>
          <w:rStyle w:val="acopre"/>
        </w:rPr>
        <w:t xml:space="preserve"> degrees (t</w:t>
      </w:r>
      <w:r w:rsidR="00E141DE">
        <w:rPr>
          <w:rStyle w:val="acopre"/>
          <w:vertAlign w:val="subscript"/>
        </w:rPr>
        <w:t>25527</w:t>
      </w:r>
      <w:r w:rsidR="00AE5BBD">
        <w:rPr>
          <w:rStyle w:val="acopre"/>
        </w:rPr>
        <w:t xml:space="preserve"> = </w:t>
      </w:r>
      <w:r w:rsidR="00D03748">
        <w:rPr>
          <w:rStyle w:val="acopre"/>
        </w:rPr>
        <w:t>21.631</w:t>
      </w:r>
      <w:r w:rsidR="00AE5BBD">
        <w:rPr>
          <w:rStyle w:val="acopre"/>
        </w:rPr>
        <w:t xml:space="preserve">, p </w:t>
      </w:r>
      <w:r w:rsidR="004953B6">
        <w:rPr>
          <w:rStyle w:val="acopre"/>
        </w:rPr>
        <w:t>&lt;</w:t>
      </w:r>
      <w:r w:rsidR="00AE5BBD">
        <w:rPr>
          <w:rStyle w:val="acopre"/>
        </w:rPr>
        <w:t xml:space="preserve"> 0.00</w:t>
      </w:r>
      <w:r w:rsidR="004953B6">
        <w:rPr>
          <w:rStyle w:val="acopre"/>
        </w:rPr>
        <w:t>01</w:t>
      </w:r>
      <w:r w:rsidR="00AE5BBD">
        <w:rPr>
          <w:rStyle w:val="acopre"/>
        </w:rPr>
        <w:t xml:space="preserve">), whereas under weak selection this effect is </w:t>
      </w:r>
      <w:r w:rsidR="004953B6">
        <w:rPr>
          <w:rStyle w:val="acopre"/>
        </w:rPr>
        <w:t>reduced</w:t>
      </w:r>
      <w:r w:rsidR="00AE5BBD">
        <w:rPr>
          <w:rStyle w:val="acopre"/>
        </w:rPr>
        <w:t xml:space="preserve"> to </w:t>
      </w:r>
      <w:r w:rsidR="004953B6">
        <w:rPr>
          <w:rStyle w:val="acopre"/>
        </w:rPr>
        <w:t>23.79</w:t>
      </w:r>
      <w:r w:rsidR="00AE5BBD">
        <w:rPr>
          <w:rStyle w:val="acopre"/>
        </w:rPr>
        <w:t xml:space="preserve"> ± </w:t>
      </w:r>
      <w:r w:rsidR="00D03748">
        <w:rPr>
          <w:rStyle w:val="acopre"/>
        </w:rPr>
        <w:t xml:space="preserve">1.95 </w:t>
      </w:r>
      <w:r w:rsidR="00AE5BBD">
        <w:rPr>
          <w:rStyle w:val="acopre"/>
        </w:rPr>
        <w:t>degrees (t</w:t>
      </w:r>
      <w:r w:rsidR="00E141DE">
        <w:rPr>
          <w:rStyle w:val="acopre"/>
          <w:vertAlign w:val="subscript"/>
        </w:rPr>
        <w:t>25527</w:t>
      </w:r>
      <w:r w:rsidR="00AE5BBD">
        <w:t xml:space="preserve">= </w:t>
      </w:r>
      <w:r w:rsidR="00D03748">
        <w:t>12.183</w:t>
      </w:r>
      <w:r w:rsidR="00AE5BBD">
        <w:t xml:space="preserve">, p &lt; 0.0001). </w:t>
      </w:r>
      <w:r w:rsidR="006A5980">
        <w:t xml:space="preserve">When increasing the rate of pleiotropy, </w:t>
      </w:r>
      <w:r w:rsidR="00980383">
        <w:t xml:space="preserve">under strong selection, there is a </w:t>
      </w:r>
      <w:r w:rsidR="00AB4E76">
        <w:t>counter-</w:t>
      </w:r>
      <w:r w:rsidR="00980383">
        <w:t xml:space="preserve">clockwise rotation of </w:t>
      </w:r>
      <w:r w:rsidR="00AB4E76">
        <w:t xml:space="preserve">16.36 </w:t>
      </w:r>
      <w:r w:rsidR="00980383">
        <w:rPr>
          <w:rStyle w:val="acopre"/>
        </w:rPr>
        <w:t xml:space="preserve">± </w:t>
      </w:r>
      <w:r w:rsidR="00D03748">
        <w:rPr>
          <w:rStyle w:val="acopre"/>
        </w:rPr>
        <w:t>2.08</w:t>
      </w:r>
      <w:r w:rsidR="00980383">
        <w:rPr>
          <w:rStyle w:val="acopre"/>
        </w:rPr>
        <w:t xml:space="preserve"> degrees (t</w:t>
      </w:r>
      <w:r w:rsidR="00E141DE">
        <w:rPr>
          <w:rStyle w:val="acopre"/>
          <w:vertAlign w:val="subscript"/>
        </w:rPr>
        <w:t>25527</w:t>
      </w:r>
      <w:r w:rsidR="00980383">
        <w:t xml:space="preserve"> = </w:t>
      </w:r>
      <w:r w:rsidR="00AB4E76">
        <w:t>-</w:t>
      </w:r>
      <w:r w:rsidR="00D03748">
        <w:t>7.853</w:t>
      </w:r>
      <w:r w:rsidR="00980383">
        <w:t>, p &lt; 0.0001). Under weak selection however, the mean rotation is</w:t>
      </w:r>
      <w:r w:rsidR="00AB4E76">
        <w:t xml:space="preserve"> increased to</w:t>
      </w:r>
      <w:r w:rsidR="00980383">
        <w:t xml:space="preserve"> </w:t>
      </w:r>
      <w:r w:rsidR="00AB4E76">
        <w:t>20.72</w:t>
      </w:r>
      <w:r w:rsidR="00980383">
        <w:t xml:space="preserve"> </w:t>
      </w:r>
      <w:r w:rsidR="00980383">
        <w:rPr>
          <w:rStyle w:val="acopre"/>
        </w:rPr>
        <w:t xml:space="preserve">± </w:t>
      </w:r>
      <w:r w:rsidR="00D03748">
        <w:rPr>
          <w:rStyle w:val="acopre"/>
        </w:rPr>
        <w:t>2.02</w:t>
      </w:r>
      <w:r w:rsidR="00980383">
        <w:rPr>
          <w:rStyle w:val="acopre"/>
        </w:rPr>
        <w:t xml:space="preserve"> degrees in the counter-clockwise direction (t</w:t>
      </w:r>
      <w:r w:rsidR="00E141DE">
        <w:rPr>
          <w:rStyle w:val="acopre"/>
          <w:vertAlign w:val="subscript"/>
        </w:rPr>
        <w:t>25527</w:t>
      </w:r>
      <w:r w:rsidR="00980383">
        <w:rPr>
          <w:rStyle w:val="acopre"/>
        </w:rPr>
        <w:t xml:space="preserve"> = -</w:t>
      </w:r>
      <w:r w:rsidR="00D03748">
        <w:rPr>
          <w:rStyle w:val="acopre"/>
        </w:rPr>
        <w:t>10.285</w:t>
      </w:r>
      <w:r w:rsidR="00980383">
        <w:rPr>
          <w:rStyle w:val="acopre"/>
        </w:rPr>
        <w:t xml:space="preserve">, p &lt; 0.0001). </w:t>
      </w:r>
    </w:p>
    <w:p w14:paraId="5A50DE2C" w14:textId="1CAEC7EB" w:rsidR="00AD2A73" w:rsidRPr="00AD2A73" w:rsidRDefault="00AD2A73" w:rsidP="004E0ECF">
      <w:r>
        <w:rPr>
          <w:rStyle w:val="acopre"/>
        </w:rPr>
        <w:t>Major-minor axis ratios were fairly static, with signific</w:t>
      </w:r>
      <w:r w:rsidR="00F17580">
        <w:rPr>
          <w:rStyle w:val="acopre"/>
        </w:rPr>
        <w:t>ant differences being less than 0.1 in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F201C5C" w14:textId="77777777" w:rsidR="005A3FE8" w:rsidRDefault="005A3FE8" w:rsidP="004F0C57">
      <w:pPr>
        <w:rPr>
          <w:lang w:val="en-US"/>
        </w:rPr>
      </w:pPr>
    </w:p>
    <w:p w14:paraId="0080E3A9" w14:textId="41B0E5C5" w:rsidR="0075385C" w:rsidRDefault="006834F1" w:rsidP="004F0C57">
      <w:pPr>
        <w:rPr>
          <w:rFonts w:eastAsiaTheme="minorEastAsia"/>
          <w:lang w:val="en-US"/>
        </w:rPr>
      </w:pPr>
      <w:r>
        <w:rPr>
          <w:lang w:val="en-US"/>
        </w:rPr>
        <w:lastRenderedPageBreak/>
        <w:t xml:space="preserve">I repeated the relative PCA analysis for the selection model, considering interactions between selection strength and the other parameters. Under strong selection, large differences between models being compared led to a decrease of 0.4594 </w:t>
      </w:r>
      <w:r>
        <w:rPr>
          <w:rStyle w:val="acopre"/>
        </w:rPr>
        <w:t xml:space="preserve">± 0.165 log units of </w:t>
      </w:r>
      <w:r w:rsidR="00E82625">
        <w:rPr>
          <w:rStyle w:val="acopre"/>
        </w:rPr>
        <w:t>generalized</w:t>
      </w:r>
      <w:r>
        <w:rPr>
          <w:rStyle w:val="acopre"/>
        </w:rPr>
        <w:t xml:space="preserve"> variance (t</w:t>
      </w:r>
      <w:r>
        <w:rPr>
          <w:rStyle w:val="acopre"/>
          <w:vertAlign w:val="subscript"/>
        </w:rPr>
        <w:t>812727</w:t>
      </w:r>
      <w:r>
        <w:rPr>
          <w:rStyle w:val="acopre"/>
        </w:rPr>
        <w:t xml:space="preserve"> = 2.778, p = 0.0151) relative to a pair of similar-background-selection-rate models, regardless of what that rate was. Under weak selection, there was no effect of the similarity of models in a pair on log </w:t>
      </w:r>
      <w:r w:rsidR="00E82625">
        <w:rPr>
          <w:rStyle w:val="acopre"/>
        </w:rPr>
        <w:t>generalized</w:t>
      </w:r>
      <w:r>
        <w:rPr>
          <w:rStyle w:val="acopre"/>
        </w:rPr>
        <w:t xml:space="preserve"> variance (t</w:t>
      </w:r>
      <w:r>
        <w:rPr>
          <w:rStyle w:val="acopre"/>
          <w:vertAlign w:val="subscript"/>
        </w:rPr>
        <w:t>812727</w:t>
      </w:r>
      <w:r>
        <w:rPr>
          <w:rStyle w:val="acopre"/>
        </w:rPr>
        <w:t xml:space="preserve"> = 0.079, p = 0.9966).</w:t>
      </w:r>
      <w:r w:rsidR="004B05A5">
        <w:rPr>
          <w:rStyle w:val="acopre"/>
        </w:rPr>
        <w:t xml:space="preserve"> Differences </w:t>
      </w:r>
      <w:r w:rsidR="00B93CEB">
        <w:rPr>
          <w:rStyle w:val="acopre"/>
        </w:rPr>
        <w:t xml:space="preserve">in recombination rate </w:t>
      </w:r>
      <w:r w:rsidR="004B05A5">
        <w:rPr>
          <w:rStyle w:val="acopre"/>
        </w:rPr>
        <w:t xml:space="preserve">between pairs of </w:t>
      </w:r>
      <w:r w:rsidR="00B93CEB">
        <w:rPr>
          <w:rStyle w:val="acopre"/>
        </w:rPr>
        <w:t xml:space="preserve">models led to differences in mean log </w:t>
      </w:r>
      <w:r w:rsidR="00E82625">
        <w:rPr>
          <w:rStyle w:val="acopre"/>
        </w:rPr>
        <w:t>generalized</w:t>
      </w:r>
      <w:r w:rsidR="00B93CEB">
        <w:rPr>
          <w:rStyle w:val="acopre"/>
        </w:rPr>
        <w:t xml:space="preserve"> variance under both weak and strong selection (strong selection: 2.551 ± 0.165 log units; t</w:t>
      </w:r>
      <w:r w:rsidR="00B93CEB">
        <w:rPr>
          <w:rStyle w:val="acopre"/>
          <w:vertAlign w:val="subscript"/>
        </w:rPr>
        <w:t>812727</w:t>
      </w:r>
      <w:r w:rsidR="00B93CEB">
        <w:rPr>
          <w:rStyle w:val="acopre"/>
        </w:rPr>
        <w:t xml:space="preserve"> = -15.481, p &lt; 0.0001; weak selection: 1.555 ± 0.245 log units; t</w:t>
      </w:r>
      <w:r w:rsidR="00B93CEB">
        <w:rPr>
          <w:rStyle w:val="acopre"/>
          <w:vertAlign w:val="subscript"/>
        </w:rPr>
        <w:t>812727</w:t>
      </w:r>
      <w:r w:rsidR="00B93CEB">
        <w:rPr>
          <w:rStyle w:val="acopre"/>
        </w:rPr>
        <w:t xml:space="preserve"> = -6.336, p &lt; 0.0001). A similar effect was seen with pleiotropic covariance divergence between pairs; under high selection, shifting from a similar pair to a divergent pair resulted in a decrease of 0.895 ± 0.168 log units of </w:t>
      </w:r>
      <w:r w:rsidR="00E82625">
        <w:rPr>
          <w:rStyle w:val="acopre"/>
        </w:rPr>
        <w:t>generalized</w:t>
      </w:r>
      <w:r w:rsidR="00B93CEB">
        <w:rPr>
          <w:rStyle w:val="acopre"/>
        </w:rPr>
        <w:t xml:space="preserve"> variance (t</w:t>
      </w:r>
      <w:r w:rsidR="00B93CEB">
        <w:rPr>
          <w:rStyle w:val="acopre"/>
          <w:vertAlign w:val="subscript"/>
        </w:rPr>
        <w:t>812727</w:t>
      </w:r>
      <w:r w:rsidR="00B93CEB">
        <w:rPr>
          <w:rStyle w:val="acopre"/>
        </w:rPr>
        <w:t xml:space="preserve"> = 5.331, p &lt; 0.0001). Under low selection, this decrease was 3.432 ± 0.251 units (t</w:t>
      </w:r>
      <w:r w:rsidR="00B93CEB">
        <w:rPr>
          <w:rStyle w:val="acopre"/>
          <w:vertAlign w:val="subscript"/>
        </w:rPr>
        <w:t>812727</w:t>
      </w:r>
      <w:r w:rsidR="00B93CEB">
        <w:rPr>
          <w:rStyle w:val="acopre"/>
        </w:rPr>
        <w:t xml:space="preserve"> = 13.647, p &lt; 0.0001).</w:t>
      </w:r>
      <w:r w:rsidR="00527FB6">
        <w:rPr>
          <w:rStyle w:val="acopre"/>
        </w:rPr>
        <w:t xml:space="preserve"> Differences in pleiotropy rate </w:t>
      </w:r>
      <w:r w:rsidR="00E82625">
        <w:rPr>
          <w:rStyle w:val="acopre"/>
        </w:rPr>
        <w:t xml:space="preserve">divergence </w:t>
      </w:r>
      <w:r w:rsidR="00527FB6">
        <w:rPr>
          <w:rStyle w:val="acopre"/>
        </w:rPr>
        <w:t xml:space="preserve">between models had no effect on log generalized variance regardless of </w:t>
      </w:r>
      <w:r w:rsidR="00E82625">
        <w:rPr>
          <w:rStyle w:val="acopre"/>
        </w:rPr>
        <w:t>selection strength, but this was only true in when comparing extremes. Comparisons between models with medium amounts of divergence and either little dive</w:t>
      </w:r>
      <w:r w:rsidR="00013215">
        <w:rPr>
          <w:rStyle w:val="acopre"/>
        </w:rPr>
        <w:t xml:space="preserve">rgence or maximum divergence </w:t>
      </w:r>
      <w:r w:rsidR="00E82625">
        <w:rPr>
          <w:rStyle w:val="acopre"/>
        </w:rPr>
        <w:t>led to significant changes in log generalised variance</w:t>
      </w:r>
      <w:r w:rsidR="008B1923">
        <w:rPr>
          <w:rStyle w:val="acopre"/>
        </w:rPr>
        <w:t xml:space="preserve"> under both strong and weak selection, but not intermediate levels (high selection strength, low to medium 1.152 ± 0.13, t</w:t>
      </w:r>
      <w:r w:rsidR="008B1923">
        <w:rPr>
          <w:rStyle w:val="acopre"/>
          <w:vertAlign w:val="subscript"/>
        </w:rPr>
        <w:t>812727</w:t>
      </w:r>
      <w:r w:rsidR="008B1923">
        <w:rPr>
          <w:rStyle w:val="acopre"/>
        </w:rPr>
        <w:t xml:space="preserve"> = -8.876, p &lt; 0.0001; medium to high -1.254 ± 0.18, t</w:t>
      </w:r>
      <w:r w:rsidR="008B1923">
        <w:rPr>
          <w:rStyle w:val="acopre"/>
          <w:vertAlign w:val="subscript"/>
        </w:rPr>
        <w:t>812727</w:t>
      </w:r>
      <w:r w:rsidR="008B1923">
        <w:rPr>
          <w:rStyle w:val="acopre"/>
        </w:rPr>
        <w:t xml:space="preserve"> = 6.984, p &lt; 0.0001; low selection strength, low to medium -0.829 ± 0.222, t</w:t>
      </w:r>
      <w:r w:rsidR="008B1923">
        <w:rPr>
          <w:rStyle w:val="acopre"/>
          <w:vertAlign w:val="subscript"/>
        </w:rPr>
        <w:t>812727</w:t>
      </w:r>
      <w:r w:rsidR="008B1923">
        <w:rPr>
          <w:rStyle w:val="acopre"/>
        </w:rPr>
        <w:t xml:space="preserve"> = 3.732, p = 0.0006</w:t>
      </w:r>
      <w:r w:rsidR="005A33AA">
        <w:rPr>
          <w:rStyle w:val="acopre"/>
        </w:rPr>
        <w:t>).</w:t>
      </w:r>
      <w:r w:rsidR="00E2557D">
        <w:rPr>
          <w:rStyle w:val="acopre"/>
        </w:rPr>
        <w:t xml:space="preserve"> The exception to this was under weak selection, comparisons between medium-pleiotropy and high-pleiotropy led to a marginally insignificant difference in log generalized variance (0.636 ± 0.279, t</w:t>
      </w:r>
      <w:r w:rsidR="00E2557D">
        <w:rPr>
          <w:rStyle w:val="acopre"/>
          <w:vertAlign w:val="subscript"/>
        </w:rPr>
        <w:t>812727</w:t>
      </w:r>
      <w:r w:rsidR="00E2557D">
        <w:rPr>
          <w:rStyle w:val="acopre"/>
        </w:rPr>
        <w:t xml:space="preserve"> = -2.278, p = 0.0589).</w:t>
      </w:r>
      <w:r w:rsidR="003F7645">
        <w:rPr>
          <w:rFonts w:eastAsiaTheme="minorEastAsia"/>
          <w:lang w:val="en-US"/>
        </w:rPr>
        <w:t xml:space="preserve"> </w:t>
      </w:r>
    </w:p>
    <w:p w14:paraId="3DECEEF5" w14:textId="134A0D2D" w:rsidR="005A3FE8" w:rsidRDefault="005A3FE8" w:rsidP="004F0C57">
      <w:pPr>
        <w:rPr>
          <w:rFonts w:eastAsiaTheme="minorEastAsia"/>
          <w:lang w:val="en-US"/>
        </w:rPr>
      </w:pPr>
      <w:r>
        <w:rPr>
          <w:rFonts w:eastAsiaTheme="minorEastAsia"/>
          <w:lang w:val="en-US"/>
        </w:rPr>
        <w:t xml:space="preserve">To describe the pattern of variation resulting from different combinations of parameters under different strengths of selection, I used </w:t>
      </w:r>
      <w:proofErr w:type="spellStart"/>
      <w:r>
        <w:rPr>
          <w:rFonts w:eastAsiaTheme="minorEastAsia"/>
          <w:lang w:val="en-US"/>
        </w:rPr>
        <w:t>eigentensor</w:t>
      </w:r>
      <w:proofErr w:type="spellEnd"/>
      <w:r>
        <w:rPr>
          <w:rFonts w:eastAsiaTheme="minorEastAsia"/>
          <w:lang w:val="en-US"/>
        </w:rPr>
        <w:t xml:space="preserve"> decomposition and projection. I found that under weak selection, </w:t>
      </w:r>
    </w:p>
    <w:p w14:paraId="4597F875" w14:textId="77777777" w:rsidR="005A3FE8" w:rsidRDefault="005A3FE8" w:rsidP="004F0C57">
      <w:pPr>
        <w:rPr>
          <w:rFonts w:eastAsiaTheme="minorEastAsia"/>
          <w:lang w:val="en-US"/>
        </w:rPr>
      </w:pPr>
    </w:p>
    <w:p w14:paraId="722376F8" w14:textId="77777777" w:rsidR="005A3FE8" w:rsidRDefault="005A3FE8" w:rsidP="004F0C57">
      <w:pPr>
        <w:rPr>
          <w:rFonts w:eastAsiaTheme="minorEastAsia"/>
          <w:lang w:val="en-US"/>
        </w:rPr>
      </w:pPr>
    </w:p>
    <w:p w14:paraId="6BAA7986" w14:textId="15F15EB7" w:rsidR="0075385C" w:rsidRPr="00750B46" w:rsidRDefault="00895210" w:rsidP="004F0C57">
      <w:pPr>
        <w:rPr>
          <w:lang w:val="en-US"/>
        </w:rPr>
      </w:pPr>
      <w:r>
        <w:rPr>
          <w:rFonts w:eastAsiaTheme="minorEastAsia"/>
          <w:lang w:val="en-US"/>
        </w:rPr>
        <w:t>Euclidean distances from the optimum were also computed for selection models</w:t>
      </w:r>
      <w:r w:rsidR="008D4724">
        <w:rPr>
          <w:rFonts w:eastAsiaTheme="minorEastAsia"/>
          <w:lang w:val="en-US"/>
        </w:rPr>
        <w:t xml:space="preserve"> (Figure 7)</w:t>
      </w:r>
      <w:r>
        <w:rPr>
          <w:rFonts w:eastAsiaTheme="minorEastAsia"/>
          <w:lang w:val="en-US"/>
        </w:rPr>
        <w:t xml:space="preserve">. Under strong selection, increasing background selection from low to high resulted in an average decrease in distance from the optimum of 147.4 </w:t>
      </w:r>
      <w:r>
        <w:rPr>
          <w:rStyle w:val="acopre"/>
        </w:rPr>
        <w:t>± 2.95 units (t</w:t>
      </w:r>
      <w:r>
        <w:rPr>
          <w:rStyle w:val="acopre"/>
          <w:vertAlign w:val="subscript"/>
        </w:rPr>
        <w:t>25527</w:t>
      </w:r>
      <w:r>
        <w:rPr>
          <w:rStyle w:val="acopre"/>
        </w:rPr>
        <w:t xml:space="preserve"> = 49.942, p &lt; 0.0001). Under weak selection, this decrease was 167.3 ± 3.44 units (t</w:t>
      </w:r>
      <w:r>
        <w:rPr>
          <w:rStyle w:val="acopre"/>
          <w:vertAlign w:val="subscript"/>
        </w:rPr>
        <w:t xml:space="preserve">25527 </w:t>
      </w:r>
      <w:r w:rsidRPr="00895210">
        <w:rPr>
          <w:rStyle w:val="acopre"/>
        </w:rPr>
        <w:t>= 48.695</w:t>
      </w:r>
      <w:r>
        <w:rPr>
          <w:rStyle w:val="acopre"/>
        </w:rPr>
        <w:t xml:space="preserve">, p &lt; 0.0001). </w:t>
      </w:r>
      <w:r w:rsidR="001D2170">
        <w:rPr>
          <w:rStyle w:val="acopre"/>
        </w:rPr>
        <w:t>Increasing recombination had no effect on the distance from the optimum under strong selection (t</w:t>
      </w:r>
      <w:r w:rsidR="001D2170">
        <w:rPr>
          <w:rStyle w:val="acopre"/>
          <w:vertAlign w:val="subscript"/>
        </w:rPr>
        <w:t>25527</w:t>
      </w:r>
      <w:r w:rsidR="001D2170">
        <w:rPr>
          <w:rStyle w:val="acopre"/>
        </w:rPr>
        <w:t xml:space="preserve"> = 1.55, p = 0.2677), however under weak selection, increasing recombination from low to high resulted in an increase in distance from the optimum (22.865 ± 3.61, t</w:t>
      </w:r>
      <w:r w:rsidR="001D2170">
        <w:rPr>
          <w:rStyle w:val="acopre"/>
          <w:vertAlign w:val="subscript"/>
        </w:rPr>
        <w:t>25527</w:t>
      </w:r>
      <w:r w:rsidR="001D2170">
        <w:rPr>
          <w:rStyle w:val="acopre"/>
        </w:rPr>
        <w:t xml:space="preserve"> = -6.33, p &lt; 0.0001).</w:t>
      </w:r>
      <w:r w:rsidR="00A87266">
        <w:rPr>
          <w:rStyle w:val="acopre"/>
        </w:rPr>
        <w:t xml:space="preserve"> Increasing pleiotropy rate </w:t>
      </w:r>
      <w:r w:rsidR="00A87266">
        <w:rPr>
          <w:rStyle w:val="acopre"/>
        </w:rPr>
        <w:lastRenderedPageBreak/>
        <w:t>showed an increase in distance of 10.97 ± 2.96 units under strong selection (t</w:t>
      </w:r>
      <w:r w:rsidR="00A87266">
        <w:rPr>
          <w:rStyle w:val="acopre"/>
          <w:vertAlign w:val="subscript"/>
        </w:rPr>
        <w:t>25527</w:t>
      </w:r>
      <w:r w:rsidR="00A87266">
        <w:rPr>
          <w:rStyle w:val="acopre"/>
        </w:rPr>
        <w:t xml:space="preserve"> = -3.711, p = 0.0006), and an increase of 21.97 ± 3.35 units under weak selection (t</w:t>
      </w:r>
      <w:r w:rsidR="00A87266">
        <w:rPr>
          <w:rStyle w:val="acopre"/>
          <w:vertAlign w:val="subscript"/>
        </w:rPr>
        <w:t>25527</w:t>
      </w:r>
      <w:r w:rsidR="00A87266">
        <w:rPr>
          <w:rStyle w:val="acopre"/>
        </w:rPr>
        <w:t xml:space="preserve"> = -6.558</w:t>
      </w:r>
      <w:r w:rsidR="00A87266">
        <w:rPr>
          <w:rStyle w:val="acopre"/>
          <w:vertAlign w:val="subscript"/>
        </w:rPr>
        <w:t xml:space="preserve">, </w:t>
      </w:r>
      <w:r w:rsidR="00A87266">
        <w:rPr>
          <w:rStyle w:val="acopre"/>
        </w:rPr>
        <w:t>p &lt; 0.0001).</w:t>
      </w:r>
      <w:r w:rsidR="008A1502">
        <w:rPr>
          <w:rStyle w:val="acopre"/>
        </w:rPr>
        <w:t xml:space="preserve"> Pleiotropic covariance</w:t>
      </w:r>
      <w:r w:rsidR="00750B46">
        <w:rPr>
          <w:rStyle w:val="acopre"/>
        </w:rPr>
        <w:t xml:space="preserve"> also affected distance from the optimum. Under strong selection, an increase from low to high covariance had no significant effect on distance (5.71 ± 3.1; t</w:t>
      </w:r>
      <w:r w:rsidR="00750B46">
        <w:rPr>
          <w:rStyle w:val="acopre"/>
          <w:vertAlign w:val="subscript"/>
        </w:rPr>
        <w:t>25527</w:t>
      </w:r>
      <w:r w:rsidR="00750B46">
        <w:rPr>
          <w:rStyle w:val="acopre"/>
        </w:rPr>
        <w:t xml:space="preserve"> = 1.842, p = 0.1561). Under low selection however, increasing pleiotropic covariance resulted in a decrease in distance of 20.35 ± 3.26 units (t</w:t>
      </w:r>
      <w:r w:rsidR="00750B46">
        <w:rPr>
          <w:rStyle w:val="acopre"/>
          <w:vertAlign w:val="subscript"/>
        </w:rPr>
        <w:t>25527</w:t>
      </w:r>
      <w:r w:rsidR="00750B46">
        <w:rPr>
          <w:rStyle w:val="acopre"/>
        </w:rPr>
        <w:t xml:space="preserve"> = 6.247, p &lt; 0.0001). </w:t>
      </w:r>
    </w:p>
    <w:p w14:paraId="6FB1D17E" w14:textId="77777777" w:rsidR="003C0FFD" w:rsidRDefault="003C0FFD" w:rsidP="004F0C57">
      <w:pPr>
        <w:rPr>
          <w:lang w:val="en-US"/>
        </w:rPr>
      </w:pPr>
    </w:p>
    <w:p w14:paraId="13BECB75" w14:textId="77777777" w:rsidR="003C0FFD" w:rsidRDefault="003C0FFD" w:rsidP="004F0C57">
      <w:pPr>
        <w:rPr>
          <w:lang w:val="en-US"/>
        </w:rPr>
      </w:pPr>
    </w:p>
    <w:p w14:paraId="19900493" w14:textId="77777777" w:rsidR="003C0FFD" w:rsidRDefault="003C0FFD" w:rsidP="004F0C57">
      <w:pPr>
        <w:rPr>
          <w:lang w:val="en-US"/>
        </w:rPr>
      </w:pPr>
    </w:p>
    <w:p w14:paraId="450C304D" w14:textId="77777777" w:rsidR="003C0FFD" w:rsidRDefault="003C0FFD" w:rsidP="004F0C57">
      <w:pPr>
        <w:rPr>
          <w:lang w:val="en-US"/>
        </w:rPr>
      </w:pPr>
    </w:p>
    <w:p w14:paraId="7FA5DCF3" w14:textId="77777777" w:rsidR="003C0FFD" w:rsidRDefault="003C0FFD" w:rsidP="004F0C57">
      <w:pPr>
        <w:rPr>
          <w:lang w:val="en-US"/>
        </w:rPr>
      </w:pPr>
    </w:p>
    <w:p w14:paraId="191A5476" w14:textId="77777777" w:rsidR="003C0FFD" w:rsidRDefault="003C0FFD" w:rsidP="004F0C57">
      <w:pPr>
        <w:rPr>
          <w:lang w:val="en-US"/>
        </w:rPr>
      </w:pPr>
    </w:p>
    <w:p w14:paraId="2226E1D9" w14:textId="77777777" w:rsidR="003C0FFD" w:rsidRDefault="003C0FFD"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covariance between traits 1 and 2 as a proxy for all of the variance and covariance terms. I did a more complete analysis of the total variance-covariance structure with PCA and relative PCA later on.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lastRenderedPageBreak/>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43696D"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5.75pt">
            <v:imagedata r:id="rId7" o:title="logGV_means"/>
          </v:shape>
        </w:pict>
      </w:r>
    </w:p>
    <w:p w14:paraId="2289A97C" w14:textId="11BD1498" w:rsidR="00445817" w:rsidRDefault="00521BDE" w:rsidP="004F0C57">
      <w:pPr>
        <w:rPr>
          <w:lang w:val="en-US"/>
        </w:rPr>
      </w:pPr>
      <w:r>
        <w:rPr>
          <w:lang w:val="en-US"/>
        </w:rPr>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43696D" w:rsidP="004F0C57">
      <w:pPr>
        <w:rPr>
          <w:lang w:val="en-US"/>
        </w:rPr>
      </w:pPr>
      <w:r>
        <w:rPr>
          <w:lang w:val="en-US"/>
        </w:rPr>
        <w:lastRenderedPageBreak/>
        <w:pict w14:anchorId="11A7A1BF">
          <v:shape id="_x0000_i1026" type="#_x0000_t75" style="width:468pt;height:225pt">
            <v:imagedata r:id="rId9" o:title="logGV_dists"/>
          </v:shape>
        </w:pict>
      </w:r>
      <w:r>
        <w:rPr>
          <w:lang w:val="en-US"/>
        </w:rPr>
        <w:pict w14:anchorId="068B767C">
          <v:shape id="_x0000_i1027" type="#_x0000_t75" style="width:467.25pt;height:281.25pt">
            <v:imagedata r:id="rId10"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40C731EC" w:rsidR="00C95026" w:rsidRDefault="008563F4" w:rsidP="004F0C57">
      <w:pPr>
        <w:rPr>
          <w:lang w:val="en-US"/>
        </w:rPr>
      </w:pPr>
      <w:r>
        <w:rPr>
          <w:noProof/>
          <w:lang w:eastAsia="en-AU"/>
        </w:rPr>
        <w:lastRenderedPageBreak/>
        <w:drawing>
          <wp:inline distT="0" distB="0" distL="0" distR="0" wp14:anchorId="7B249B2A" wp14:editId="05A25C9A">
            <wp:extent cx="5931535" cy="2623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623820"/>
                    </a:xfrm>
                    <a:prstGeom prst="rect">
                      <a:avLst/>
                    </a:prstGeom>
                    <a:noFill/>
                    <a:ln>
                      <a:noFill/>
                    </a:ln>
                  </pic:spPr>
                </pic:pic>
              </a:graphicData>
            </a:graphic>
          </wp:inline>
        </w:drawing>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46134AE" w:rsidR="00EF7908" w:rsidRDefault="008563F4" w:rsidP="004F0C57">
      <w:pPr>
        <w:rPr>
          <w:lang w:val="en-US"/>
        </w:rPr>
      </w:pPr>
      <w:r>
        <w:rPr>
          <w:noProof/>
          <w:lang w:eastAsia="en-AU"/>
        </w:rPr>
        <w:drawing>
          <wp:inline distT="0" distB="0" distL="0" distR="0" wp14:anchorId="028BCAB5" wp14:editId="78223BE8">
            <wp:extent cx="5939790" cy="2703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1316035C" w:rsidR="001F7463" w:rsidRDefault="001F7463" w:rsidP="004F0C57">
      <w:pPr>
        <w:rPr>
          <w:lang w:val="en-US"/>
        </w:rPr>
      </w:pPr>
    </w:p>
    <w:p w14:paraId="17F585BA" w14:textId="04F52DA5" w:rsidR="001F7463" w:rsidRDefault="008563F4" w:rsidP="004F0C57">
      <w:pPr>
        <w:rPr>
          <w:lang w:val="en-US"/>
        </w:rPr>
      </w:pPr>
      <w:r>
        <w:rPr>
          <w:noProof/>
          <w:lang w:eastAsia="en-AU"/>
        </w:rPr>
        <w:drawing>
          <wp:inline distT="0" distB="0" distL="0" distR="0" wp14:anchorId="2CA10E93" wp14:editId="2F08B37C">
            <wp:extent cx="5939790" cy="27031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r>
        <w:rPr>
          <w:noProof/>
          <w:lang w:eastAsia="en-AU"/>
        </w:rPr>
        <w:drawing>
          <wp:inline distT="0" distB="0" distL="0" distR="0" wp14:anchorId="0ADC3981" wp14:editId="2C2F1607">
            <wp:extent cx="5939790" cy="2703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CE4BA21" w14:textId="6CA166ED" w:rsidR="008563F4" w:rsidRDefault="008563F4" w:rsidP="004F0C57">
      <w:pPr>
        <w:rPr>
          <w:lang w:val="en-US"/>
        </w:rPr>
      </w:pPr>
      <w:r>
        <w:rPr>
          <w:noProof/>
          <w:lang w:eastAsia="en-AU"/>
        </w:rPr>
        <w:lastRenderedPageBreak/>
        <w:drawing>
          <wp:inline distT="0" distB="0" distL="0" distR="0" wp14:anchorId="12F9A693" wp14:editId="13638992">
            <wp:extent cx="5939790" cy="27031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61213B23" w14:textId="52E68A2D" w:rsidR="001F7463" w:rsidRPr="001F7463" w:rsidRDefault="001F7463" w:rsidP="004F0C57">
      <w:pPr>
        <w:rPr>
          <w:b/>
          <w:lang w:val="en-US"/>
        </w:rPr>
      </w:pPr>
      <w:r>
        <w:rPr>
          <w:b/>
          <w:lang w:val="en-US"/>
        </w:rPr>
        <w:t>One of these for figure 6</w:t>
      </w:r>
    </w:p>
    <w:p w14:paraId="4117FC66" w14:textId="77777777" w:rsidR="001F7463" w:rsidRDefault="001F7463" w:rsidP="004F0C57">
      <w:pPr>
        <w:rPr>
          <w:lang w:val="en-US"/>
        </w:rPr>
      </w:pPr>
    </w:p>
    <w:p w14:paraId="20CA34C5" w14:textId="77777777" w:rsidR="00CF3C11" w:rsidRDefault="00CF3C11" w:rsidP="004F0C57">
      <w:pPr>
        <w:rPr>
          <w:lang w:val="en-US"/>
        </w:rPr>
      </w:pPr>
    </w:p>
    <w:p w14:paraId="08573F70" w14:textId="4CDF14F5" w:rsidR="00CF3C11" w:rsidRDefault="0043696D" w:rsidP="004F0C57">
      <w:pPr>
        <w:rPr>
          <w:lang w:val="en-US"/>
        </w:rPr>
      </w:pPr>
      <w:r>
        <w:rPr>
          <w:lang w:val="en-US"/>
        </w:rPr>
        <w:pict w14:anchorId="0D64980D">
          <v:shape id="_x0000_i1028" type="#_x0000_t75" style="width:467.25pt;height:207pt">
            <v:imagedata r:id="rId16" o:title="sel_eucdist"/>
          </v:shape>
        </w:pict>
      </w:r>
    </w:p>
    <w:p w14:paraId="5050F5F3" w14:textId="77777777" w:rsidR="00CF3C11" w:rsidRDefault="00CF3C11" w:rsidP="004F0C57">
      <w:pPr>
        <w:rPr>
          <w:lang w:val="en-US"/>
        </w:rPr>
      </w:pPr>
    </w:p>
    <w:p w14:paraId="4CF857FF" w14:textId="48644718" w:rsidR="00CF3C11" w:rsidRDefault="00CF3C11" w:rsidP="004F0C57">
      <w:pPr>
        <w:rPr>
          <w:lang w:val="en-US"/>
        </w:rPr>
        <w:sectPr w:rsidR="00CF3C11">
          <w:pgSz w:w="12240" w:h="15840"/>
          <w:pgMar w:top="1440" w:right="1440" w:bottom="1440" w:left="1440" w:header="720" w:footer="720" w:gutter="0"/>
          <w:cols w:space="720"/>
          <w:docGrid w:linePitch="360"/>
        </w:sectPr>
      </w:pPr>
      <w:r>
        <w:rPr>
          <w:lang w:val="en-US"/>
        </w:rPr>
        <w:t>Figure 7 – Euclidean distance from the optimum by parameter and selection strength</w:t>
      </w: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5E5C5D3" w:rsidR="00564ED3" w:rsidRDefault="00564ED3" w:rsidP="00C95026">
            <w:pPr>
              <w:jc w:val="center"/>
              <w:rPr>
                <w:lang w:val="en-US"/>
              </w:rPr>
            </w:pPr>
            <w:r>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 xml:space="preserve">Additive effect size controls the variance of trait effect size around mean 0, so that </w:t>
            </w:r>
            <w:proofErr w:type="gramStart"/>
            <w:r>
              <w:rPr>
                <w:lang w:val="en-US"/>
              </w:rPr>
              <w:t>N(</w:t>
            </w:r>
            <w:proofErr w:type="gramEnd"/>
            <w:r>
              <w:rPr>
                <w:lang w:val="en-US"/>
              </w:rPr>
              <w:t>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6CC96FE7" w:rsidR="00C95026" w:rsidRDefault="00C95026" w:rsidP="00C95026">
      <w:r w:rsidRPr="00C95026">
        <w:lastRenderedPageBreak/>
        <w:t>Table 2:</w:t>
      </w:r>
      <w:r>
        <w:t xml:space="preserve"> Test results for Kolmogorov-Smirnov tests between distributions of log </w:t>
      </w:r>
      <w:r w:rsidR="00E82625">
        <w:t>generalized</w:t>
      </w:r>
      <w:r>
        <w:t xml:space="preserve">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7C898D1C" w14:textId="77777777" w:rsidR="00D952B4" w:rsidRPr="00D952B4" w:rsidRDefault="00684609" w:rsidP="00D952B4">
      <w:pPr>
        <w:pStyle w:val="EndNoteBibliography"/>
        <w:spacing w:after="0"/>
        <w:ind w:left="720" w:hanging="720"/>
      </w:pPr>
      <w:r>
        <w:fldChar w:fldCharType="begin"/>
      </w:r>
      <w:r>
        <w:instrText xml:space="preserve"> ADDIN EN.REFLIST </w:instrText>
      </w:r>
      <w:r>
        <w:fldChar w:fldCharType="separate"/>
      </w:r>
      <w:r w:rsidR="00D952B4" w:rsidRPr="00D952B4">
        <w:t>Aguirre, J. D., E. Hine, K. McGuigan and M. W. Blows, 2014 Comparing G: multivariate analysis of genetic variation in multiple populations. Heredity 112</w:t>
      </w:r>
      <w:r w:rsidR="00D952B4" w:rsidRPr="00D952B4">
        <w:rPr>
          <w:b/>
        </w:rPr>
        <w:t>:</w:t>
      </w:r>
      <w:r w:rsidR="00D952B4" w:rsidRPr="00D952B4">
        <w:t xml:space="preserve"> 21-29.</w:t>
      </w:r>
    </w:p>
    <w:p w14:paraId="38B28D2E" w14:textId="77777777" w:rsidR="00D952B4" w:rsidRPr="00D952B4" w:rsidRDefault="00D952B4" w:rsidP="00D952B4">
      <w:pPr>
        <w:pStyle w:val="EndNoteBibliography"/>
        <w:spacing w:after="0"/>
        <w:ind w:left="720" w:hanging="720"/>
      </w:pPr>
      <w:r w:rsidRPr="00D952B4">
        <w:t>Aston, E., A. Channon, R. V. Belavkin, D. R. Gifford, R. Krasovec</w:t>
      </w:r>
      <w:r w:rsidRPr="00D952B4">
        <w:rPr>
          <w:i/>
        </w:rPr>
        <w:t xml:space="preserve"> et al.</w:t>
      </w:r>
      <w:r w:rsidRPr="00D952B4">
        <w:t>, 2017 Critical Mutation Rate has an Exponential Dependence on Population Size for Eukaryotic-length Genomes with Crossover. Sci Rep 7</w:t>
      </w:r>
      <w:r w:rsidRPr="00D952B4">
        <w:rPr>
          <w:b/>
        </w:rPr>
        <w:t>:</w:t>
      </w:r>
      <w:r w:rsidRPr="00D952B4">
        <w:t xml:space="preserve"> 15519.</w:t>
      </w:r>
    </w:p>
    <w:p w14:paraId="5965A8DB" w14:textId="77777777" w:rsidR="00D952B4" w:rsidRPr="00D952B4" w:rsidRDefault="00D952B4" w:rsidP="00D952B4">
      <w:pPr>
        <w:pStyle w:val="EndNoteBibliography"/>
        <w:spacing w:after="0"/>
        <w:ind w:left="720" w:hanging="720"/>
      </w:pPr>
      <w:r w:rsidRPr="00D952B4">
        <w:t>Careau, V., M. E. Wolak, P. A. Carter and T. Garland, Jr., 2015 Evolution of the additive genetic variance-covariance matrix under continuous directional selection on a complex behavioural phenotype. Proc Biol Sci 282.</w:t>
      </w:r>
    </w:p>
    <w:p w14:paraId="6D4B6352" w14:textId="77777777" w:rsidR="00D952B4" w:rsidRPr="00D952B4" w:rsidRDefault="00D952B4" w:rsidP="00D952B4">
      <w:pPr>
        <w:pStyle w:val="EndNoteBibliography"/>
        <w:spacing w:after="0"/>
        <w:ind w:left="720" w:hanging="720"/>
      </w:pPr>
      <w:r w:rsidRPr="00D952B4">
        <w:t xml:space="preserve">Eicker, F., 1967 Limit theorems for regressions with unequal and dependent errors, pp. 59-82 in </w:t>
      </w:r>
      <w:r w:rsidRPr="00D952B4">
        <w:rPr>
          <w:i/>
        </w:rPr>
        <w:t>Proceedings of the Fifth Berkeley Symposium on Mathematical Statistics and Probability, Volume 1: Statistics</w:t>
      </w:r>
      <w:r w:rsidRPr="00D952B4">
        <w:t>. University of California Press, Berkeley, Calif.</w:t>
      </w:r>
    </w:p>
    <w:p w14:paraId="06724533" w14:textId="77777777" w:rsidR="00D952B4" w:rsidRPr="00D952B4" w:rsidRDefault="00D952B4" w:rsidP="00D952B4">
      <w:pPr>
        <w:pStyle w:val="EndNoteBibliography"/>
        <w:spacing w:after="0"/>
        <w:ind w:left="720" w:hanging="720"/>
      </w:pPr>
      <w:r w:rsidRPr="00D952B4">
        <w:t>Haller, B. C., and P. W. Messer, 2019 SLiM 3: Forward Genetic Simulations Beyond the Wright-Fisher Model. Molecular Biology and Evolution 36</w:t>
      </w:r>
      <w:r w:rsidRPr="00D952B4">
        <w:rPr>
          <w:b/>
        </w:rPr>
        <w:t>:</w:t>
      </w:r>
      <w:r w:rsidRPr="00D952B4">
        <w:t xml:space="preserve"> 632-637.</w:t>
      </w:r>
    </w:p>
    <w:p w14:paraId="4B8C6921" w14:textId="77777777" w:rsidR="00D952B4" w:rsidRPr="00D952B4" w:rsidRDefault="00D952B4" w:rsidP="00D952B4">
      <w:pPr>
        <w:pStyle w:val="EndNoteBibliography"/>
        <w:spacing w:after="0"/>
        <w:ind w:left="720" w:hanging="720"/>
      </w:pPr>
      <w:r w:rsidRPr="00D952B4">
        <w:t>Hine, E., S. F. Chenoweth, H. D. Rundle and M. W. Blows, 2009 Characterizing the evolution of genetic variance using genetic covariance tensors. Philos Trans R Soc Lond B Biol Sci 364</w:t>
      </w:r>
      <w:r w:rsidRPr="00D952B4">
        <w:rPr>
          <w:b/>
        </w:rPr>
        <w:t>:</w:t>
      </w:r>
      <w:r w:rsidRPr="00D952B4">
        <w:t xml:space="preserve"> 1567-1578.</w:t>
      </w:r>
    </w:p>
    <w:p w14:paraId="4C0BAADE" w14:textId="77777777" w:rsidR="00D952B4" w:rsidRPr="00D952B4" w:rsidRDefault="00D952B4" w:rsidP="00D952B4">
      <w:pPr>
        <w:pStyle w:val="EndNoteBibliography"/>
        <w:spacing w:after="0"/>
        <w:ind w:left="720" w:hanging="720"/>
      </w:pPr>
      <w:r w:rsidRPr="00D952B4">
        <w:t xml:space="preserve">Huber, P. J., 1967 The behavior of maximum likelihood estimates under nonstandard conditions, pp. 221-233 in </w:t>
      </w:r>
      <w:r w:rsidRPr="00D952B4">
        <w:rPr>
          <w:i/>
        </w:rPr>
        <w:t>Proceedings of the Fifth Berkeley Symposium on Mathematical Statistics and Probability, Volume 1: Statistics</w:t>
      </w:r>
      <w:r w:rsidRPr="00D952B4">
        <w:t>. University of California Press, Berkeley, Calif.</w:t>
      </w:r>
    </w:p>
    <w:p w14:paraId="28F21CDA" w14:textId="77777777" w:rsidR="00D952B4" w:rsidRPr="00D952B4" w:rsidRDefault="00D952B4" w:rsidP="00D952B4">
      <w:pPr>
        <w:pStyle w:val="EndNoteBibliography"/>
        <w:spacing w:after="0"/>
        <w:ind w:left="720" w:hanging="720"/>
      </w:pPr>
      <w:r w:rsidRPr="00D952B4">
        <w:t>Kimura, M., and J. F. Crow, 1964 The Number of Alleles That Can Be Maintained in a Finite Population. Genetics 49</w:t>
      </w:r>
      <w:r w:rsidRPr="00D952B4">
        <w:rPr>
          <w:b/>
        </w:rPr>
        <w:t>:</w:t>
      </w:r>
      <w:r w:rsidRPr="00D952B4">
        <w:t xml:space="preserve"> 725-738.</w:t>
      </w:r>
    </w:p>
    <w:p w14:paraId="04B1FC9A" w14:textId="77777777" w:rsidR="00D952B4" w:rsidRPr="00D952B4" w:rsidRDefault="00D952B4" w:rsidP="00D952B4">
      <w:pPr>
        <w:pStyle w:val="EndNoteBibliography"/>
        <w:spacing w:after="0"/>
        <w:ind w:left="720" w:hanging="720"/>
      </w:pPr>
      <w:r w:rsidRPr="00D952B4">
        <w:t>Le Maître, A., and P. Mitteroecker, 2019 Multivariate comparison of variance in R. Methods in Ecology and Evolution 10</w:t>
      </w:r>
      <w:r w:rsidRPr="00D952B4">
        <w:rPr>
          <w:b/>
        </w:rPr>
        <w:t>:</w:t>
      </w:r>
      <w:r w:rsidRPr="00D952B4">
        <w:t xml:space="preserve"> 1380-1392.</w:t>
      </w:r>
    </w:p>
    <w:p w14:paraId="4947008B" w14:textId="77777777" w:rsidR="00D952B4" w:rsidRPr="00D952B4" w:rsidRDefault="00D952B4" w:rsidP="00D952B4">
      <w:pPr>
        <w:pStyle w:val="EndNoteBibliography"/>
        <w:ind w:left="720" w:hanging="720"/>
      </w:pPr>
      <w:r w:rsidRPr="00D952B4">
        <w:rPr>
          <w:sz w:val="20"/>
        </w:rPr>
        <w:t>Long, J. A.</w:t>
      </w:r>
      <w:r w:rsidRPr="00D952B4">
        <w:t>, 2020 jtools: Analysis and Presentation of Social Scientific Data</w:t>
      </w:r>
    </w:p>
    <w:p w14:paraId="69E04B4D" w14:textId="77777777" w:rsidR="00D952B4" w:rsidRPr="00D952B4" w:rsidRDefault="00D952B4" w:rsidP="00D952B4">
      <w:pPr>
        <w:pStyle w:val="EndNoteBibliography"/>
        <w:spacing w:after="0"/>
      </w:pPr>
    </w:p>
    <w:p w14:paraId="40FCE2AC" w14:textId="77777777" w:rsidR="00D952B4" w:rsidRPr="00D952B4" w:rsidRDefault="00D952B4" w:rsidP="00D952B4">
      <w:pPr>
        <w:pStyle w:val="EndNoteBibliography"/>
        <w:spacing w:after="0"/>
        <w:ind w:left="720" w:hanging="720"/>
      </w:pPr>
      <w:r w:rsidRPr="00D952B4">
        <w:t>Lumley, T., P. Diehr, S. Emerson and L. Chen, 2002 The importance of the normality assumption in large public health data sets. Annu Rev Public Health 23</w:t>
      </w:r>
      <w:r w:rsidRPr="00D952B4">
        <w:rPr>
          <w:b/>
        </w:rPr>
        <w:t>:</w:t>
      </w:r>
      <w:r w:rsidRPr="00D952B4">
        <w:t xml:space="preserve"> 151-169.</w:t>
      </w:r>
    </w:p>
    <w:p w14:paraId="4505AE2E" w14:textId="77777777" w:rsidR="00D952B4" w:rsidRPr="00D952B4" w:rsidRDefault="00D952B4" w:rsidP="00D952B4">
      <w:pPr>
        <w:pStyle w:val="EndNoteBibliography"/>
        <w:spacing w:after="0"/>
        <w:ind w:left="720" w:hanging="720"/>
      </w:pPr>
      <w:r w:rsidRPr="00D952B4">
        <w:t>Lynch, M., and R. Lande, 1998 The critical effective size for a genetically secure population. Animal Conservation 1</w:t>
      </w:r>
      <w:r w:rsidRPr="00D952B4">
        <w:rPr>
          <w:b/>
        </w:rPr>
        <w:t>:</w:t>
      </w:r>
      <w:r w:rsidRPr="00D952B4">
        <w:t xml:space="preserve"> 70-72.</w:t>
      </w:r>
    </w:p>
    <w:p w14:paraId="15CC471F" w14:textId="77777777" w:rsidR="00D952B4" w:rsidRPr="00D952B4" w:rsidRDefault="00D952B4" w:rsidP="00D952B4">
      <w:pPr>
        <w:pStyle w:val="EndNoteBibliography"/>
        <w:spacing w:after="0"/>
        <w:ind w:left="720" w:hanging="720"/>
      </w:pPr>
      <w:r w:rsidRPr="00D952B4">
        <w:t>Melo, D., G. Garcia, A. Hubbe, A. P. Assis and G. Marroig, 2015 EvolQG - An R package for evolutionary quantitative genetics. F1000Research 4</w:t>
      </w:r>
      <w:r w:rsidRPr="00D952B4">
        <w:rPr>
          <w:b/>
        </w:rPr>
        <w:t>:</w:t>
      </w:r>
      <w:r w:rsidRPr="00D952B4">
        <w:t xml:space="preserve"> 925.</w:t>
      </w:r>
    </w:p>
    <w:p w14:paraId="7BEE53D3" w14:textId="77777777" w:rsidR="00D952B4" w:rsidRPr="00D952B4" w:rsidRDefault="00D952B4" w:rsidP="00D952B4">
      <w:pPr>
        <w:pStyle w:val="EndNoteBibliography"/>
        <w:spacing w:after="0"/>
        <w:ind w:left="720" w:hanging="720"/>
      </w:pPr>
      <w:r w:rsidRPr="00D952B4">
        <w:t>R Developmental Core Team, 2019 R: A language and environment for statistical computing, pp. R Foundation for Statistical Computing, Vienna, Austria.</w:t>
      </w:r>
    </w:p>
    <w:p w14:paraId="7CB72897" w14:textId="77777777" w:rsidR="00D952B4" w:rsidRPr="00D952B4" w:rsidRDefault="00D952B4" w:rsidP="00D952B4">
      <w:pPr>
        <w:pStyle w:val="EndNoteBibliography"/>
        <w:spacing w:after="0"/>
        <w:ind w:left="720" w:hanging="720"/>
      </w:pPr>
      <w:r w:rsidRPr="00D952B4">
        <w:t>Thornton, K. R., 2019 Polygenic Adaptation to an Environmental Shift: Temporal Dynamics of Variation Under Gaussian Stabilizing Selection and Additive Effects on a Single Trait. Genetics 213</w:t>
      </w:r>
      <w:r w:rsidRPr="00D952B4">
        <w:rPr>
          <w:b/>
        </w:rPr>
        <w:t>:</w:t>
      </w:r>
      <w:r w:rsidRPr="00D952B4">
        <w:t xml:space="preserve"> 1513-1530.</w:t>
      </w:r>
    </w:p>
    <w:p w14:paraId="3AAAB3E3" w14:textId="77777777" w:rsidR="00D952B4" w:rsidRPr="00D952B4" w:rsidRDefault="00D952B4" w:rsidP="00D952B4">
      <w:pPr>
        <w:pStyle w:val="EndNoteBibliography"/>
        <w:spacing w:after="0"/>
        <w:ind w:left="720" w:hanging="720"/>
      </w:pPr>
      <w:r w:rsidRPr="00D952B4">
        <w:t>Walter, G. M., J. D. Aguirre, M. W. Blows and D. Ortiz-Barrientos, 2018 Evolution of Genetic Variance during Adaptive Radiation. The American Naturalist 191</w:t>
      </w:r>
      <w:r w:rsidRPr="00D952B4">
        <w:rPr>
          <w:b/>
        </w:rPr>
        <w:t>:</w:t>
      </w:r>
      <w:r w:rsidRPr="00D952B4">
        <w:t xml:space="preserve"> E108-E128.</w:t>
      </w:r>
    </w:p>
    <w:p w14:paraId="6F3FD5D9" w14:textId="77777777" w:rsidR="00D952B4" w:rsidRPr="00D952B4" w:rsidRDefault="00D952B4" w:rsidP="00D952B4">
      <w:pPr>
        <w:pStyle w:val="EndNoteBibliography"/>
        <w:spacing w:after="0"/>
        <w:ind w:left="720" w:hanging="720"/>
      </w:pPr>
      <w:r w:rsidRPr="00D952B4">
        <w:t>White, H., 1980 A Heteroskedasticity-Consistent Covariance-Matrix Estimator and a Direct Test for Heteroskedasticity. Econometrica 48</w:t>
      </w:r>
      <w:r w:rsidRPr="00D952B4">
        <w:rPr>
          <w:b/>
        </w:rPr>
        <w:t>:</w:t>
      </w:r>
      <w:r w:rsidRPr="00D952B4">
        <w:t xml:space="preserve"> 817-838.</w:t>
      </w:r>
    </w:p>
    <w:p w14:paraId="3326DD80" w14:textId="77777777" w:rsidR="00D952B4" w:rsidRPr="00D952B4" w:rsidRDefault="00D952B4" w:rsidP="00D952B4">
      <w:pPr>
        <w:pStyle w:val="EndNoteBibliography"/>
        <w:ind w:left="720" w:hanging="720"/>
      </w:pPr>
      <w:r w:rsidRPr="00D952B4">
        <w:t>Xu, L., H. Chen, X. Hu, R. Zhang, Z. Zhang</w:t>
      </w:r>
      <w:r w:rsidRPr="00D952B4">
        <w:rPr>
          <w:i/>
        </w:rPr>
        <w:t xml:space="preserve"> et al.</w:t>
      </w:r>
      <w:r w:rsidRPr="00D952B4">
        <w:t>, 2006 Average gene length is highly conserved in prokaryotes and eukaryotes and diverges only between the two kingdoms. Mol Biol Evol 23</w:t>
      </w:r>
      <w:r w:rsidRPr="00D952B4">
        <w:rPr>
          <w:b/>
        </w:rPr>
        <w:t>:</w:t>
      </w:r>
      <w:r w:rsidRPr="00D952B4">
        <w:t xml:space="preserve"> 1107-1108.</w:t>
      </w:r>
    </w:p>
    <w:p w14:paraId="1C337693" w14:textId="1D8FDD3B"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29&lt;/item&gt;&lt;item&gt;66&lt;/item&gt;&lt;item&gt;70&lt;/item&gt;&lt;item&gt;97&lt;/item&gt;&lt;item&gt;112&lt;/item&gt;&lt;item&gt;129&lt;/item&gt;&lt;item&gt;133&lt;/item&gt;&lt;item&gt;153&lt;/item&gt;&lt;item&gt;154&lt;/item&gt;&lt;item&gt;155&lt;/item&gt;&lt;item&gt;156&lt;/item&gt;&lt;item&gt;157&lt;/item&gt;&lt;item&gt;158&lt;/item&gt;&lt;item&gt;159&lt;/item&gt;&lt;item&gt;160&lt;/item&gt;&lt;item&gt;161&lt;/item&gt;&lt;/record-ids&gt;&lt;/item&gt;&lt;/Libraries&gt;"/>
  </w:docVars>
  <w:rsids>
    <w:rsidRoot w:val="004F0C57"/>
    <w:rsid w:val="0001140F"/>
    <w:rsid w:val="00013167"/>
    <w:rsid w:val="00013215"/>
    <w:rsid w:val="000148E6"/>
    <w:rsid w:val="00026414"/>
    <w:rsid w:val="00030268"/>
    <w:rsid w:val="000338FD"/>
    <w:rsid w:val="00034011"/>
    <w:rsid w:val="00055CC2"/>
    <w:rsid w:val="0005601C"/>
    <w:rsid w:val="00086730"/>
    <w:rsid w:val="00094A10"/>
    <w:rsid w:val="000A17B9"/>
    <w:rsid w:val="000A5207"/>
    <w:rsid w:val="000A78C8"/>
    <w:rsid w:val="000B6C20"/>
    <w:rsid w:val="000C19EF"/>
    <w:rsid w:val="000D52A0"/>
    <w:rsid w:val="000E7C40"/>
    <w:rsid w:val="00101F4B"/>
    <w:rsid w:val="00110238"/>
    <w:rsid w:val="00116403"/>
    <w:rsid w:val="00116AEC"/>
    <w:rsid w:val="00126EB6"/>
    <w:rsid w:val="00131663"/>
    <w:rsid w:val="0013636E"/>
    <w:rsid w:val="00137A3B"/>
    <w:rsid w:val="00140D67"/>
    <w:rsid w:val="001453C0"/>
    <w:rsid w:val="001463EA"/>
    <w:rsid w:val="001525A9"/>
    <w:rsid w:val="00154450"/>
    <w:rsid w:val="00156C50"/>
    <w:rsid w:val="001746A2"/>
    <w:rsid w:val="00175EF6"/>
    <w:rsid w:val="001775B8"/>
    <w:rsid w:val="001843C9"/>
    <w:rsid w:val="00185B2B"/>
    <w:rsid w:val="00195473"/>
    <w:rsid w:val="001A09EB"/>
    <w:rsid w:val="001A6709"/>
    <w:rsid w:val="001C11E6"/>
    <w:rsid w:val="001C465B"/>
    <w:rsid w:val="001C6F41"/>
    <w:rsid w:val="001D2170"/>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1DAC"/>
    <w:rsid w:val="00264C81"/>
    <w:rsid w:val="00272A74"/>
    <w:rsid w:val="00285B32"/>
    <w:rsid w:val="00293F52"/>
    <w:rsid w:val="0029447D"/>
    <w:rsid w:val="002A417C"/>
    <w:rsid w:val="002B286E"/>
    <w:rsid w:val="002B3D60"/>
    <w:rsid w:val="002B6382"/>
    <w:rsid w:val="002B6AEB"/>
    <w:rsid w:val="002C10C6"/>
    <w:rsid w:val="002C408E"/>
    <w:rsid w:val="002C6592"/>
    <w:rsid w:val="002D2218"/>
    <w:rsid w:val="002D3AFB"/>
    <w:rsid w:val="002D5442"/>
    <w:rsid w:val="002E28E0"/>
    <w:rsid w:val="002E5721"/>
    <w:rsid w:val="002F00AC"/>
    <w:rsid w:val="003027A4"/>
    <w:rsid w:val="00313F85"/>
    <w:rsid w:val="00316740"/>
    <w:rsid w:val="00321F8E"/>
    <w:rsid w:val="00334741"/>
    <w:rsid w:val="00337A3D"/>
    <w:rsid w:val="003539B9"/>
    <w:rsid w:val="00354519"/>
    <w:rsid w:val="00370DEA"/>
    <w:rsid w:val="00380507"/>
    <w:rsid w:val="00390426"/>
    <w:rsid w:val="00395219"/>
    <w:rsid w:val="003A1132"/>
    <w:rsid w:val="003A6FA5"/>
    <w:rsid w:val="003B3051"/>
    <w:rsid w:val="003B71FA"/>
    <w:rsid w:val="003C0FFD"/>
    <w:rsid w:val="003C13A0"/>
    <w:rsid w:val="003D331B"/>
    <w:rsid w:val="003E02F0"/>
    <w:rsid w:val="003E42BB"/>
    <w:rsid w:val="003E72C0"/>
    <w:rsid w:val="003F6258"/>
    <w:rsid w:val="003F73C8"/>
    <w:rsid w:val="003F7645"/>
    <w:rsid w:val="00422EA1"/>
    <w:rsid w:val="0042703B"/>
    <w:rsid w:val="004270CD"/>
    <w:rsid w:val="0043696D"/>
    <w:rsid w:val="00437AD1"/>
    <w:rsid w:val="0044538A"/>
    <w:rsid w:val="00445817"/>
    <w:rsid w:val="004567F3"/>
    <w:rsid w:val="004669DC"/>
    <w:rsid w:val="00467A73"/>
    <w:rsid w:val="00470115"/>
    <w:rsid w:val="00487561"/>
    <w:rsid w:val="00494E5C"/>
    <w:rsid w:val="004953B6"/>
    <w:rsid w:val="004A0BB9"/>
    <w:rsid w:val="004B05A5"/>
    <w:rsid w:val="004B1416"/>
    <w:rsid w:val="004B1956"/>
    <w:rsid w:val="004B4692"/>
    <w:rsid w:val="004C63D1"/>
    <w:rsid w:val="004D4A4F"/>
    <w:rsid w:val="004D5EB8"/>
    <w:rsid w:val="004E0ECF"/>
    <w:rsid w:val="004E2F6B"/>
    <w:rsid w:val="004E5966"/>
    <w:rsid w:val="004F0C57"/>
    <w:rsid w:val="0050335C"/>
    <w:rsid w:val="00521BDE"/>
    <w:rsid w:val="00527FB6"/>
    <w:rsid w:val="00545C7E"/>
    <w:rsid w:val="00563568"/>
    <w:rsid w:val="00564ED3"/>
    <w:rsid w:val="00567DCF"/>
    <w:rsid w:val="00576558"/>
    <w:rsid w:val="005930F4"/>
    <w:rsid w:val="005A16E0"/>
    <w:rsid w:val="005A33AA"/>
    <w:rsid w:val="005A3B84"/>
    <w:rsid w:val="005A3FE8"/>
    <w:rsid w:val="005B324A"/>
    <w:rsid w:val="005B7EF5"/>
    <w:rsid w:val="005C3EB4"/>
    <w:rsid w:val="005D3309"/>
    <w:rsid w:val="005D5C1F"/>
    <w:rsid w:val="00600A5E"/>
    <w:rsid w:val="00605CD1"/>
    <w:rsid w:val="0061349B"/>
    <w:rsid w:val="00615120"/>
    <w:rsid w:val="006220DA"/>
    <w:rsid w:val="0062262A"/>
    <w:rsid w:val="006278B7"/>
    <w:rsid w:val="00627FDB"/>
    <w:rsid w:val="00641FB8"/>
    <w:rsid w:val="00644A27"/>
    <w:rsid w:val="0064752F"/>
    <w:rsid w:val="00650703"/>
    <w:rsid w:val="006614CA"/>
    <w:rsid w:val="00661621"/>
    <w:rsid w:val="006661CB"/>
    <w:rsid w:val="00670465"/>
    <w:rsid w:val="00671225"/>
    <w:rsid w:val="006827A1"/>
    <w:rsid w:val="006834F1"/>
    <w:rsid w:val="00684609"/>
    <w:rsid w:val="0069389C"/>
    <w:rsid w:val="00694149"/>
    <w:rsid w:val="006A41CE"/>
    <w:rsid w:val="006A5980"/>
    <w:rsid w:val="006B6C5E"/>
    <w:rsid w:val="006C2FF1"/>
    <w:rsid w:val="006C35AB"/>
    <w:rsid w:val="006D15A5"/>
    <w:rsid w:val="006D2E7D"/>
    <w:rsid w:val="006E0C52"/>
    <w:rsid w:val="006F0488"/>
    <w:rsid w:val="006F5D7C"/>
    <w:rsid w:val="00715667"/>
    <w:rsid w:val="007410E2"/>
    <w:rsid w:val="00742DB2"/>
    <w:rsid w:val="00743ED1"/>
    <w:rsid w:val="00747EBA"/>
    <w:rsid w:val="00750B46"/>
    <w:rsid w:val="00752EB2"/>
    <w:rsid w:val="0075385C"/>
    <w:rsid w:val="0076067A"/>
    <w:rsid w:val="00767477"/>
    <w:rsid w:val="007836DB"/>
    <w:rsid w:val="007B2B62"/>
    <w:rsid w:val="007C7F38"/>
    <w:rsid w:val="007D7DA5"/>
    <w:rsid w:val="007E383D"/>
    <w:rsid w:val="007E653D"/>
    <w:rsid w:val="007F39D0"/>
    <w:rsid w:val="007F3EDF"/>
    <w:rsid w:val="007F6053"/>
    <w:rsid w:val="00806FBF"/>
    <w:rsid w:val="00811DD4"/>
    <w:rsid w:val="00826D70"/>
    <w:rsid w:val="008349C8"/>
    <w:rsid w:val="00835609"/>
    <w:rsid w:val="008563F4"/>
    <w:rsid w:val="00862DBD"/>
    <w:rsid w:val="00867601"/>
    <w:rsid w:val="008703C8"/>
    <w:rsid w:val="00876045"/>
    <w:rsid w:val="00890206"/>
    <w:rsid w:val="00895210"/>
    <w:rsid w:val="0089662F"/>
    <w:rsid w:val="00897D18"/>
    <w:rsid w:val="008A04E0"/>
    <w:rsid w:val="008A1502"/>
    <w:rsid w:val="008A2847"/>
    <w:rsid w:val="008B1923"/>
    <w:rsid w:val="008D078B"/>
    <w:rsid w:val="008D4724"/>
    <w:rsid w:val="008F235D"/>
    <w:rsid w:val="0090468E"/>
    <w:rsid w:val="00913620"/>
    <w:rsid w:val="00915125"/>
    <w:rsid w:val="009348D8"/>
    <w:rsid w:val="00952652"/>
    <w:rsid w:val="00976B70"/>
    <w:rsid w:val="00976FCF"/>
    <w:rsid w:val="00980383"/>
    <w:rsid w:val="00981368"/>
    <w:rsid w:val="00984986"/>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02701"/>
    <w:rsid w:val="00A17EAD"/>
    <w:rsid w:val="00A2270D"/>
    <w:rsid w:val="00A22B5B"/>
    <w:rsid w:val="00A2552C"/>
    <w:rsid w:val="00A444BB"/>
    <w:rsid w:val="00A54AFE"/>
    <w:rsid w:val="00A62907"/>
    <w:rsid w:val="00A63C6E"/>
    <w:rsid w:val="00A72E83"/>
    <w:rsid w:val="00A85692"/>
    <w:rsid w:val="00A87266"/>
    <w:rsid w:val="00A879B2"/>
    <w:rsid w:val="00A95E48"/>
    <w:rsid w:val="00AB4E76"/>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3DA5"/>
    <w:rsid w:val="00CC77F7"/>
    <w:rsid w:val="00CD5941"/>
    <w:rsid w:val="00CE02EC"/>
    <w:rsid w:val="00CE774A"/>
    <w:rsid w:val="00CF3C11"/>
    <w:rsid w:val="00D035BE"/>
    <w:rsid w:val="00D03748"/>
    <w:rsid w:val="00D175F6"/>
    <w:rsid w:val="00D244C3"/>
    <w:rsid w:val="00D33077"/>
    <w:rsid w:val="00D36D3F"/>
    <w:rsid w:val="00D46F7A"/>
    <w:rsid w:val="00D54DC2"/>
    <w:rsid w:val="00D642CC"/>
    <w:rsid w:val="00D72F80"/>
    <w:rsid w:val="00D82638"/>
    <w:rsid w:val="00D952B4"/>
    <w:rsid w:val="00DA3108"/>
    <w:rsid w:val="00DA5DB8"/>
    <w:rsid w:val="00DB3412"/>
    <w:rsid w:val="00DB3C2C"/>
    <w:rsid w:val="00DB6553"/>
    <w:rsid w:val="00DC08B5"/>
    <w:rsid w:val="00DD1F75"/>
    <w:rsid w:val="00DE23FE"/>
    <w:rsid w:val="00DF137C"/>
    <w:rsid w:val="00E0611C"/>
    <w:rsid w:val="00E11C3E"/>
    <w:rsid w:val="00E1306F"/>
    <w:rsid w:val="00E13A54"/>
    <w:rsid w:val="00E141DE"/>
    <w:rsid w:val="00E2557D"/>
    <w:rsid w:val="00E27891"/>
    <w:rsid w:val="00E316DF"/>
    <w:rsid w:val="00E545B1"/>
    <w:rsid w:val="00E56334"/>
    <w:rsid w:val="00E630D0"/>
    <w:rsid w:val="00E718A1"/>
    <w:rsid w:val="00E82625"/>
    <w:rsid w:val="00EA1E67"/>
    <w:rsid w:val="00EA3377"/>
    <w:rsid w:val="00EB3C50"/>
    <w:rsid w:val="00ED18BB"/>
    <w:rsid w:val="00ED2FDB"/>
    <w:rsid w:val="00ED49CB"/>
    <w:rsid w:val="00ED73A8"/>
    <w:rsid w:val="00EF444B"/>
    <w:rsid w:val="00EF4938"/>
    <w:rsid w:val="00EF7908"/>
    <w:rsid w:val="00F120DB"/>
    <w:rsid w:val="00F147D5"/>
    <w:rsid w:val="00F17580"/>
    <w:rsid w:val="00F2298B"/>
    <w:rsid w:val="00F3005C"/>
    <w:rsid w:val="00F33542"/>
    <w:rsid w:val="00F51A26"/>
    <w:rsid w:val="00F56DE6"/>
    <w:rsid w:val="00F63F27"/>
    <w:rsid w:val="00F6621B"/>
    <w:rsid w:val="00F71B00"/>
    <w:rsid w:val="00F72186"/>
    <w:rsid w:val="00F731BF"/>
    <w:rsid w:val="00F77E1D"/>
    <w:rsid w:val="00F840E0"/>
    <w:rsid w:val="00F93E1B"/>
    <w:rsid w:val="00F9461E"/>
    <w:rsid w:val="00F9643C"/>
    <w:rsid w:val="00FA6A2D"/>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FC6B62-1E46-47A9-A6F5-DB3FFF08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15997</TotalTime>
  <Pages>21</Pages>
  <Words>7801</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331</cp:revision>
  <dcterms:created xsi:type="dcterms:W3CDTF">2020-08-30T04:22:00Z</dcterms:created>
  <dcterms:modified xsi:type="dcterms:W3CDTF">2020-10-14T00:10:00Z</dcterms:modified>
</cp:coreProperties>
</file>