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8"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19A9924C" w:rsidR="00A56B3D" w:rsidRDefault="00A56B3D">
      <w:pPr>
        <w:rPr>
          <w:rFonts w:ascii="PT Serif" w:hAnsi="PT Serif"/>
          <w:sz w:val="20"/>
          <w:szCs w:val="20"/>
        </w:rPr>
      </w:pP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02A9AE8B" w:rsidR="00652E66" w:rsidRDefault="00F12A57" w:rsidP="00652E66">
      <w:pPr>
        <w:snapToGrid w:val="0"/>
        <w:spacing w:after="0" w:line="240" w:lineRule="auto"/>
        <w:jc w:val="both"/>
        <w:rPr>
          <w:rFonts w:ascii="PT Serif" w:hAnsi="PT Serif"/>
          <w:sz w:val="20"/>
          <w:szCs w:val="20"/>
        </w:rPr>
      </w:pPr>
      <w:r>
        <w:rPr>
          <w:rFonts w:ascii="PT Serif" w:hAnsi="PT Serif"/>
          <w:sz w:val="20"/>
          <w:szCs w:val="20"/>
        </w:rPr>
        <w:t>This study</w:t>
      </w:r>
      <w:r w:rsidR="00652E66">
        <w:rPr>
          <w:rFonts w:ascii="PT Serif" w:hAnsi="PT Serif"/>
          <w:sz w:val="20"/>
          <w:szCs w:val="20"/>
        </w:rPr>
        <w:t xml:space="preserve"> detected </w:t>
      </w:r>
      <w:r>
        <w:rPr>
          <w:rFonts w:ascii="PT Serif" w:hAnsi="PT Serif"/>
          <w:sz w:val="20"/>
          <w:szCs w:val="20"/>
        </w:rPr>
        <w:t>a</w:t>
      </w:r>
      <w:r w:rsidR="00652E66">
        <w:rPr>
          <w:rFonts w:ascii="PT Serif" w:hAnsi="PT Serif"/>
          <w:sz w:val="20"/>
          <w:szCs w:val="20"/>
        </w:rPr>
        <w:t xml:space="preserve"> clear difference in stability and time spent o</w:t>
      </w:r>
      <w:r>
        <w:rPr>
          <w:rFonts w:ascii="PT Serif" w:hAnsi="PT Serif"/>
          <w:sz w:val="20"/>
          <w:szCs w:val="20"/>
        </w:rPr>
        <w:t>n</w:t>
      </w:r>
      <w:r w:rsidR="00652E66">
        <w:rPr>
          <w:rFonts w:ascii="PT Serif" w:hAnsi="PT Serif"/>
          <w:sz w:val="20"/>
          <w:szCs w:val="20"/>
        </w:rPr>
        <w:t xml:space="preserve"> heterosexual tandem running behavior between </w:t>
      </w:r>
      <w:r w:rsidR="00652E66" w:rsidRPr="00652E66">
        <w:rPr>
          <w:rFonts w:ascii="PT Serif" w:hAnsi="PT Serif"/>
          <w:i/>
          <w:iCs/>
          <w:sz w:val="20"/>
          <w:szCs w:val="20"/>
        </w:rPr>
        <w:t>C. formosanus</w:t>
      </w:r>
      <w:r w:rsidR="00652E66">
        <w:rPr>
          <w:rFonts w:ascii="PT Serif" w:hAnsi="PT Serif"/>
          <w:sz w:val="20"/>
          <w:szCs w:val="20"/>
        </w:rPr>
        <w:t xml:space="preserve"> and </w:t>
      </w:r>
      <w:r w:rsidR="00652E66" w:rsidRPr="00652E66">
        <w:rPr>
          <w:rFonts w:ascii="PT Serif" w:hAnsi="PT Serif"/>
          <w:i/>
          <w:iCs/>
          <w:sz w:val="20"/>
          <w:szCs w:val="20"/>
        </w:rPr>
        <w:t>C. gestroi</w:t>
      </w:r>
      <w:r w:rsidR="00652E66">
        <w:rPr>
          <w:rFonts w:ascii="PT Serif" w:hAnsi="PT Serif"/>
          <w:sz w:val="20"/>
          <w:szCs w:val="20"/>
        </w:rPr>
        <w:t xml:space="preserve"> (Figure 1, S1). However, this result </w:t>
      </w:r>
      <w:r>
        <w:rPr>
          <w:rFonts w:ascii="PT Serif" w:hAnsi="PT Serif"/>
          <w:sz w:val="20"/>
          <w:szCs w:val="20"/>
        </w:rPr>
        <w:t>contradicts</w:t>
      </w:r>
      <w:r w:rsidR="00652E66">
        <w:rPr>
          <w:rFonts w:ascii="PT Serif" w:hAnsi="PT Serif"/>
          <w:sz w:val="20"/>
          <w:szCs w:val="20"/>
        </w:rPr>
        <w:t xml:space="preserve"> the previous study that found a similar level of tandem stability between these two species (see Figure 1 of </w:t>
      </w:r>
      <w:r w:rsidR="00652E66">
        <w:rPr>
          <w:rFonts w:ascii="PT Serif" w:hAnsi="PT Serif"/>
          <w:sz w:val="20"/>
          <w:szCs w:val="20"/>
        </w:rPr>
        <w:fldChar w:fldCharType="begin"/>
      </w:r>
      <w:r w:rsidR="00374CA1">
        <w:rPr>
          <w:rFonts w:ascii="PT Serif" w:hAnsi="PT Serif"/>
          <w:sz w:val="20"/>
          <w:szCs w:val="20"/>
        </w:rPr>
        <w:instrText xml:space="preserve"> ADDIN ZOTERO_ITEM CSL_CITATION {"citationID":"U1KDFYNG","properties":{"formattedCitation":"[16]","plainCitation":"[16]","noteIndex":0},"citationItems":[{"id":3472,"uris":["http://zotero.org/users/9949769/items/4Y2IM8RW"],"itemData":{"id":3472,"type":"article-journal","abstract":"In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652E66">
        <w:rPr>
          <w:rFonts w:ascii="PT Serif" w:hAnsi="PT Serif"/>
          <w:sz w:val="20"/>
          <w:szCs w:val="20"/>
        </w:rPr>
        <w:fldChar w:fldCharType="separate"/>
      </w:r>
      <w:r w:rsidR="00652E66" w:rsidRPr="00652E66">
        <w:rPr>
          <w:rFonts w:ascii="PT Serif" w:hAnsi="PT Serif"/>
          <w:sz w:val="20"/>
        </w:rPr>
        <w:t>[16]</w:t>
      </w:r>
      <w:r w:rsidR="00652E66">
        <w:rPr>
          <w:rFonts w:ascii="PT Serif" w:hAnsi="PT Serif"/>
          <w:sz w:val="20"/>
          <w:szCs w:val="20"/>
        </w:rPr>
        <w:fldChar w:fldCharType="end"/>
      </w:r>
      <w:r w:rsidR="00652E66">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374CA1">
        <w:rPr>
          <w:rFonts w:ascii="PT Serif" w:hAnsi="PT Serif"/>
          <w:sz w:val="20"/>
          <w:szCs w:val="20"/>
        </w:rPr>
        <w:instrText xml:space="preserve"> ADDIN ZOTERO_ITEM CSL_CITATION {"citationID":"Zz52O5jt","properties":{"formattedCitation":"[16,18]","plainCitation":"[16,18]","noteIndex":0},"citationItems":[{"id":3472,"uris":["http://zotero.org/users/9949769/items/4Y2IM8RW"],"itemData":{"id":3472,"type":"article-journal","abstract":"In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same methodology </w:t>
      </w:r>
      <w:r>
        <w:rPr>
          <w:rFonts w:ascii="PT Serif" w:hAnsi="PT Serif"/>
          <w:sz w:val="20"/>
          <w:szCs w:val="20"/>
        </w:rPr>
        <w:t>as</w:t>
      </w:r>
      <w:r w:rsidR="00A10C36">
        <w:rPr>
          <w:rFonts w:ascii="PT Serif" w:hAnsi="PT Serif"/>
          <w:sz w:val="20"/>
          <w:szCs w:val="20"/>
        </w:rPr>
        <w:t xml:space="preserve"> this study. We have three different datasets</w:t>
      </w:r>
      <w:r>
        <w:rPr>
          <w:rFonts w:ascii="PT Serif" w:hAnsi="PT Serif"/>
          <w:sz w:val="20"/>
          <w:szCs w:val="20"/>
        </w:rPr>
        <w:t>:</w:t>
      </w:r>
      <w:r w:rsidR="00A10C36">
        <w:rPr>
          <w:rFonts w:ascii="PT Serif" w:hAnsi="PT Serif"/>
          <w:sz w:val="20"/>
          <w:szCs w:val="20"/>
        </w:rPr>
        <w:t xml:space="preserve">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08F7CD7A"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w:t>
      </w:r>
      <w:r w:rsidR="004B284E">
        <w:rPr>
          <w:rFonts w:ascii="PT Serif" w:hAnsi="PT Serif"/>
          <w:sz w:val="20"/>
          <w:szCs w:val="20"/>
        </w:rPr>
        <w:t>132</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716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4B284E" w:rsidRPr="00757B22">
        <w:rPr>
          <w:rFonts w:ascii="PT Serif" w:hAnsi="PT Serif"/>
          <w:i/>
          <w:iCs/>
          <w:sz w:val="20"/>
          <w:szCs w:val="20"/>
        </w:rPr>
        <w:t>t</w:t>
      </w:r>
      <w:r w:rsidR="004B284E">
        <w:rPr>
          <w:rFonts w:ascii="PT Serif" w:hAnsi="PT Serif"/>
          <w:sz w:val="20"/>
          <w:szCs w:val="20"/>
          <w:vertAlign w:val="subscript"/>
        </w:rPr>
        <w:t>15</w:t>
      </w:r>
      <w:r w:rsidR="00562DC2">
        <w:rPr>
          <w:rFonts w:ascii="PT Serif" w:hAnsi="PT Serif"/>
          <w:sz w:val="20"/>
          <w:szCs w:val="20"/>
          <w:vertAlign w:val="subscript"/>
        </w:rPr>
        <w:t>.</w:t>
      </w:r>
      <w:r w:rsidR="004B284E">
        <w:rPr>
          <w:rFonts w:ascii="PT Serif" w:hAnsi="PT Serif"/>
          <w:sz w:val="20"/>
          <w:szCs w:val="20"/>
          <w:vertAlign w:val="subscript"/>
        </w:rPr>
        <w:t>7</w:t>
      </w:r>
      <w:r w:rsidR="004B284E" w:rsidRPr="00757B22">
        <w:rPr>
          <w:rFonts w:ascii="PT Serif" w:hAnsi="PT Serif"/>
          <w:sz w:val="20"/>
          <w:szCs w:val="20"/>
        </w:rPr>
        <w:t xml:space="preserve"> </w:t>
      </w:r>
      <w:r w:rsidR="00562DC2" w:rsidRPr="00757B22">
        <w:rPr>
          <w:rFonts w:ascii="PT Serif" w:hAnsi="PT Serif"/>
          <w:sz w:val="20"/>
          <w:szCs w:val="20"/>
        </w:rPr>
        <w:t xml:space="preserve">= </w:t>
      </w:r>
      <w:r w:rsidR="00562DC2">
        <w:rPr>
          <w:rFonts w:ascii="PT Serif" w:hAnsi="PT Serif"/>
          <w:sz w:val="20"/>
          <w:szCs w:val="20"/>
        </w:rPr>
        <w:t>0</w:t>
      </w:r>
      <w:r w:rsidR="00562DC2" w:rsidRPr="00757B22">
        <w:rPr>
          <w:rFonts w:ascii="PT Serif" w:hAnsi="PT Serif"/>
          <w:sz w:val="20"/>
          <w:szCs w:val="20"/>
        </w:rPr>
        <w:t>.</w:t>
      </w:r>
      <w:r w:rsidR="004B284E">
        <w:rPr>
          <w:rFonts w:ascii="PT Serif" w:hAnsi="PT Serif"/>
          <w:sz w:val="20"/>
          <w:szCs w:val="20"/>
        </w:rPr>
        <w:t>162</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4B284E">
        <w:rPr>
          <w:rFonts w:ascii="PT Serif" w:hAnsi="PT Serif"/>
          <w:sz w:val="20"/>
          <w:szCs w:val="20"/>
        </w:rPr>
        <w:t>873</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w:t>
      </w:r>
      <w:r w:rsidR="004B284E">
        <w:rPr>
          <w:rFonts w:ascii="PT Serif" w:hAnsi="PT Serif"/>
          <w:sz w:val="20"/>
          <w:szCs w:val="20"/>
        </w:rPr>
        <w:t>052</w:t>
      </w:r>
      <w:r w:rsidR="00562DC2">
        <w:rPr>
          <w:rFonts w:ascii="PT Serif" w:hAnsi="PT Serif"/>
          <w:sz w:val="20"/>
          <w:szCs w:val="20"/>
        </w:rPr>
        <w:t>;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4B284E">
        <w:rPr>
          <w:rFonts w:ascii="PT Serif" w:hAnsi="PT Serif"/>
          <w:sz w:val="20"/>
          <w:szCs w:val="20"/>
        </w:rPr>
        <w:t>36</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042</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4B284E">
        <w:rPr>
          <w:rFonts w:ascii="PT Serif" w:hAnsi="PT Serif"/>
          <w:sz w:val="20"/>
          <w:szCs w:val="20"/>
        </w:rPr>
        <w:t>1</w:t>
      </w:r>
      <w:r w:rsidR="00562DC2">
        <w:rPr>
          <w:rFonts w:ascii="PT Serif" w:hAnsi="PT Serif"/>
          <w:sz w:val="20"/>
          <w:szCs w:val="20"/>
        </w:rPr>
        <w:t>.</w:t>
      </w:r>
      <w:r w:rsidR="004B284E">
        <w:rPr>
          <w:rFonts w:ascii="PT Serif" w:hAnsi="PT Serif"/>
          <w:sz w:val="20"/>
          <w:szCs w:val="20"/>
        </w:rPr>
        <w:t>90</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134</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4B284E">
        <w:rPr>
          <w:rFonts w:ascii="PT Serif" w:hAnsi="PT Serif"/>
          <w:sz w:val="20"/>
          <w:szCs w:val="20"/>
        </w:rPr>
        <w:t>815</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688</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4B284E">
        <w:rPr>
          <w:rFonts w:ascii="PT Serif" w:hAnsi="PT Serif"/>
          <w:sz w:val="20"/>
          <w:szCs w:val="20"/>
        </w:rPr>
        <w:t>52</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4B284E">
        <w:rPr>
          <w:rFonts w:ascii="PT Serif" w:hAnsi="PT Serif"/>
          <w:sz w:val="20"/>
          <w:szCs w:val="20"/>
        </w:rPr>
        <w:t>031</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4B284E">
        <w:rPr>
          <w:rFonts w:ascii="PT Serif" w:hAnsi="PT Serif"/>
          <w:sz w:val="20"/>
          <w:szCs w:val="20"/>
        </w:rPr>
        <w:t>0</w:t>
      </w:r>
      <w:r w:rsidR="005F5290" w:rsidRPr="005F5290">
        <w:rPr>
          <w:rFonts w:ascii="PT Serif" w:hAnsi="PT Serif"/>
          <w:sz w:val="20"/>
          <w:szCs w:val="20"/>
        </w:rPr>
        <w:t>.</w:t>
      </w:r>
      <w:r w:rsidR="004B284E">
        <w:rPr>
          <w:rFonts w:ascii="PT Serif" w:hAnsi="PT Serif"/>
          <w:sz w:val="20"/>
          <w:szCs w:val="20"/>
        </w:rPr>
        <w:t>51</w:t>
      </w:r>
      <w:r w:rsidR="005F5290">
        <w:rPr>
          <w:rFonts w:ascii="PT Serif" w:hAnsi="PT Serif"/>
          <w:sz w:val="20"/>
          <w:szCs w:val="20"/>
        </w:rPr>
        <w:t xml:space="preserve">,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w:t>
      </w:r>
      <w:r w:rsidR="004B284E">
        <w:rPr>
          <w:rFonts w:ascii="PT Serif" w:hAnsi="PT Serif"/>
          <w:sz w:val="20"/>
          <w:szCs w:val="20"/>
        </w:rPr>
        <w:t>603</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316</w:t>
      </w:r>
      <w:r w:rsidR="005F5290">
        <w:rPr>
          <w:rFonts w:ascii="PT Serif" w:hAnsi="PT Serif"/>
          <w:sz w:val="20"/>
          <w:szCs w:val="20"/>
        </w:rPr>
        <w:t xml:space="preserve">, 2021-2019: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013</w:t>
      </w:r>
      <w:r w:rsidR="005F5290">
        <w:rPr>
          <w:rFonts w:ascii="PT Serif" w:hAnsi="PT Serif"/>
          <w:sz w:val="20"/>
          <w:szCs w:val="20"/>
        </w:rPr>
        <w:t xml:space="preserve">, 2021-2020: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417</w:t>
      </w:r>
      <w:r w:rsidR="005F5290">
        <w:rPr>
          <w:rFonts w:ascii="PT Serif" w:hAnsi="PT Serif"/>
          <w:sz w:val="20"/>
          <w:szCs w:val="20"/>
        </w:rPr>
        <w:t xml:space="preserve">;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45</w:t>
      </w:r>
      <w:r w:rsidR="009E7A63" w:rsidRPr="009E7A63">
        <w:rPr>
          <w:rFonts w:ascii="PT Serif" w:hAnsi="PT Serif"/>
          <w:sz w:val="20"/>
          <w:szCs w:val="20"/>
        </w:rPr>
        <w:t>.</w:t>
      </w:r>
      <w:r w:rsidR="004B284E">
        <w:rPr>
          <w:rFonts w:ascii="PT Serif" w:hAnsi="PT Serif"/>
          <w:sz w:val="20"/>
          <w:szCs w:val="20"/>
        </w:rPr>
        <w:t>6</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 xml:space="preserve">2A) </w:t>
      </w:r>
      <w:r w:rsidR="005F5290">
        <w:rPr>
          <w:rFonts w:ascii="PT Serif" w:hAnsi="PT Serif"/>
          <w:sz w:val="20"/>
          <w:szCs w:val="20"/>
        </w:rPr>
        <w:t xml:space="preserve">and </w:t>
      </w:r>
      <w:r w:rsidR="00F12A57">
        <w:rPr>
          <w:rFonts w:ascii="PT Serif" w:hAnsi="PT Serif"/>
          <w:sz w:val="20"/>
          <w:szCs w:val="20"/>
        </w:rPr>
        <w:t xml:space="preserve">a </w:t>
      </w:r>
      <w:r w:rsidR="005F5290">
        <w:rPr>
          <w:rFonts w:ascii="PT Serif" w:hAnsi="PT Serif"/>
          <w:sz w:val="20"/>
          <w:szCs w:val="20"/>
        </w:rPr>
        <w:t xml:space="preserve">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20</w:t>
      </w:r>
      <w:r w:rsidR="009E7A63">
        <w:rPr>
          <w:rFonts w:ascii="PT Serif" w:hAnsi="PT Serif"/>
          <w:sz w:val="20"/>
          <w:szCs w:val="20"/>
        </w:rPr>
        <w:t>.</w:t>
      </w:r>
      <w:r w:rsidR="004B284E">
        <w:rPr>
          <w:rFonts w:ascii="PT Serif" w:hAnsi="PT Serif"/>
          <w:sz w:val="20"/>
          <w:szCs w:val="20"/>
        </w:rPr>
        <w:t>8</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2B)</w:t>
      </w:r>
      <w:r w:rsidR="005F5290">
        <w:rPr>
          <w:rFonts w:ascii="PT Serif" w:hAnsi="PT Serif"/>
          <w:sz w:val="20"/>
          <w:szCs w:val="20"/>
        </w:rPr>
        <w:t>.</w:t>
      </w:r>
      <w:r w:rsidR="009E7A63">
        <w:rPr>
          <w:rFonts w:ascii="PT Serif" w:hAnsi="PT Serif"/>
          <w:sz w:val="20"/>
          <w:szCs w:val="20"/>
        </w:rPr>
        <w:t xml:space="preserve"> Thus, tandem running stability is actually differen</w:t>
      </w:r>
      <w:r w:rsidR="00EC544A">
        <w:rPr>
          <w:rFonts w:ascii="PT Serif" w:hAnsi="PT Serif"/>
          <w:sz w:val="20"/>
          <w:szCs w:val="20"/>
        </w:rPr>
        <w:t>t</w:t>
      </w:r>
      <w:r w:rsidR="009E7A63">
        <w:rPr>
          <w:rFonts w:ascii="PT Serif" w:hAnsi="PT Serif"/>
          <w:sz w:val="20"/>
          <w:szCs w:val="20"/>
        </w:rPr>
        <w:t xml:space="preserv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374CA1">
        <w:rPr>
          <w:rFonts w:ascii="PT Serif" w:hAnsi="PT Serif"/>
          <w:sz w:val="20"/>
          <w:szCs w:val="20"/>
        </w:rPr>
        <w:instrText xml:space="preserve"> ADDIN ZOTERO_ITEM CSL_CITATION {"citationID":"fusufSgm","properties":{"formattedCitation":"[16]","plainCitation":"[16]","noteIndex":0},"citationItems":[{"id":3472,"uris":["http://zotero.org/users/9949769/items/4Y2IM8RW"],"itemData":{"id":3472,"type":"article-journal","abstract":"In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w:t>
      </w:r>
      <w:r w:rsidR="00F12A57">
        <w:rPr>
          <w:rFonts w:ascii="PT Serif" w:hAnsi="PT Serif"/>
          <w:sz w:val="20"/>
          <w:szCs w:val="20"/>
        </w:rPr>
        <w:t>to detect</w:t>
      </w:r>
      <w:r w:rsidR="009E7A63">
        <w:rPr>
          <w:rFonts w:ascii="PT Serif" w:hAnsi="PT Serif"/>
          <w:sz w:val="20"/>
          <w:szCs w:val="20"/>
        </w:rPr>
        <w:t xml:space="preserve"> </w:t>
      </w:r>
      <w:r w:rsidR="00F12A57">
        <w:rPr>
          <w:rFonts w:ascii="PT Serif" w:hAnsi="PT Serif"/>
          <w:sz w:val="20"/>
          <w:szCs w:val="20"/>
        </w:rPr>
        <w:t>the difference</w:t>
      </w:r>
      <w:r w:rsidR="009E7A63">
        <w:rPr>
          <w:rFonts w:ascii="PT Serif" w:hAnsi="PT Serif"/>
          <w:sz w:val="20"/>
          <w:szCs w:val="20"/>
        </w:rPr>
        <w:t xml:space="preserve"> probability due to the smaller sample size (Table S1).</w:t>
      </w:r>
    </w:p>
    <w:p w14:paraId="5AFC5109" w14:textId="56191EDF"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C. gestroi</w:t>
      </w:r>
      <w:r>
        <w:rPr>
          <w:rFonts w:ascii="PT Serif" w:hAnsi="PT Serif"/>
          <w:sz w:val="20"/>
          <w:szCs w:val="20"/>
        </w:rPr>
        <w:t xml:space="preserve">, why did </w:t>
      </w:r>
      <w:r w:rsidR="00F12A57">
        <w:rPr>
          <w:rFonts w:ascii="PT Serif" w:hAnsi="PT Serif"/>
          <w:sz w:val="20"/>
          <w:szCs w:val="20"/>
        </w:rPr>
        <w:t xml:space="preserve">the </w:t>
      </w:r>
      <w:r>
        <w:rPr>
          <w:rFonts w:ascii="PT Serif" w:hAnsi="PT Serif"/>
          <w:sz w:val="20"/>
          <w:szCs w:val="20"/>
        </w:rPr>
        <w:t xml:space="preserve">experiment in 2020 show higher stability of tandem runs compared to 2019 and 2021, even </w:t>
      </w:r>
      <w:r w:rsidR="00F12A57">
        <w:rPr>
          <w:rFonts w:ascii="PT Serif" w:hAnsi="PT Serif"/>
          <w:sz w:val="20"/>
          <w:szCs w:val="20"/>
        </w:rPr>
        <w:t xml:space="preserve">if </w:t>
      </w:r>
      <w:r>
        <w:rPr>
          <w:rFonts w:ascii="PT Serif" w:hAnsi="PT Serif"/>
          <w:sz w:val="20"/>
          <w:szCs w:val="20"/>
        </w:rPr>
        <w:t xml:space="preserve">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sidR="00F12A57">
        <w:rPr>
          <w:rFonts w:ascii="PT Serif" w:hAnsi="PT Serif"/>
          <w:sz w:val="20"/>
          <w:szCs w:val="20"/>
        </w:rPr>
        <w:t>;</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C. gestroi</w:t>
      </w:r>
      <w:r w:rsidR="004B284E">
        <w:rPr>
          <w:rFonts w:ascii="PT Serif" w:hAnsi="PT Serif"/>
          <w:sz w:val="20"/>
          <w:szCs w:val="20"/>
        </w:rPr>
        <w:t xml:space="preserve"> and the beginning of that of </w:t>
      </w:r>
      <w:r w:rsidR="004B284E" w:rsidRPr="009241A3">
        <w:rPr>
          <w:rFonts w:ascii="PT Serif" w:hAnsi="PT Serif"/>
          <w:i/>
          <w:iCs/>
          <w:sz w:val="20"/>
          <w:szCs w:val="20"/>
        </w:rPr>
        <w:t>C. formosanus</w:t>
      </w:r>
      <w:r>
        <w:rPr>
          <w:rFonts w:ascii="PT Serif" w:hAnsi="PT Serif"/>
          <w:sz w:val="20"/>
          <w:szCs w:val="20"/>
        </w:rPr>
        <w:t xml:space="preserve"> </w:t>
      </w:r>
      <w:r>
        <w:rPr>
          <w:rFonts w:ascii="PT Serif" w:hAnsi="PT Serif"/>
          <w:sz w:val="20"/>
          <w:szCs w:val="20"/>
        </w:rPr>
        <w:fldChar w:fldCharType="begin"/>
      </w:r>
      <w:r w:rsidR="00374CA1">
        <w:rPr>
          <w:rFonts w:ascii="PT Serif" w:hAnsi="PT Serif"/>
          <w:sz w:val="20"/>
          <w:szCs w:val="20"/>
        </w:rPr>
        <w:instrText xml:space="preserve"> ADDIN ZOTERO_ITEM CSL_CITATION {"citationID":"t4ANlQAQ","properties":{"formattedCitation":"[15]","plainCitation":"[15]","noteIndex":0},"citationItems":[{"id":2649,"uris":["http://zotero.org/users/9949769/items/D4U8UB5Z"],"itemData":{"id":2649,"type":"article-journal","abstract":"While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w:t>
      </w:r>
      <w:r w:rsidR="00EC544A">
        <w:rPr>
          <w:rFonts w:ascii="PT Serif" w:hAnsi="PT Serif"/>
          <w:sz w:val="20"/>
          <w:szCs w:val="20"/>
        </w:rPr>
        <w:t xml:space="preserve"> alate</w:t>
      </w:r>
      <w:r>
        <w:rPr>
          <w:rFonts w:ascii="PT Serif" w:hAnsi="PT Serif"/>
          <w:sz w:val="20"/>
          <w:szCs w:val="20"/>
        </w:rPr>
        <w:t xml:space="preserv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8A7FE7">
        <w:rPr>
          <w:rFonts w:ascii="PT Serif" w:hAnsi="PT Serif"/>
          <w:sz w:val="20"/>
          <w:szCs w:val="20"/>
        </w:rPr>
        <w:instrText xml:space="preserve"> ADDIN ZOTERO_ITEM CSL_CITATION {"citationID":"dIIXHfOB","properties":{"formattedCitation":"[32]","plainCitation":"[32]","noteIndex":0},"citationItems":[{"id":2471,"uris":["http://zotero.org/users/9949769/items/Y8UQAL7B"],"itemData":{"id":2471,"type":"article-journal","abstract":"The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8A7FE7" w:rsidRPr="008A7FE7">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w:t>
      </w:r>
      <w:r w:rsidR="00F12A57">
        <w:rPr>
          <w:rFonts w:ascii="PT Serif" w:hAnsi="PT Serif"/>
          <w:sz w:val="20"/>
          <w:szCs w:val="20"/>
        </w:rPr>
        <w:t xml:space="preserve">the </w:t>
      </w:r>
      <w:r>
        <w:rPr>
          <w:rFonts w:ascii="PT Serif" w:hAnsi="PT Serif"/>
          <w:sz w:val="20"/>
          <w:szCs w:val="20"/>
        </w:rPr>
        <w:t xml:space="preserve">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4FB0C753" w:rsidR="001F533A"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70F2F6B0" wp14:editId="7315FC4B">
            <wp:extent cx="4572000" cy="2743200"/>
            <wp:effectExtent l="0" t="0" r="0" b="0"/>
            <wp:docPr id="615378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22637C3F" w:rsidR="00A56B3D" w:rsidRDefault="00A56B3D">
      <w:pPr>
        <w:rPr>
          <w:rFonts w:ascii="PT Serif" w:hAnsi="PT Serif"/>
          <w:b/>
          <w:bCs/>
          <w:sz w:val="20"/>
          <w:szCs w:val="20"/>
        </w:rPr>
      </w:pPr>
    </w:p>
    <w:p w14:paraId="0005F689" w14:textId="084CC157" w:rsidR="00E36BDD"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5B97BC0D" wp14:editId="0AF4F98B">
            <wp:extent cx="6400800" cy="3200400"/>
            <wp:effectExtent l="0" t="0" r="0" b="0"/>
            <wp:docPr id="411616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03743886" w14:textId="50585B6B"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374CA1">
        <w:rPr>
          <w:rFonts w:ascii="PT Serif" w:hAnsi="PT Serif"/>
          <w:sz w:val="20"/>
          <w:szCs w:val="20"/>
        </w:rPr>
        <w:instrText xml:space="preserve"> ADDIN ZOTERO_ITEM CSL_CITATION {"citationID":"3wuPrOMm","properties":{"formattedCitation":"[18]","plainCitation":"[18]","noteIndex":0},"citationItems":[{"id":3289,"uris":["http://zotero.org/users/9949769/items/FZFVDHJA"],"itemData":{"id":3289,"type":"article-journal","abstract":"Parental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374CA1">
        <w:rPr>
          <w:rFonts w:ascii="PT Serif" w:hAnsi="PT Serif"/>
          <w:sz w:val="20"/>
          <w:szCs w:val="20"/>
        </w:rPr>
        <w:instrText xml:space="preserve"> ADDIN ZOTERO_ITEM CSL_CITATION {"citationID":"VL6M1WMb","properties":{"formattedCitation":"[16]","plainCitation":"[16]","noteIndex":0},"citationItems":[{"id":3472,"uris":["http://zotero.org/users/9949769/items/4Y2IM8RW"],"itemData":{"id":3472,"type":"article-journal","abstract":"In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4B284E"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9241A3" w:rsidRDefault="00652E66" w:rsidP="00652E66">
            <w:pPr>
              <w:spacing w:after="0" w:line="240" w:lineRule="auto"/>
              <w:rPr>
                <w:rFonts w:ascii="PT Serif" w:eastAsia="Times New Roman" w:hAnsi="PT Serif" w:cs="Times New Roman"/>
                <w:i/>
                <w:iCs/>
                <w:color w:val="000000"/>
                <w:sz w:val="18"/>
                <w:szCs w:val="18"/>
              </w:rPr>
            </w:pPr>
            <w:r w:rsidRPr="009241A3">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84168F">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E4A0" w14:textId="77777777" w:rsidR="0084168F" w:rsidRDefault="0084168F" w:rsidP="001C042C">
      <w:pPr>
        <w:spacing w:after="0" w:line="240" w:lineRule="auto"/>
      </w:pPr>
      <w:r>
        <w:separator/>
      </w:r>
    </w:p>
  </w:endnote>
  <w:endnote w:type="continuationSeparator" w:id="0">
    <w:p w14:paraId="04713CFD" w14:textId="77777777" w:rsidR="0084168F" w:rsidRDefault="0084168F"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73A8" w14:textId="77777777" w:rsidR="0084168F" w:rsidRDefault="0084168F" w:rsidP="001C042C">
      <w:pPr>
        <w:spacing w:after="0" w:line="240" w:lineRule="auto"/>
      </w:pPr>
      <w:r>
        <w:separator/>
      </w:r>
    </w:p>
  </w:footnote>
  <w:footnote w:type="continuationSeparator" w:id="0">
    <w:p w14:paraId="63E10144" w14:textId="77777777" w:rsidR="0084168F" w:rsidRDefault="0084168F"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kFAMNnHi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6172"/>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D50"/>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68F"/>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47DC"/>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0954"/>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36F"/>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 w:type="character" w:styleId="FollowedHyperlink">
    <w:name w:val="FollowedHyperlink"/>
    <w:basedOn w:val="DefaultParagraphFont"/>
    <w:uiPriority w:val="99"/>
    <w:semiHidden/>
    <w:unhideWhenUsed/>
    <w:rsid w:val="00C44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3661</Words>
  <Characters>18713</Characters>
  <Application>Microsoft Office Word</Application>
  <DocSecurity>0</DocSecurity>
  <Lines>534</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cp:lastPrinted>2024-03-07T15:03:00Z</cp:lastPrinted>
  <dcterms:created xsi:type="dcterms:W3CDTF">2024-03-07T15:04:00Z</dcterms:created>
  <dcterms:modified xsi:type="dcterms:W3CDTF">2024-03-07T15:04:00Z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