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from UK Biobank sequence data</w:t>
      </w:r>
    </w:p>
    <w:p w14:paraId="0202B6EE" w14:textId="77777777" w:rsidR="00FD49F9" w:rsidRDefault="00FD49F9" w:rsidP="004D69D1">
      <w:pPr>
        <w:suppressLineNumbers/>
      </w:pPr>
    </w:p>
    <w:p w14:paraId="3D30877A" w14:textId="19B0C921"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1D415076" w:rsidR="00FD49F9" w:rsidRPr="00C8078B" w:rsidRDefault="00FD49F9" w:rsidP="004D69D1">
      <w:pPr>
        <w:suppressLineNumbers/>
        <w:rPr>
          <w:sz w:val="24"/>
        </w:rPr>
      </w:pPr>
      <w:r w:rsidRPr="00C8078B">
        <w:rPr>
          <w:sz w:val="24"/>
          <w:vertAlign w:val="superscript"/>
        </w:rPr>
        <w:t>1</w:t>
      </w:r>
      <w:r w:rsidR="00082B02" w:rsidRPr="00C8078B">
        <w:rPr>
          <w:sz w:val="24"/>
          <w:vertAlign w:val="superscript"/>
        </w:rPr>
        <w:t xml:space="preserve"> </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24A4C404" w14:textId="77777777" w:rsidR="00D03D21" w:rsidRPr="00C8078B" w:rsidRDefault="00FD49F9" w:rsidP="00D03D21">
      <w:pPr>
        <w:suppressLineNumbers/>
        <w:rPr>
          <w:sz w:val="24"/>
        </w:rPr>
      </w:pPr>
      <w:r w:rsidRPr="00C8078B">
        <w:rPr>
          <w:sz w:val="24"/>
        </w:rPr>
        <w:t>*</w:t>
      </w:r>
      <w:r w:rsidR="00082B02" w:rsidRPr="00C8078B">
        <w:rPr>
          <w:sz w:val="24"/>
        </w:rPr>
        <w:t xml:space="preserve"> </w:t>
      </w:r>
      <w:r w:rsidRPr="00C8078B">
        <w:rPr>
          <w:sz w:val="24"/>
        </w:rPr>
        <w:t>Correspond</w:t>
      </w:r>
      <w:r w:rsidR="00082B02" w:rsidRPr="00C8078B">
        <w:rPr>
          <w:sz w:val="24"/>
        </w:rPr>
        <w:t>ing author</w:t>
      </w:r>
      <w:r w:rsidRPr="00C8078B">
        <w:rPr>
          <w:sz w:val="24"/>
        </w:rPr>
        <w:t xml:space="preserve">: </w:t>
      </w:r>
    </w:p>
    <w:p w14:paraId="0B5A8603" w14:textId="1AD49BE7" w:rsidR="006F5293" w:rsidRPr="000B4D4A" w:rsidRDefault="00082B02" w:rsidP="000B4D4A">
      <w:pPr>
        <w:suppressLineNumbers/>
        <w:rPr>
          <w:rStyle w:val="Heading3Char"/>
          <w:rFonts w:eastAsiaTheme="minorEastAsia" w:cstheme="minorBidi"/>
          <w:color w:val="auto"/>
          <w:sz w:val="24"/>
          <w:szCs w:val="24"/>
        </w:rPr>
      </w:pPr>
      <w:r w:rsidRPr="00C8078B">
        <w:rPr>
          <w:sz w:val="24"/>
        </w:rPr>
        <w:t xml:space="preserve">E-mail: </w:t>
      </w:r>
      <w:r w:rsidR="00EA3AAC" w:rsidRPr="00C8078B">
        <w:rPr>
          <w:sz w:val="24"/>
        </w:rPr>
        <w:t>masakin@uw.edu (NM)</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6766C14A" w14:textId="5DFE5D46" w:rsidR="006963C3" w:rsidRPr="006963C3" w:rsidRDefault="00F83BD2" w:rsidP="00063D0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t xml:space="preserve"> </w:t>
      </w:r>
      <w:r w:rsidR="005819B8">
        <w:t xml:space="preserve">thought to </w:t>
      </w:r>
      <w:r w:rsidR="009F302A">
        <w:t>occur within a</w:t>
      </w:r>
      <w:r w:rsidR="005819B8">
        <w:t xml:space="preserve"> relatively</w:t>
      </w:r>
      <w:r w:rsidR="009F302A">
        <w:t xml:space="preserve"> short tract of DNA</w:t>
      </w:r>
      <w:r w:rsidR="00B03F79" w:rsidRPr="00B03F79">
        <w:t xml:space="preserve">. Previous studies have estimated these short </w:t>
      </w:r>
      <w:r w:rsidR="00FF2387">
        <w:t>tracts</w:t>
      </w:r>
      <w:r w:rsidR="00FF2387" w:rsidRPr="00B03F79">
        <w:t xml:space="preserve"> </w:t>
      </w:r>
      <w:r w:rsidR="00B03F79" w:rsidRPr="00B03F79">
        <w:t xml:space="preserve">to be </w:t>
      </w:r>
      <w:r w:rsidR="009F302A">
        <w:t>in</w:t>
      </w:r>
      <w:r w:rsidR="00C81C59" w:rsidRPr="00B03F79">
        <w:t xml:space="preserve"> </w:t>
      </w:r>
      <w:r w:rsidR="00B03F79" w:rsidRPr="00B03F79">
        <w:t xml:space="preserve">the order of 100-1000 </w:t>
      </w:r>
      <w:r w:rsidR="00DC6EC2">
        <w:t>bp</w:t>
      </w:r>
      <w:r w:rsidR="00B03F79" w:rsidRPr="00B03F79">
        <w:t xml:space="preserve"> in humans. However, </w:t>
      </w:r>
      <w:r w:rsidR="00063D00">
        <w:t xml:space="preserve">the number of observable gene conversion tracts per study has been limited by the use of </w:t>
      </w:r>
      <w:r w:rsidR="00063D00">
        <w:t>pedigree or sperm-typing data</w:t>
      </w:r>
      <w:r w:rsidR="00063D00">
        <w:t xml:space="preserve"> to detect past gene conversion events. In this study, we </w:t>
      </w:r>
      <w:r w:rsidR="00B03F79" w:rsidRPr="00B03F79">
        <w:t xml:space="preserve">propose a </w:t>
      </w:r>
      <w:r w:rsidR="00D8759F">
        <w:t>statistical</w:t>
      </w:r>
      <w:r w:rsidR="00B03F79" w:rsidRPr="00B03F79">
        <w:t xml:space="preserve"> model to estimate the mean length of gene conversion tracts</w:t>
      </w:r>
      <w:r w:rsidR="00063D00">
        <w:t xml:space="preserve"> in humans, designed to be fit on a very large number of detected gene conversion tracts</w:t>
      </w:r>
      <w:r w:rsidR="00B03F79" w:rsidRPr="00B03F79">
        <w:t xml:space="preserve">. We fit this model to </w:t>
      </w:r>
      <w:r w:rsidR="006427E3">
        <w:t xml:space="preserve">gene conversion </w:t>
      </w:r>
      <w:r w:rsidR="00B03F79" w:rsidRPr="00B03F79">
        <w:t>tracts detected using clusters of identity-by-descent (IBD) segments in whole autosome sequence data from the UK Biobank.</w:t>
      </w:r>
      <w:r w:rsidR="00432405">
        <w:t xml:space="preserve"> </w:t>
      </w:r>
      <w:r w:rsidR="006427E3">
        <w:t>From this dataset, w</w:t>
      </w:r>
      <w:r w:rsidR="00EE41F0">
        <w:t>e</w:t>
      </w:r>
      <w:r w:rsidR="0054595F">
        <w:t xml:space="preserve"> estimated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1519A7">
        <w:t>0</w:t>
      </w:r>
      <w:r w:rsidR="0054595F">
        <w:t xml:space="preserve">]). </w:t>
      </w:r>
    </w:p>
    <w:p w14:paraId="5B3D4456" w14:textId="13297C1E" w:rsidR="00E812E2" w:rsidRPr="000D589C" w:rsidRDefault="00E812E2" w:rsidP="00E812E2">
      <w:pPr>
        <w:pStyle w:val="Heading1"/>
      </w:pPr>
      <w:r>
        <w:t>Introduction</w:t>
      </w:r>
    </w:p>
    <w:p w14:paraId="0A684A42" w14:textId="507D7521"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 but </w:t>
      </w:r>
      <w:r w:rsidR="00C84DF5">
        <w:rPr>
          <w:rFonts w:hint="eastAsia"/>
        </w:rPr>
        <w:t>may</w:t>
      </w:r>
      <w:r w:rsidR="00CC7594">
        <w:t xml:space="preserve"> also occur through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46D15455" w:rsidR="00F41B95" w:rsidRDefault="00060941" w:rsidP="00435DF4">
      <w:r>
        <w:t xml:space="preserve">Gene conversions can be detected </w:t>
      </w:r>
      <w:r w:rsidR="00C96457">
        <w:rPr>
          <w:rFonts w:hint="eastAsia"/>
        </w:rPr>
        <w:t xml:space="preserve">in humans </w:t>
      </w:r>
      <w:r>
        <w:t xml:space="preserve">by amplifying sperm DNA 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0672DD">
        <w:instrText xml:space="preserve"> ADDIN ZOTERO_ITEM CSL_CITATION {"citationID":"HMLv15Kt","properties":{"formattedCitation":"\\super 3,4\\nosupersub{}","plainCitation":"3,4","noteIndex":0},"citationItems":[{"id":35,"uris":["http://zotero.org/users/14121098/items/CHA7RRBJ"],"itemData":{"id":35,"type":"article-journal","abstract":"Meiotic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0672DD" w:rsidRPr="000672DD">
        <w:rPr>
          <w:rFonts w:ascii="Calibri" w:cs="Calibri"/>
          <w:kern w:val="0"/>
          <w:vertAlign w:val="superscript"/>
        </w:rPr>
        <w:t>3,4</w:t>
      </w:r>
      <w:r w:rsidR="000672DD">
        <w:fldChar w:fldCharType="end"/>
      </w:r>
      <w:r w:rsidR="00BD489F">
        <w:t xml:space="preserve"> </w:t>
      </w:r>
      <w:r w:rsidR="00BD2B16">
        <w:t>The distance</w:t>
      </w:r>
      <w:r w:rsidR="00BD489F">
        <w:t xml:space="preserve"> between </w:t>
      </w:r>
      <w:r w:rsidR="00A94ACA">
        <w:t xml:space="preserve">these </w:t>
      </w:r>
      <w:r w:rsidR="00CE7D77">
        <w:lastRenderedPageBreak/>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ED5C1C">
        <w:rPr>
          <w:rFonts w:hint="eastAsia"/>
        </w:rPr>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p>
    <w:p w14:paraId="0B4074F6" w14:textId="3B696A6F" w:rsidR="00774E07" w:rsidRDefault="00774E07" w:rsidP="00435DF4">
      <w:r>
        <w:t>Williams et al. also identified clusters of gene conversion tracts spanning 20-30 k</w:t>
      </w:r>
      <w:r w:rsidR="00333F92">
        <w:t xml:space="preserve">b, which </w:t>
      </w:r>
      <w:r w:rsidR="00C77024">
        <w:t>may</w:t>
      </w:r>
      <w:r w:rsidR="00333F92">
        <w:t xml:space="preserve"> have resulted </w:t>
      </w:r>
      <w:r w:rsidR="00CF3B3E">
        <w:t xml:space="preserve">from </w:t>
      </w:r>
      <w:r w:rsidR="008F1C12">
        <w:t xml:space="preserve">clustered </w:t>
      </w:r>
      <w:r w:rsidR="00CF3B3E">
        <w:t xml:space="preserve">but </w:t>
      </w:r>
      <w:r w:rsidR="00333F92">
        <w:t>discontinuous gene conversion events</w:t>
      </w:r>
      <w:r w:rsidR="008F1C12">
        <w:t xml:space="preserve"> 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8F1C12">
        <w:t xml:space="preserve">, where allele conversions are detected at some markers but not others, </w:t>
      </w:r>
      <w:r>
        <w:t xml:space="preserve">were </w:t>
      </w:r>
      <w:r w:rsidR="00DB708C">
        <w:t>also</w:t>
      </w:r>
      <w:r>
        <w:t xml:space="preserve"> found in the deCODE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DB708C">
        <w:t xml:space="preserve">These complex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 xml:space="preserve">In this study, we will focus on </w:t>
      </w:r>
      <w:r w:rsidR="004A6C83">
        <w:t>individual</w:t>
      </w:r>
      <w:r w:rsidR="00A51464">
        <w:t xml:space="preserve"> gene conversion tracts</w:t>
      </w:r>
      <w:r w:rsidR="001601F6">
        <w:t xml:space="preserve"> where the length </w:t>
      </w:r>
      <w:r w:rsidR="00AB3498">
        <w:t xml:space="preserve">spanning </w:t>
      </w:r>
      <w:r w:rsidR="001601F6">
        <w:t xml:space="preserve">the furthest allele converted markers </w:t>
      </w:r>
      <w:r w:rsidR="00AB3498">
        <w:t xml:space="preserve">within </w:t>
      </w:r>
      <w:r w:rsidR="00BE73C9">
        <w:t>the</w:t>
      </w:r>
      <w:r w:rsidR="00AB3498">
        <w:t xml:space="preserve"> gene conversion tract </w:t>
      </w:r>
      <w:r w:rsidR="001601F6">
        <w:t>is no more than 1500 bp.</w:t>
      </w:r>
    </w:p>
    <w:p w14:paraId="30EA4A3E" w14:textId="48794C8C"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FC4A35">
        <w:t>IBD clusters</w:t>
      </w:r>
      <w:r w:rsidR="002A2749">
        <w:t>, a</w:t>
      </w:r>
      <w:r w:rsidR="00FC4A35">
        <w:t xml:space="preserve"> set of haplotypes at a locus that have a recent common ancestor.</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assuming that the individual in which meiosis occurs 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Applying their method to whole autosome sequence data from 125,361 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p>
    <w:p w14:paraId="774BD79D" w14:textId="44CE5BE4" w:rsidR="002C68AB" w:rsidRDefault="006E4DC4" w:rsidP="00D624C9">
      <w:r>
        <w:lastRenderedPageBreak/>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0042E2">
        <w:fldChar w:fldCharType="begin"/>
      </w:r>
      <w:r w:rsidR="000C5294">
        <w:instrText xml:space="preserve"> ADDIN ZOTERO_ITEM CSL_CITATION {"citationID":"JoykjF4c","properties":{"formattedCitation":"\\super 7\\uc0\\u8211{}9\\nosupersub{}","plainCitation":"7–9","noteIndex":0},"citationItems":[{"id":28,"uris":["http://zotero.org/users/14121098/items/8SQWZVTT"],"itemData":{"id":28,"type":"article-journal","abstract":"DNA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C5294" w:rsidRPr="000C5294">
        <w:rPr>
          <w:rFonts w:ascii="Calibri" w:hAnsi="Calibri" w:cs="Calibri"/>
          <w:kern w:val="0"/>
          <w:vertAlign w:val="superscript"/>
        </w:rPr>
        <w:t>7–9</w:t>
      </w:r>
      <w:r w:rsidR="000042E2">
        <w:fldChar w:fldCharType="end"/>
      </w:r>
      <w:r w:rsidR="00DC6EC2">
        <w:t xml:space="preserve"> However, these studies </w:t>
      </w:r>
      <w:r w:rsidR="00EC7A70">
        <w:t>use pedigree datasets</w:t>
      </w:r>
      <w:r w:rsidR="0047532E">
        <w:t xml:space="preserve"> (or in the case of Betran et al., a small number of </w:t>
      </w:r>
      <w:r w:rsidR="0047532E">
        <w:rPr>
          <w:i/>
          <w:iCs/>
        </w:rPr>
        <w:t>Drosophila</w:t>
      </w:r>
      <w:r w:rsidR="0047532E">
        <w:t xml:space="preserve"> sequences)</w:t>
      </w:r>
      <w:r w:rsidR="00EC7A70">
        <w:t xml:space="preserve">, which </w:t>
      </w:r>
      <w:r w:rsidR="0047532E">
        <w:t xml:space="preserve">only </w:t>
      </w:r>
      <w:r w:rsidR="00EC7A70">
        <w:t xml:space="preserve">contain information about a </w:t>
      </w:r>
      <w:r w:rsidR="0047532E">
        <w:t>few</w:t>
      </w:r>
      <w:r w:rsidR="00EC7A70">
        <w:t xml:space="preserve"> me</w:t>
      </w:r>
      <w:r w:rsidR="0047532E">
        <w:t>i</w:t>
      </w:r>
      <w:r w:rsidR="00EC7A70">
        <w:t>oses, limiting the number of detectable gene conversion tracts.</w:t>
      </w:r>
      <w:r w:rsidR="00066718">
        <w:t xml:space="preserve"> </w:t>
      </w:r>
      <w:r w:rsidR="0047532E">
        <w:t>This can lead to more uncertain estimates of the mean gene conversion tract length</w:t>
      </w:r>
      <w:r w:rsidR="00DC6EC2">
        <w:t xml:space="preserve">. </w:t>
      </w:r>
      <w:r w:rsidR="00987D47">
        <w:t>For example, a</w:t>
      </w:r>
      <w:r w:rsidR="00066718">
        <w:t xml:space="preserve"> statistical model was used to infer the mean length of gene conversion tracts using 257 paternal and 247 maternal gene conversion tracts detected from the deCODE study, but </w:t>
      </w:r>
      <w:r w:rsidR="00987D47">
        <w:t>confidence intervals span more than an order of magnitude in some cases</w:t>
      </w:r>
      <w:r w:rsidR="00066718">
        <w:t>.</w:t>
      </w:r>
      <w:r w:rsidR="00066718">
        <w:fldChar w:fldCharType="begin"/>
      </w:r>
      <w:r w:rsidR="00066718">
        <w:instrText xml:space="preserve"> ADDIN ZOTERO_ITEM CSL_CITATION {"citationID":"uOX83pTQ","properties":{"formattedCitation":"\\super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66718">
        <w:fldChar w:fldCharType="separate"/>
      </w:r>
      <w:r w:rsidR="00066718" w:rsidRPr="00066718">
        <w:rPr>
          <w:rFonts w:ascii="Calibri" w:cs="Calibri"/>
          <w:kern w:val="0"/>
          <w:vertAlign w:val="superscript"/>
        </w:rPr>
        <w:t>9</w:t>
      </w:r>
      <w:r w:rsidR="00066718">
        <w:fldChar w:fldCharType="end"/>
      </w:r>
      <w:r w:rsidR="00066718">
        <w:t xml:space="preserve"> </w:t>
      </w:r>
    </w:p>
    <w:p w14:paraId="2A58A5C0" w14:textId="4ACE97E6" w:rsidR="008A12F7" w:rsidRPr="009D73F9" w:rsidRDefault="003A3BDC" w:rsidP="00D624C9">
      <w:r>
        <w:t>Various distributions have been suggested for gene conversion tract lengths</w:t>
      </w:r>
      <w:r w:rsidR="00186293">
        <w:t>.</w:t>
      </w:r>
      <w:r w:rsidR="00121B1F">
        <w:t xml:space="preserve"> A geometric distribution </w:t>
      </w:r>
      <w:r w:rsidR="00896738">
        <w:t xml:space="preserve">was used to model gene conversion lengths in </w:t>
      </w:r>
      <w:r w:rsidR="00896738">
        <w:rPr>
          <w:i/>
          <w:iCs/>
        </w:rPr>
        <w:t>Drosophila</w:t>
      </w:r>
      <w:r w:rsidR="00682EFF">
        <w:t>.</w:t>
      </w:r>
      <w:r w:rsidR="00121B1F">
        <w:fldChar w:fldCharType="begin"/>
      </w:r>
      <w:r w:rsidR="000C5294">
        <w:instrText xml:space="preserve"> ADDIN ZOTERO_ITEM CSL_CITATION {"citationID":"ltDdPbfI","properties":{"formattedCitation":"\\super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21B1F">
        <w:fldChar w:fldCharType="separate"/>
      </w:r>
      <w:r w:rsidR="000C5294" w:rsidRPr="000C5294">
        <w:rPr>
          <w:rFonts w:ascii="Calibri" w:hAnsi="Calibri" w:cs="Calibri"/>
          <w:kern w:val="0"/>
          <w:vertAlign w:val="superscript"/>
        </w:rPr>
        <w:t>7</w:t>
      </w:r>
      <w:r w:rsidR="00121B1F">
        <w:fldChar w:fldCharType="end"/>
      </w:r>
      <w:r w:rsidR="00D624C9">
        <w:t xml:space="preserve"> </w:t>
      </w:r>
      <w:r w:rsidR="00682EFF">
        <w:t>A sum of two geometric random variables</w:t>
      </w:r>
      <w:r w:rsidR="000D6162">
        <w:rPr>
          <w:rFonts w:hint="eastAsia"/>
        </w:rPr>
        <w:t xml:space="preserve"> </w:t>
      </w:r>
      <w:r w:rsidR="00682EFF">
        <w:t xml:space="preserve">and a </w:t>
      </w:r>
      <w:r w:rsidR="000D6162">
        <w:rPr>
          <w:rFonts w:hint="eastAsia"/>
        </w:rPr>
        <w:t xml:space="preserve">mixture </w:t>
      </w:r>
      <w:r w:rsidR="00682EFF">
        <w:t>distribution with</w:t>
      </w:r>
      <w:r w:rsidR="000D6162">
        <w:rPr>
          <w:rFonts w:hint="eastAsia"/>
        </w:rPr>
        <w:t xml:space="preserve"> negative binomial </w:t>
      </w:r>
      <w:r w:rsidR="00682EFF">
        <w:t>components have also been used to model</w:t>
      </w:r>
      <w:r w:rsidR="000D6162">
        <w:rPr>
          <w:rFonts w:hint="eastAsia"/>
        </w:rPr>
        <w:t xml:space="preserve"> </w:t>
      </w:r>
      <w:r w:rsidR="00896738">
        <w:t xml:space="preserve">gene conversion </w:t>
      </w:r>
      <w:r w:rsidR="000D6162">
        <w:rPr>
          <w:rFonts w:hint="eastAsia"/>
        </w:rPr>
        <w:t>tract lengths</w:t>
      </w:r>
      <w:r w:rsidR="00D624C9">
        <w:t>.</w:t>
      </w:r>
      <w:r w:rsidR="000D6162">
        <w:fldChar w:fldCharType="begin"/>
      </w:r>
      <w:r w:rsidR="000C5294">
        <w:instrText xml:space="preserve"> ADDIN ZOTERO_ITEM CSL_CITATION {"citationID":"f8yrE7JY","properties":{"formattedCitation":"\\super 8,9\\nosupersub{}","plainCitation":"8,9","noteIndex":0},"citationItems":[{"id":30,"uris":["http://zotero.org/users/14121098/items/P4S3NZ9X"],"itemData":{"id":30,"type":"article-journal","abstract":"Homologous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D6162">
        <w:fldChar w:fldCharType="separate"/>
      </w:r>
      <w:r w:rsidR="000C5294" w:rsidRPr="000C5294">
        <w:rPr>
          <w:rFonts w:ascii="Calibri" w:hAnsi="Calibri" w:cs="Calibri"/>
          <w:kern w:val="0"/>
          <w:vertAlign w:val="superscript"/>
        </w:rPr>
        <w:t>8,9</w:t>
      </w:r>
      <w:r w:rsidR="000D6162">
        <w:fldChar w:fldCharType="end"/>
      </w:r>
      <w:r w:rsidR="0083017A">
        <w:rPr>
          <w:rFonts w:hint="eastAsia"/>
        </w:rPr>
        <w:t xml:space="preserve"> </w:t>
      </w:r>
    </w:p>
    <w:p w14:paraId="061DC3F0" w14:textId="344D1D5D" w:rsidR="00C069C2" w:rsidRDefault="00707A98" w:rsidP="00910563">
      <w:r>
        <w:rPr>
          <w:rFonts w:hint="eastAsia"/>
        </w:rPr>
        <w:t xml:space="preserve">In this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 xml:space="preserve">s using </w:t>
      </w:r>
      <w:r w:rsidR="0038290D">
        <w:t>tract lengths</w:t>
      </w:r>
      <w:r w:rsidR="00610FB0">
        <w:t xml:space="preserve"> detected from the UK Biobank </w:t>
      </w:r>
      <w:r w:rsidR="00710683">
        <w:t>whole autosome</w:t>
      </w:r>
      <w:r w:rsidR="00610FB0">
        <w:t xml:space="preserve"> data.</w:t>
      </w:r>
      <w:r w:rsidR="00610FB0">
        <w:fldChar w:fldCharType="begin"/>
      </w:r>
      <w:r w:rsidR="000C5294">
        <w:instrText xml:space="preserve"> ADDIN ZOTERO_ITEM CSL_CITATION {"citationID":"XoDQfAR9","properties":{"formattedCitation":"\\super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610FB0">
        <w:fldChar w:fldCharType="separate"/>
      </w:r>
      <w:r w:rsidR="000C5294" w:rsidRPr="000C5294">
        <w:rPr>
          <w:rFonts w:ascii="Calibri" w:hAnsi="Calibri" w:cs="Calibri"/>
          <w:kern w:val="0"/>
          <w:vertAlign w:val="superscript"/>
        </w:rPr>
        <w:t>6</w:t>
      </w:r>
      <w:r w:rsidR="00610FB0">
        <w:fldChar w:fldCharType="end"/>
      </w:r>
      <w:r w:rsidR="00D51079">
        <w:t xml:space="preserve"> Our model is inspired by a model proposed by Betran et al., </w:t>
      </w:r>
      <w:r w:rsidR="006C5EB3">
        <w:t xml:space="preserve">which was </w:t>
      </w:r>
      <w:r w:rsidR="00D51079">
        <w:t xml:space="preserve">fit to tract lengths detected in </w:t>
      </w:r>
      <w:r w:rsidR="00D51079" w:rsidRPr="00D51079">
        <w:rPr>
          <w:i/>
          <w:iCs/>
        </w:rPr>
        <w:t>Drosophila subobscura</w:t>
      </w:r>
      <w:r w:rsidR="00D51079">
        <w:t>.</w:t>
      </w:r>
      <w:r w:rsidR="00402DAB">
        <w:t xml:space="preserve"> </w:t>
      </w:r>
      <w:r w:rsidR="00616212">
        <w:t>Like in Betran et al.. w</w:t>
      </w:r>
      <w:r w:rsidR="00910563">
        <w:t>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 in our model</w:t>
      </w:r>
      <w:r w:rsidR="00E05994">
        <w:t>.</w:t>
      </w:r>
      <w:r w:rsidR="00402DAB">
        <w:fldChar w:fldCharType="begin"/>
      </w:r>
      <w:r w:rsidR="00402DAB">
        <w:instrText xml:space="preserve"> ADDIN ZOTERO_ITEM CSL_CITATION {"citationID":"ZeZaf071","properties":{"formattedCitation":"\\super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402DAB" w:rsidRPr="00402DAB">
        <w:rPr>
          <w:rFonts w:ascii="Calibri" w:cs="Calibri"/>
          <w:kern w:val="0"/>
          <w:vertAlign w:val="superscript"/>
        </w:rPr>
        <w:t>7</w:t>
      </w:r>
      <w:r w:rsidR="00402DAB">
        <w:fldChar w:fldCharType="end"/>
      </w:r>
      <w:r w:rsidR="0033027F">
        <w:t xml:space="preserve"> </w:t>
      </w:r>
      <w:r w:rsidR="00C66989">
        <w:t>W</w:t>
      </w:r>
      <w:r w:rsidR="00610FB0">
        <w:t>ithin a gene conversion tract, allele conversions only occur at heterozygous</w:t>
      </w:r>
      <w:r w:rsidR="00910563">
        <w:t xml:space="preserve"> positions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1F4BC4">
        <w:t>Like in Betran et al., 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1A031F">
        <w:t>the same</w:t>
      </w:r>
      <w:r w:rsidR="00E63A62">
        <w:t xml:space="preserve"> gene conversion tract</w:t>
      </w:r>
      <w:r w:rsidR="001F4BC4">
        <w:t>.</w:t>
      </w:r>
      <w:r w:rsidR="001F4BC4">
        <w:fldChar w:fldCharType="begin"/>
      </w:r>
      <w:r w:rsidR="001F4BC4">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F4BC4">
        <w:fldChar w:fldCharType="separate"/>
      </w:r>
      <w:r w:rsidR="001F4BC4" w:rsidRPr="001F4BC4">
        <w:rPr>
          <w:rFonts w:ascii="Calibri" w:cs="Calibri"/>
          <w:kern w:val="0"/>
          <w:vertAlign w:val="superscript"/>
        </w:rPr>
        <w:t>7</w:t>
      </w:r>
      <w:r w:rsidR="001F4BC4">
        <w:fldChar w:fldCharType="end"/>
      </w:r>
      <w:r w:rsidR="006C18A4">
        <w:t xml:space="preserve"> </w:t>
      </w:r>
      <w:r w:rsidR="00A65383">
        <w:t>In our study, w</w:t>
      </w:r>
      <w:r w:rsidR="001A031F">
        <w:t>e</w:t>
      </w:r>
      <w:r w:rsidR="001F4BC4">
        <w:t xml:space="preserve"> </w:t>
      </w:r>
      <w:r w:rsidR="00876613">
        <w:t>allow this</w:t>
      </w:r>
      <w:r w:rsidR="001A031F">
        <w:t xml:space="preserve"> probability </w:t>
      </w:r>
      <w:r w:rsidR="00876613">
        <w:t xml:space="preserve">to differ </w:t>
      </w:r>
      <w:r w:rsidR="001A031F">
        <w:t>for each</w:t>
      </w:r>
      <w:r w:rsidR="00013B1D">
        <w:t xml:space="preserve"> </w:t>
      </w:r>
      <w:r w:rsidR="00616212">
        <w:t>detected</w:t>
      </w:r>
      <w:r w:rsidR="001A031F">
        <w:t xml:space="preserve"> gene conversion tract</w:t>
      </w:r>
      <w:r w:rsidR="001F4BC4">
        <w:t xml:space="preserve">. </w:t>
      </w:r>
      <w:r w:rsidR="00C069C2">
        <w:t>A geometric distribution is exclusively used to model the length distribution of gene conversion tracts in Betran et al., but in our study, we also allow the length distribution to be a sum of two geometric random variables.</w:t>
      </w:r>
    </w:p>
    <w:p w14:paraId="70547331" w14:textId="7F29FF1E" w:rsidR="00C069C2" w:rsidRDefault="00C069C2" w:rsidP="00616212">
      <w:r>
        <w:lastRenderedPageBreak/>
        <w:t xml:space="preserve">For model validation, we fit our model to </w:t>
      </w:r>
      <w:r w:rsidR="00616212">
        <w:t>detected</w:t>
      </w:r>
      <w:r>
        <w:t xml:space="preserve"> gene conversion tract</w:t>
      </w:r>
      <w:r w:rsidR="00A27126">
        <w:t xml:space="preserve"> lengths</w:t>
      </w:r>
      <w:r>
        <w:t xml:space="preserve"> from a coalescent simulation incorporating gene conversions, originally described in Browning and Browning (2024).</w:t>
      </w:r>
      <w:r>
        <w:fldChar w:fldCharType="begin"/>
      </w:r>
      <w:r>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87009">
        <w:rPr>
          <w:rFonts w:ascii="Calibri" w:cs="Calibri"/>
          <w:kern w:val="0"/>
          <w:vertAlign w:val="superscript"/>
        </w:rPr>
        <w:t>6</w:t>
      </w:r>
      <w:r>
        <w:fldChar w:fldCharType="end"/>
      </w:r>
      <w:r>
        <w:t xml:space="preserve"> Our model fits the observed </w:t>
      </w:r>
      <w:r w:rsidR="00A27126">
        <w:t>tract lengths</w:t>
      </w:r>
      <w:r>
        <w:t xml:space="preserve"> </w:t>
      </w:r>
      <w:r w:rsidR="006451E8">
        <w:t xml:space="preserve">well after excluding </w:t>
      </w:r>
      <w:r w:rsidR="006451E8">
        <w:t xml:space="preserve">observed tract lengths of one bp </w:t>
      </w:r>
      <w:r w:rsidR="00616212">
        <w:t>and</w:t>
      </w:r>
      <w:r>
        <w:t xml:space="preserve"> </w:t>
      </w:r>
      <w:r w:rsidR="00560A43">
        <w:t xml:space="preserve">truncating the </w:t>
      </w:r>
      <w:r w:rsidR="004A3E13">
        <w:t xml:space="preserve">distribution of </w:t>
      </w:r>
      <w:r w:rsidR="00616212">
        <w:t>observed tract lengths in our model</w:t>
      </w:r>
      <w:r w:rsidR="00C3466D">
        <w:t xml:space="preserve"> to be </w:t>
      </w:r>
      <w:r w:rsidR="006451E8">
        <w:t>two</w:t>
      </w:r>
      <w:r w:rsidR="00C3466D">
        <w:t xml:space="preserve"> bp or </w:t>
      </w:r>
      <w:r w:rsidR="0017350F">
        <w:t>longer</w:t>
      </w:r>
      <w:r w:rsidR="00616212">
        <w:t xml:space="preserve">. Our model overestimates the frequency of </w:t>
      </w:r>
      <w:r w:rsidR="006D4101">
        <w:t>observed</w:t>
      </w:r>
      <w:r w:rsidR="00616212">
        <w:t xml:space="preserve"> </w:t>
      </w:r>
      <w:r w:rsidR="006D4101">
        <w:t>tract lengths that are one bp</w:t>
      </w:r>
      <w:r w:rsidR="00616212">
        <w:t>,</w:t>
      </w:r>
      <w:r w:rsidR="00641F13">
        <w:t xml:space="preserve"> likely because we do not account for linkage disequilibrium (see Supplementary </w:t>
      </w:r>
      <w:r w:rsidR="00557752">
        <w:t>materials</w:t>
      </w:r>
      <w:r w:rsidR="00641F13">
        <w:t xml:space="preserve">). </w:t>
      </w:r>
      <w:r w:rsidR="00A27126">
        <w:t xml:space="preserve">Truncating </w:t>
      </w:r>
      <w:r w:rsidR="00641F13">
        <w:t xml:space="preserve">our model to </w:t>
      </w:r>
      <w:r w:rsidR="00557752">
        <w:t xml:space="preserve">only consider </w:t>
      </w:r>
      <w:r w:rsidR="00420B23">
        <w:t xml:space="preserve">observed tract lengths of two bp or </w:t>
      </w:r>
      <w:r w:rsidR="00616212">
        <w:t>longer</w:t>
      </w:r>
      <w:r>
        <w:t xml:space="preserve">, we get an accurate estimate of the mean tract length </w:t>
      </w:r>
      <w:r w:rsidR="00641F13">
        <w:t>when</w:t>
      </w:r>
      <w:r>
        <w:t xml:space="preserve"> the length distribution of gene conversion tracts is correctly specified.</w:t>
      </w:r>
    </w:p>
    <w:p w14:paraId="4A45E9CC" w14:textId="1B472DA7" w:rsidR="00E82FD4" w:rsidRPr="00A82FC4" w:rsidRDefault="006C18A4" w:rsidP="00E9155B">
      <w:r>
        <w:t>By maximizing the likelihood of</w:t>
      </w:r>
      <w:r w:rsidR="00876613">
        <w:t xml:space="preserve"> the set of </w:t>
      </w:r>
      <w:r w:rsidR="00E05994">
        <w:t>observed</w:t>
      </w:r>
      <w:r w:rsidR="00876613">
        <w:t xml:space="preserve"> gene conversion tract lengths </w:t>
      </w:r>
      <w:r w:rsidR="004A3E13">
        <w:t>longer</w:t>
      </w:r>
      <w:r w:rsidR="006451E8">
        <w:t xml:space="preserve"> than 1 bp </w:t>
      </w:r>
      <w:r w:rsidR="004A3E13">
        <w:t xml:space="preserve">detected in </w:t>
      </w:r>
      <w:r w:rsidR="00876613">
        <w:t>the UK Biobank whole autosome data,</w:t>
      </w:r>
      <w:r>
        <w:t xml:space="preserve"> </w:t>
      </w:r>
      <w:r w:rsidR="006451E8">
        <w:t>we estimate the mean gene conversion tract length to be 459 bp long (95% CI: [457, 460]).</w:t>
      </w:r>
      <w:r w:rsidR="004A3E13">
        <w:t xml:space="preserve"> Furthermore,</w:t>
      </w:r>
      <w:r w:rsidR="00E358DD">
        <w:t xml:space="preserve"> we stratify these observed tract lengths based on whether they overlapped with a recombination hotspot</w:t>
      </w:r>
      <w:r w:rsidR="00E9155B">
        <w:t xml:space="preserve">. We classified the region </w:t>
      </w:r>
      <w:r w:rsidR="00DC1C97">
        <w:t>spanning</w:t>
      </w:r>
      <w:r w:rsidR="00E9155B">
        <w:t xml:space="preserve"> two </w:t>
      </w:r>
      <w:r w:rsidR="00DC1C97">
        <w:t xml:space="preserve">adjacent </w:t>
      </w:r>
      <w:r w:rsidR="00E9155B">
        <w:t xml:space="preserve">markers as a recombination hotspot if </w:t>
      </w:r>
      <w:r w:rsidR="00DC1C97">
        <w:t>the markers were more than 2 kb apart and the local recombination rate between the markers</w:t>
      </w:r>
      <w:r w:rsidR="00E9155B">
        <w:t xml:space="preserve"> exceeded five times the </w:t>
      </w:r>
      <w:r w:rsidR="008C54A0">
        <w:t xml:space="preserve">background recombination rate of the </w:t>
      </w:r>
      <w:r w:rsidR="00E9155B">
        <w:t xml:space="preserve">autosome. </w:t>
      </w:r>
      <w:r w:rsidR="00DC1C97">
        <w:t>Fitting our model on both</w:t>
      </w:r>
      <w:r w:rsidR="00E071EF">
        <w:t>…</w:t>
      </w:r>
    </w:p>
    <w:p w14:paraId="7C58ABBB" w14:textId="5CA82F50" w:rsidR="00E812E2" w:rsidRDefault="00301971" w:rsidP="00E812E2">
      <w:pPr>
        <w:pStyle w:val="Heading1"/>
      </w:pPr>
      <w:r>
        <w:t>Materials</w:t>
      </w:r>
      <w:r w:rsidR="00E812E2">
        <w:t xml:space="preserve"> 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lastRenderedPageBreak/>
        <w:t>Detecting gene conversion tracts</w:t>
      </w:r>
    </w:p>
    <w:p w14:paraId="2A23E287" w14:textId="72F7FB3B" w:rsidR="00CA7279" w:rsidRPr="00D63A61" w:rsidRDefault="00845E9F" w:rsidP="00142C6C">
      <w:r>
        <w:t>Browning and Browning</w:t>
      </w:r>
      <w:r w:rsidR="00857FE8">
        <w:rPr>
          <w:rFonts w:hint="eastAsia"/>
        </w:rPr>
        <w:t xml:space="preserve"> devised</w:t>
      </w:r>
      <w:r>
        <w:t xml:space="preserve"> </w:t>
      </w:r>
      <w:r w:rsidR="005E24A8">
        <w:t xml:space="preserve">a </w:t>
      </w:r>
      <w:r w:rsidR="00B64201">
        <w:t>multi-</w:t>
      </w:r>
      <w:r w:rsidR="00857FE8">
        <w:rPr>
          <w:rFonts w:hint="eastAsia"/>
        </w:rPr>
        <w:t xml:space="preserve">individual </w:t>
      </w:r>
      <w:r w:rsidR="00B64201">
        <w:t>IBD method</w:t>
      </w:r>
      <w:r>
        <w:t xml:space="preserve"> </w:t>
      </w:r>
      <w:r w:rsidR="00B64201">
        <w:t xml:space="preserve">to detect </w:t>
      </w:r>
      <w:r w:rsidR="00A634E0">
        <w:t>gene conversion tracts in the UK Biobank whole autosome data.</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Their method utilizes</w:t>
      </w:r>
      <w:r w:rsidR="00A634E0">
        <w:t xml:space="preserve"> </w:t>
      </w:r>
      <w:r w:rsidR="003E2F04">
        <w:t>IBD</w:t>
      </w:r>
      <w:r w:rsidR="00D240F6">
        <w:rPr>
          <w:rFonts w:hint="eastAsia"/>
        </w:rPr>
        <w:t xml:space="preserve"> clusters, </w:t>
      </w:r>
      <w:r w:rsidR="003E2F04">
        <w:t>a set of haplotypes at a locus that have a recent common ancestor</w:t>
      </w:r>
      <w:r w:rsidR="00D240F6">
        <w:rPr>
          <w:rFonts w:hint="eastAsia"/>
        </w:rPr>
        <w:t xml:space="preserve">, to detect </w:t>
      </w:r>
      <w:r w:rsidR="00F13EE3">
        <w:rPr>
          <w:rFonts w:hint="eastAsia"/>
        </w:rPr>
        <w:t>past</w:t>
      </w:r>
      <w:r w:rsidR="00D240F6">
        <w:rPr>
          <w:rFonts w:hint="eastAsia"/>
        </w:rPr>
        <w:t xml:space="preserve"> allele conversions</w:t>
      </w:r>
      <w:r w:rsidR="00AB612D">
        <w:t xml:space="preserve"> (i.e.,</w:t>
      </w:r>
      <w:r w:rsidR="00207FC7">
        <w:t xml:space="preserve"> a change in </w:t>
      </w:r>
      <w:r w:rsidR="00B52FCB">
        <w:t>alleles on a haplotype</w:t>
      </w:r>
      <w:r w:rsidR="00C231C6">
        <w:t xml:space="preserve"> due to a gene conversion event</w:t>
      </w:r>
      <w:r w:rsidR="00AB612D">
        <w:t>)</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59440C">
        <w:rPr>
          <w:rFonts w:hint="eastAsia"/>
        </w:rPr>
        <w:t>we will observe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xml:space="preserve">, which can be used to detect past gene conversion events. </w:t>
      </w:r>
      <w:r w:rsidR="006C50AD">
        <w:rPr>
          <w:rFonts w:hint="eastAsia"/>
        </w:rPr>
        <w:t xml:space="preserve">In </w:t>
      </w:r>
      <w:r w:rsidR="003C73E7">
        <w:rPr>
          <w:rFonts w:hint="eastAsia"/>
        </w:rPr>
        <w:t>their</w:t>
      </w:r>
      <w:r w:rsidR="006C50AD">
        <w:rPr>
          <w:rFonts w:hint="eastAsia"/>
        </w:rPr>
        <w:t xml:space="preserve"> method, the genome is split into </w:t>
      </w:r>
      <w:r w:rsidR="003F4045">
        <w:t>short interleaved regions</w:t>
      </w:r>
      <w:r w:rsidR="003F4045">
        <w:rPr>
          <w:rFonts w:hint="eastAsia"/>
        </w:rPr>
        <w:t xml:space="preserve"> </w:t>
      </w:r>
      <w:r w:rsidR="006C50AD">
        <w:rPr>
          <w:rFonts w:hint="eastAsia"/>
        </w:rPr>
        <w:t xml:space="preserve">in which IBD clusters are inferred </w:t>
      </w:r>
      <w:r w:rsidR="003F4045">
        <w:t>or in which</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6C50AD">
        <w:t xml:space="preserve">are 9 kb long, for a total of 18 kb, and this 18 kb pattern is 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9D2464">
        <w:rPr>
          <w:rFonts w:hint="eastAsia"/>
        </w:rPr>
        <w:t>is</w:t>
      </w:r>
      <w:r w:rsidR="005B6B27">
        <w:t xml:space="preserve"> offset by 0, 6, and 12 kb, and the analysis repeated </w:t>
      </w:r>
      <w:r w:rsidR="00D63A61">
        <w:t>across</w:t>
      </w:r>
      <w:r w:rsidR="00D63A61">
        <w:rPr>
          <w:rFonts w:hint="eastAsia"/>
        </w:rPr>
        <w:t xml:space="preserve"> each </w:t>
      </w:r>
      <w:r w:rsidR="00207FC7">
        <w:t>offset</w:t>
      </w:r>
      <w:r w:rsidR="00C231C6">
        <w:t xml:space="preserve"> to ensure that allele conversions at all positions can 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1F1C1ED4" w:rsidR="009764D2" w:rsidRDefault="007B3025" w:rsidP="003830E7">
      <w:r>
        <w:rPr>
          <w:rFonts w:hint="eastAsia"/>
        </w:rPr>
        <w:t>For each offset, a</w:t>
      </w:r>
      <w:r w:rsidR="006C50AD">
        <w:rPr>
          <w:rFonts w:hint="eastAsia"/>
        </w:rPr>
        <w:t xml:space="preserve">llele conversions are detected in the 9 kb gene conversion detection region, based on the </w:t>
      </w:r>
      <w:r w:rsidR="006C50AD">
        <w:t>IBD clustering at the marker closest to the position of the putative allele conversion.</w:t>
      </w:r>
      <w:r w:rsidR="006C50AD">
        <w:rPr>
          <w:rFonts w:hint="eastAsia"/>
        </w:rPr>
        <w:t xml:space="preserve"> </w:t>
      </w:r>
      <w:r w:rsidR="00471842">
        <w:t xml:space="preserve">Only </w:t>
      </w:r>
      <w:r w:rsidR="00DE78CF">
        <w:t xml:space="preserve">markers with MAF greater than or equal to 5% </w:t>
      </w:r>
      <w:r w:rsidR="00471842">
        <w:t xml:space="preserve">are considered </w:t>
      </w:r>
      <w:r w:rsidR="00DE78CF">
        <w:t xml:space="preserve">when detecting allele conversions to prevent mutations from being detected as allele conversions. </w:t>
      </w:r>
      <w:r w:rsidR="00A60991">
        <w:t xml:space="preserve">To detect an allele conversion at </w:t>
      </w:r>
      <w:r w:rsidR="00C231C6">
        <w:t>a</w:t>
      </w:r>
      <w:r w:rsidR="00A60991">
        <w:t xml:space="preserve"> position, the</w:t>
      </w:r>
      <w:r w:rsidR="00C231C6">
        <w:t xml:space="preserve"> corresponding</w:t>
      </w:r>
      <w:r w:rsidR="00A60991">
        <w:t xml:space="preserve"> IBD cluster must contain at least two copies of two different alleles</w:t>
      </w:r>
      <w:r w:rsidR="003F4045">
        <w:t xml:space="preserve"> in order to protect against sporadic genotype errors</w:t>
      </w:r>
      <w:r w:rsidR="00A60991">
        <w:t>.</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A60991">
        <w:t xml:space="preserve"> </w:t>
      </w:r>
    </w:p>
    <w:p w14:paraId="4DB1923E" w14:textId="5B286544" w:rsidR="009764D2" w:rsidRDefault="009764D2" w:rsidP="003830E7">
      <w:r>
        <w:t>After allele conversions are detected</w:t>
      </w:r>
      <w:r w:rsidR="00142C6C">
        <w:t xml:space="preserve">, </w:t>
      </w:r>
      <w:r>
        <w:t>they</w:t>
      </w:r>
      <w:r w:rsidR="00142C6C">
        <w:t xml:space="preserve"> are clustered to form observed gene conversion </w:t>
      </w:r>
      <w:r w:rsidR="003F4045">
        <w:t>tracts</w:t>
      </w:r>
      <w:r w:rsidR="003830E7">
        <w:rPr>
          <w:rFonts w:hint="eastAsia"/>
        </w:rPr>
        <w:t xml:space="preserve">. </w:t>
      </w:r>
      <w:r w:rsidR="003830E7">
        <w:t>Allele conversions are considered to belong to the same gene conversion tract if they are located within 1500 bp of each other, and if the membership of the two sub-clusters (representing the two alleles present in the IBD cluster) overlaps between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12FACE7A" w:rsidR="003830E7" w:rsidRDefault="003830E7" w:rsidP="003830E7">
      <w:r>
        <w:t xml:space="preserve">After organizing allele conversions into gene conversion tracts within each offset, the results </w:t>
      </w:r>
      <w:r w:rsidR="00471842">
        <w:t xml:space="preserve">are combined </w:t>
      </w:r>
      <w:r>
        <w:t xml:space="preserve">across offsets. </w:t>
      </w:r>
      <w:r w:rsidR="00471842">
        <w:t>O</w:t>
      </w:r>
      <w:r>
        <w:t xml:space="preserve">nly tracts that start within the central 6 kb of the 9 kb gene conversion detection region </w:t>
      </w:r>
      <w:r>
        <w:lastRenderedPageBreak/>
        <w:t>for the corresponding offset</w:t>
      </w:r>
      <w:r w:rsidR="00471842">
        <w:t xml:space="preserve"> are retained</w:t>
      </w:r>
      <w:r>
        <w:t>.</w:t>
      </w:r>
      <w:r w:rsidR="00930236">
        <w:rPr>
          <w:rFonts w:hint="eastAsia"/>
        </w:rPr>
        <w:t xml:space="preserve"> </w:t>
      </w:r>
      <w:r w:rsidR="00C231C6">
        <w:t xml:space="preserve">This is because tracts starting at the ends of the detection region are likely to </w:t>
      </w:r>
      <w:r w:rsidR="00FB075E">
        <w:t xml:space="preserve">protrude into the neighboring </w:t>
      </w:r>
      <w:r w:rsidR="003F4045">
        <w:t xml:space="preserve">region </w:t>
      </w:r>
      <w:r w:rsidR="00FB075E">
        <w:t>in which IBD clusters are detected, where allele conversions are not detected</w:t>
      </w:r>
      <w:r w:rsidR="00471842">
        <w:t>, and to avoid double counting any tracts</w:t>
      </w:r>
      <w:r w:rsidR="00FB075E">
        <w:t>.</w:t>
      </w:r>
    </w:p>
    <w:p w14:paraId="027AD5FF" w14:textId="518FECF6" w:rsidR="0000355D" w:rsidRDefault="00FB075E" w:rsidP="00257DC0">
      <w:r>
        <w:t xml:space="preserve">The detection of gene conversion tracts in the UK Biobank whole autosome data was previously </w:t>
      </w:r>
      <w:r w:rsidR="003F4045">
        <w:t xml:space="preserve">performed </w:t>
      </w:r>
      <w:r>
        <w:t>in the</w:t>
      </w:r>
      <w:r w:rsidR="00345903">
        <w:rPr>
          <w:rFonts w:hint="eastAsia"/>
        </w:rPr>
        <w:t xml:space="preserve"> multi-individual IBD paper</w:t>
      </w:r>
      <w:r>
        <w:t>, where additional settings are described</w:t>
      </w:r>
      <w:r w:rsidR="00345903">
        <w:rPr>
          <w:rFonts w:hint="eastAsia"/>
        </w:rPr>
        <w:t>.</w:t>
      </w:r>
      <w:r w:rsidR="00345903">
        <w:fldChar w:fldCharType="begin"/>
      </w:r>
      <w:r w:rsidR="000C5294">
        <w:instrText xml:space="preserve"> ADDIN ZOTERO_ITEM CSL_CITATION {"citationID":"PIzO9SNt","properties":{"formattedCitation":"\\super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45903">
        <w:fldChar w:fldCharType="separate"/>
      </w:r>
      <w:r w:rsidR="000C5294" w:rsidRPr="000C5294">
        <w:rPr>
          <w:rFonts w:ascii="Calibri" w:hAnsi="Calibri" w:cs="Calibri"/>
          <w:kern w:val="0"/>
          <w:vertAlign w:val="superscript"/>
        </w:rPr>
        <w:t>6</w:t>
      </w:r>
      <w:r w:rsidR="00345903">
        <w:fldChar w:fldCharType="end"/>
      </w:r>
      <w:r w:rsidR="00345903">
        <w:rPr>
          <w:rFonts w:hint="eastAsia"/>
        </w:rPr>
        <w:t xml:space="preserve"> </w:t>
      </w:r>
      <w:r w:rsidR="00845E9F">
        <w:t xml:space="preserve">Across all the autosomes, </w:t>
      </w:r>
      <w:r w:rsidR="004D432A">
        <w:t>9,313,066 allele conversions were detected and these allele conversions were inferred to belong to 5,961,128 gene conversion tracts</w:t>
      </w:r>
      <w:r w:rsidR="003179CF">
        <w:t>.</w:t>
      </w:r>
      <w:r w:rsidR="002A48CC">
        <w:t xml:space="preserve"> </w:t>
      </w:r>
      <w:r w:rsidR="00E165EA">
        <w:t xml:space="preserve">82.9% of </w:t>
      </w:r>
      <w:r w:rsidR="003179CF">
        <w:t xml:space="preserve">the detected tracts </w:t>
      </w:r>
      <w:r w:rsidR="00E165EA">
        <w:t xml:space="preserve">had </w:t>
      </w:r>
      <w:r w:rsidR="003F4045">
        <w:t xml:space="preserve">only </w:t>
      </w:r>
      <w:r w:rsidR="00B93137">
        <w:rPr>
          <w:rFonts w:hint="eastAsia"/>
        </w:rPr>
        <w:t>one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each detected gene conversion tract as the </w:t>
      </w:r>
      <w:r w:rsidR="00C2439D">
        <w:t>observed tract length</w:t>
      </w:r>
      <w:r w:rsidR="001C35F0">
        <w:t xml:space="preserve"> of the gene conversion tract</w:t>
      </w:r>
      <w:r w:rsidR="00B93137">
        <w:rPr>
          <w:rFonts w:hint="eastAsia"/>
        </w:rPr>
        <w:t>. If only one allele conversion is in the detected tract</w:t>
      </w:r>
      <w:r w:rsidR="00A60991">
        <w:t>,</w:t>
      </w:r>
      <w:r w:rsidR="00B93137">
        <w:rPr>
          <w:rFonts w:hint="eastAsia"/>
        </w:rPr>
        <w:t xml:space="preserve"> the observed </w:t>
      </w:r>
      <w:r w:rsidR="00C2439D">
        <w:t>tract length</w:t>
      </w:r>
      <w:r w:rsidR="00B93137">
        <w:rPr>
          <w:rFonts w:hint="eastAsia"/>
        </w:rPr>
        <w:t xml:space="preserve"> is one. </w:t>
      </w:r>
    </w:p>
    <w:p w14:paraId="6D093CFE" w14:textId="1007B6ED" w:rsidR="00156895" w:rsidRDefault="00A61A8F" w:rsidP="00257DC0">
      <w:r>
        <w:rPr>
          <w:rFonts w:hint="eastAsia"/>
        </w:rPr>
        <w:t xml:space="preserve">We label the </w:t>
      </w:r>
      <w:r>
        <w:t xml:space="preserve">detected </w:t>
      </w:r>
      <w:r>
        <w:rPr>
          <w:rFonts w:hint="eastAsia"/>
        </w:rPr>
        <w:t xml:space="preserve">observed </w:t>
      </w:r>
      <w:r>
        <w:t>tract lengths</w:t>
      </w:r>
      <w:r>
        <w:rPr>
          <w:rFonts w:hint="eastAsia"/>
        </w:rPr>
        <w:t xml:space="preserve"> 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2064BE">
        <w:t>Our</w:t>
      </w:r>
      <w:r w:rsidR="00156895">
        <w:t xml:space="preserve"> gene conversion detection method is likely to truncate larger tracts</w:t>
      </w:r>
      <w:r w:rsidR="002064BE">
        <w:t xml:space="preserve">, </w:t>
      </w:r>
      <w:r w:rsidR="00FF2387">
        <w:t xml:space="preserve">because of how </w:t>
      </w:r>
      <w:r w:rsidR="00FB1F0C">
        <w:t xml:space="preserve">detected </w:t>
      </w:r>
      <w:r w:rsidR="00FF2387">
        <w:t>gene conversion</w:t>
      </w:r>
      <w:r w:rsidR="00C87E72">
        <w:t xml:space="preserve"> tracts</w:t>
      </w:r>
      <w:r w:rsidR="00882904">
        <w:t xml:space="preserve"> are</w:t>
      </w:r>
      <w:r w:rsidR="00C87E72">
        <w:t xml:space="preserve"> </w:t>
      </w:r>
      <w:r w:rsidR="002064BE">
        <w:t>aggregated across the three offsets.</w:t>
      </w:r>
      <w:r w:rsidR="00156895">
        <w:t xml:space="preserve"> </w:t>
      </w:r>
      <w:r w:rsidR="00075BB3">
        <w:t xml:space="preserve">To account for this in our model, </w:t>
      </w:r>
      <w:r w:rsidR="00156895">
        <w:t>we</w:t>
      </w:r>
      <w:r>
        <w:t xml:space="preserve"> exclude</w:t>
      </w:r>
      <w:r w:rsidR="00156895">
        <w:t xml:space="preserve"> any observed tract</w:t>
      </w:r>
      <w:r w:rsidR="00DB64F9">
        <w:t xml:space="preserve"> lengths</w:t>
      </w:r>
      <w:r w:rsidR="00156895">
        <w:t xml:space="preserve"> </w:t>
      </w:r>
      <w:r w:rsidR="00DB64F9">
        <w:t>larger</w:t>
      </w:r>
      <w:r w:rsidR="00156895">
        <w:t xml:space="preserve"> than 1500 bp. </w:t>
      </w:r>
      <w:r w:rsidR="003F5595">
        <w:t>We</w:t>
      </w:r>
      <w:r>
        <w:t xml:space="preserve"> also</w:t>
      </w:r>
      <w:r w:rsidR="003F5595">
        <w:t xml:space="preserve"> </w:t>
      </w:r>
      <w:r w:rsidR="009764D2">
        <w:t>exclude</w:t>
      </w:r>
      <w:r w:rsidR="003F5595">
        <w:t xml:space="preserve"> observed tract lengths of </w:t>
      </w:r>
      <w:r w:rsidR="003F4045">
        <w:t xml:space="preserve">1 bp </w:t>
      </w:r>
      <w:r>
        <w:t>prior to estimation</w:t>
      </w:r>
      <w:r w:rsidR="00C91E58">
        <w:t>,</w:t>
      </w:r>
      <w:r w:rsidR="003F5595">
        <w:t xml:space="preserve"> because the proportion of these tracts is overestimated by our model</w:t>
      </w:r>
      <w:r>
        <w:t xml:space="preserve">. This is likely because </w:t>
      </w:r>
      <w:r w:rsidR="00C91E58">
        <w:t xml:space="preserve">linkage disequilibrium causes </w:t>
      </w:r>
      <w:r>
        <w:t xml:space="preserve">heterozygosity </w:t>
      </w:r>
      <w:r w:rsidR="00C91E58">
        <w:t xml:space="preserve">to be </w:t>
      </w:r>
      <w:r>
        <w:t xml:space="preserve">correlated between nearby markers within </w:t>
      </w:r>
      <w:r w:rsidR="00C91E58">
        <w:t>individuals, and our model</w:t>
      </w:r>
      <w:r>
        <w:t xml:space="preserve"> </w:t>
      </w:r>
      <w:r w:rsidR="00C91E58">
        <w:t xml:space="preserve">does not account for this correlation. The effect of linkage disequilibrium on the distribution of the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t>Definitions and overview of model</w:t>
      </w:r>
    </w:p>
    <w:p w14:paraId="0B0A4ABE" w14:textId="65BFD6C6" w:rsidR="00312F64" w:rsidRDefault="00833FE9" w:rsidP="00487BB5">
      <w:r>
        <w:t>Our model follows the general framework described in Betran et al.</w:t>
      </w:r>
      <w:r>
        <w:fldChar w:fldCharType="begin"/>
      </w:r>
      <w:r w:rsidR="000C5294">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0C5294" w:rsidRPr="000C5294">
        <w:rPr>
          <w:rFonts w:ascii="Calibri" w:hAnsi="Calibri" w:cs="Calibri"/>
          <w:kern w:val="0"/>
          <w:vertAlign w:val="superscript"/>
        </w:rPr>
        <w:t>7</w:t>
      </w:r>
      <w:r>
        <w:fldChar w:fldCharType="end"/>
      </w:r>
      <w:r>
        <w:t xml:space="preserve"> </w:t>
      </w:r>
      <w:r w:rsidR="00710683">
        <w:t xml:space="preserve">We </w:t>
      </w:r>
      <w:r w:rsidR="00682EFF">
        <w:t>let</w:t>
      </w:r>
      <w:r w:rsidR="00710683">
        <w:t xml:space="preserve"> </w:t>
      </w:r>
      <m:oMath>
        <m:r>
          <w:rPr>
            <w:rFonts w:ascii="Cambria Math" w:hAnsi="Cambria Math"/>
          </w:rPr>
          <m:t>N</m:t>
        </m:r>
      </m:oMath>
      <w:r w:rsidR="00710683">
        <w:t xml:space="preserve"> </w:t>
      </w:r>
      <w:r w:rsidR="005D0DDE">
        <w:rPr>
          <w:rFonts w:hint="eastAsia"/>
        </w:rPr>
        <w:t>be a geometric random variable</w:t>
      </w:r>
      <w:r w:rsidR="00693EB6">
        <w:t>, or</w:t>
      </w:r>
      <w:r w:rsidR="00835987">
        <w:t xml:space="preserve"> (extending Betran et al.)</w:t>
      </w:r>
      <w:r w:rsidR="00693EB6">
        <w:t xml:space="preserve"> a sum of two </w:t>
      </w:r>
      <w:r w:rsidR="00F45A7E">
        <w:t xml:space="preserve">identically distributed </w:t>
      </w:r>
      <w:r w:rsidR="00693EB6">
        <w:t>geometric random variables,</w:t>
      </w:r>
      <w:r w:rsidR="005D0DDE">
        <w:rPr>
          <w:rFonts w:hint="eastAsia"/>
        </w:rPr>
        <w:t xml:space="preserve"> representing the</w:t>
      </w:r>
      <w:r w:rsidR="00682EFF">
        <w:t xml:space="preserve"> length of </w:t>
      </w:r>
      <w:r w:rsidR="00321980">
        <w:t>a single</w:t>
      </w:r>
      <w:r w:rsidR="00682EFF">
        <w:t xml:space="preserve"> gene conversion tract</w:t>
      </w:r>
      <w:r w:rsidR="00693EB6">
        <w:t xml:space="preserve">. </w:t>
      </w:r>
      <w:r w:rsidR="00682EFF">
        <w:t xml:space="preserve">We </w:t>
      </w:r>
      <w:r w:rsidR="00E741C9">
        <w:rPr>
          <w:rFonts w:hint="eastAsia"/>
        </w:rPr>
        <w:t>parameterize</w:t>
      </w:r>
      <w:r w:rsidR="00835987">
        <w:t xml:space="preserve"> the distribution of</w:t>
      </w:r>
      <w:r w:rsidR="00321980">
        <w:t xml:space="preserve"> </w:t>
      </w:r>
      <m:oMath>
        <m:r>
          <w:rPr>
            <w:rFonts w:ascii="Cambria Math" w:hAnsi="Cambria Math"/>
          </w:rPr>
          <m:t>N</m:t>
        </m:r>
      </m:oMath>
      <w:r w:rsidR="00321980">
        <w:t xml:space="preserve"> </w:t>
      </w:r>
      <w:r>
        <w:t>by</w:t>
      </w:r>
      <w:r w:rsidR="00E741C9">
        <w:rPr>
          <w:rFonts w:hint="eastAsia"/>
        </w:rPr>
        <w:t xml:space="preserve"> its</w:t>
      </w:r>
      <w:r w:rsidR="00F83F28">
        <w:t xml:space="preserve"> mean </w:t>
      </w:r>
      <m:oMath>
        <m:r>
          <w:rPr>
            <w:rFonts w:ascii="Cambria Math" w:hAnsi="Cambria Math"/>
          </w:rPr>
          <m:t>ϕ</m:t>
        </m:r>
      </m:oMath>
      <w:r w:rsidR="00D45C65">
        <w:t>.</w:t>
      </w:r>
      <w:r w:rsidR="00682EFF">
        <w:t xml:space="preserve">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w:t>
      </w:r>
      <w:r w:rsidR="00D86817">
        <w:lastRenderedPageBreak/>
        <w:t>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D86817">
        <w:t>a</w:t>
      </w:r>
      <w:r w:rsidR="0023636A">
        <w:t xml:space="preserve"> 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0DD4DD86" w:rsidR="00122615" w:rsidRDefault="00122615" w:rsidP="00122615">
      <w:pPr>
        <w:pStyle w:val="Heading2"/>
      </w:pPr>
      <w:r>
        <w:t>Deriving</w:t>
      </w:r>
      <w:r w:rsidR="003A52E8">
        <w:t xml:space="preserve"> the distribution of</w:t>
      </w:r>
      <w:r>
        <w:rPr>
          <w:rFonts w:hint="eastAsia"/>
        </w:rPr>
        <w:t xml:space="preserve"> </w:t>
      </w:r>
      <m:oMath>
        <m:r>
          <m:rPr>
            <m:sty m:val="bi"/>
          </m:rPr>
          <w:rPr>
            <w:rFonts w:ascii="Cambria Math" w:hAnsi="Cambria Math"/>
          </w:rPr>
          <m:t>L|N</m:t>
        </m:r>
      </m:oMath>
    </w:p>
    <w:p w14:paraId="194797C5" w14:textId="59CC4B52" w:rsidR="006857B8" w:rsidRDefault="00C00481" w:rsidP="006857B8">
      <w:r>
        <w:t xml:space="preserve">The observed </w:t>
      </w:r>
      <w:r w:rsidR="00AB612D">
        <w:t>tract 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122615">
        <w:t xml:space="preserve">the </w:t>
      </w:r>
      <w:r w:rsidR="003A52E8">
        <w:t>gene conversion tract</w:t>
      </w:r>
      <w:r w:rsidR="00156895">
        <w:t xml:space="preserve"> (we estimate this probability in the section,</w:t>
      </w:r>
      <w:r w:rsidR="00156895" w:rsidRPr="00156895">
        <w:t xml:space="preserve"> </w:t>
      </w:r>
      <w:r w:rsidR="00156895">
        <w:t xml:space="preserve">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156895" w:rsidRPr="00156895">
        <w:t xml:space="preserve"> for each observed tract </w:t>
      </w:r>
      <m:oMath>
        <m:r>
          <w:rPr>
            <w:rFonts w:ascii="Cambria Math" w:hAnsi="Cambria Math"/>
          </w:rPr>
          <m:t>j</m:t>
        </m:r>
      </m:oMath>
      <w:r w:rsidR="00156895">
        <w:t>)</w:t>
      </w:r>
      <w:r w:rsidR="003A52E8">
        <w:t xml:space="preserve">. Under this assumption, the following </w:t>
      </w:r>
      <w:r w:rsidR="00461476">
        <w:t xml:space="preserve">conditional </w:t>
      </w:r>
      <w:r w:rsidR="003A52E8">
        <w:t>distribution is derived in Betran et al.</w:t>
      </w:r>
      <w:r w:rsidR="003A52E8">
        <w:fldChar w:fldCharType="begin"/>
      </w:r>
      <w:r w:rsidR="000C5294">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0C5294" w:rsidRPr="000C5294">
        <w:rPr>
          <w:rFonts w:ascii="Calibri" w:hAnsi="Calibri" w:cs="Calibri"/>
          <w:kern w:val="0"/>
          <w:vertAlign w:val="superscript"/>
        </w:rPr>
        <w:t>7</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771E0ECF"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35987">
        <w:t xml:space="preserve">with value </w:t>
      </w:r>
      <m:oMath>
        <m:r>
          <w:rPr>
            <w:rFonts w:ascii="Cambria Math" w:hAnsi="Cambria Math"/>
          </w:rPr>
          <m:t>n</m:t>
        </m:r>
      </m:oMath>
      <w:r w:rsidR="006525B0">
        <w:rPr>
          <w:rFonts w:hint="eastAsia"/>
        </w:rPr>
        <w:t>.</w:t>
      </w:r>
      <w:r w:rsidR="00F8499F">
        <w:t xml:space="preserve"> </w:t>
      </w:r>
      <w:r w:rsidR="006525B0">
        <w:rPr>
          <w:rFonts w:hint="eastAsia"/>
        </w:rPr>
        <w:t>Obtaining an</w:t>
      </w:r>
      <w:r w:rsidR="00BA6BE9">
        <w:t xml:space="preserve"> observed tract length of zero</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obtaining an observed tract length of one 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w:t>
      </w:r>
      <w:r w:rsidR="00580778">
        <w:rPr>
          <w:rFonts w:hint="eastAsia"/>
        </w:rPr>
        <w:lastRenderedPageBreak/>
        <w:t>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7EB97D5B" w:rsidR="003A52E8" w:rsidRDefault="003A52E8" w:rsidP="003A52E8">
      <w:pPr>
        <w:pStyle w:val="Heading2"/>
      </w:pPr>
      <w:r>
        <w:t>Deriving</w:t>
      </w:r>
      <w:r>
        <w:rPr>
          <w:rFonts w:hint="eastAsia"/>
        </w:rPr>
        <w:t xml:space="preserve"> </w:t>
      </w:r>
      <w:r>
        <w:t xml:space="preserve">the marginal distribution of </w:t>
      </w:r>
      <m:oMath>
        <m:r>
          <m:rPr>
            <m:sty m:val="bi"/>
          </m:rPr>
          <w:rPr>
            <w:rFonts w:ascii="Cambria Math" w:hAnsi="Cambria Math"/>
          </w:rPr>
          <m:t>L</m:t>
        </m:r>
      </m:oMath>
    </w:p>
    <w:p w14:paraId="22E9346B" w14:textId="1E0DB383" w:rsidR="003A52E8" w:rsidRDefault="00693EB6" w:rsidP="003A52E8">
      <w:pPr>
        <w:rPr>
          <w:rFonts w:asciiTheme="majorHAnsi" w:eastAsiaTheme="majorEastAsia" w:hAnsiTheme="majorHAnsi" w:cstheme="majorBidi"/>
        </w:rPr>
      </w:pPr>
      <w:r>
        <w:t xml:space="preserve">If </w:t>
      </w:r>
      <m:oMath>
        <m:r>
          <w:rPr>
            <w:rFonts w:ascii="Cambria Math" w:hAnsi="Cambria Math"/>
          </w:rPr>
          <m:t>N</m:t>
        </m:r>
      </m:oMath>
      <w:r>
        <w:t xml:space="preserve"> is geometric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2B1E4CEC" w:rsidR="00BD5204" w:rsidRDefault="00312F64" w:rsidP="00BD5204">
      <w:pPr>
        <w:jc w:val="left"/>
      </w:pPr>
      <w:r>
        <w:t xml:space="preserve">We have derived </w:t>
      </w:r>
      <w:r w:rsidR="00C2439D">
        <w:t>the</w:t>
      </w:r>
      <w:r>
        <w:t xml:space="preserve"> marginal distribution </w:t>
      </w:r>
      <w:r w:rsidR="00C2439D">
        <w:t>of</w:t>
      </w:r>
      <w:r>
        <w:t xml:space="preserve"> </w:t>
      </w:r>
      <m:oMath>
        <m:r>
          <w:rPr>
            <w:rFonts w:ascii="Cambria Math" w:hAnsi="Cambria Math"/>
          </w:rPr>
          <m:t>L</m:t>
        </m:r>
      </m:oMath>
      <w:r>
        <w:t xml:space="preserve">. However, </w:t>
      </w:r>
      <w:r w:rsidR="0010150F">
        <w:rPr>
          <w:rFonts w:hint="eastAsia"/>
        </w:rPr>
        <w:t>we do not observe tracts with length zero in our dataset</w:t>
      </w:r>
      <w:r>
        <w:t>.</w:t>
      </w:r>
      <w:r w:rsidR="004B75E5">
        <w:t xml:space="preserve"> Furthermore, recall that we only retain observed tract lengths between 2 and 1500 bp</w:t>
      </w:r>
      <w:r w:rsidR="00BD5204">
        <w:rPr>
          <w:rFonts w:hint="eastAsia"/>
        </w:rPr>
        <w:t xml:space="preserve"> </w:t>
      </w:r>
      <w:r w:rsidR="00F45A7E">
        <w:t>during estimation</w:t>
      </w:r>
      <w:r w:rsidR="00DB64F9">
        <w:t xml:space="preserve"> (as mentioned at the end of the </w:t>
      </w:r>
      <w:r w:rsidR="00726940">
        <w:t xml:space="preserve">section, </w:t>
      </w:r>
      <w:r w:rsidR="00DB64F9" w:rsidRPr="00DB64F9">
        <w:t>Detecting gene conversion tracts</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 xml:space="preserve">1500.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lastRenderedPageBreak/>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1395157B"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 xml:space="preserve">When fitting the model, we use the filtered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CB62E5">
        <w:rPr>
          <w:rFonts w:hint="eastAsia"/>
        </w:rPr>
        <w:t xml:space="preserve">for 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3A08010" w14:textId="77777777" w:rsidR="00B63E0F" w:rsidRDefault="00B63E0F" w:rsidP="00B63E0F">
      <w:pPr>
        <w:jc w:val="left"/>
      </w:pPr>
      <w:r>
        <w:t xml:space="preserve">Following similar steps to the above but truncating </w:t>
      </w:r>
      <m:oMath>
        <m:r>
          <w:rPr>
            <w:rFonts w:ascii="Cambria Math" w:hAnsi="Cambria Math"/>
          </w:rPr>
          <m:t>L</m:t>
        </m:r>
      </m:oMath>
      <w:r>
        <w:t xml:space="preserve"> between 1 and 1500, we get,</w:t>
      </w:r>
    </w:p>
    <w:p w14:paraId="7F5DC3EB" w14:textId="77777777" w:rsidR="00B63E0F" w:rsidRPr="00073BD7" w:rsidRDefault="00B63E0F" w:rsidP="00B63E0F">
      <m:oMathPara>
        <m:oMath>
          <m:r>
            <w:rPr>
              <w:rFonts w:ascii="Cambria Math" w:hAnsi="Cambria Math"/>
            </w:rPr>
            <m:t>P</m:t>
          </m:r>
          <m:d>
            <m:dPr>
              <m:endChr m:val="|"/>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1≤L≤1500,λ,ψ)=</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i/>
                          <w:kern w:val="0"/>
                          <w14:ligatures w14:val="none"/>
                        </w:rPr>
                      </m:ctrlPr>
                    </m:fPr>
                    <m:num>
                      <m:r>
                        <w:rPr>
                          <w:rFonts w:ascii="Cambria Math" w:hAnsi="Cambria Math"/>
                        </w:rPr>
                        <m:t>λ</m:t>
                      </m:r>
                      <m:r>
                        <w:rPr>
                          <w:rFonts w:ascii="Cambria Math" w:hAnsi="Cambria Math"/>
                          <w:kern w:val="0"/>
                          <w14:ligatures w14:val="none"/>
                        </w:rPr>
                        <m:t>ψ</m:t>
                      </m:r>
                    </m:num>
                    <m:den>
                      <m:r>
                        <w:rPr>
                          <w:rFonts w:ascii="Cambria Math" w:hAnsi="Cambria Math"/>
                        </w:rPr>
                        <m:t>λ</m:t>
                      </m:r>
                      <m:r>
                        <w:rPr>
                          <w:rFonts w:ascii="Cambria Math" w:hAnsi="Cambria Math"/>
                          <w:kern w:val="0"/>
                          <w14:ligatures w14:val="none"/>
                        </w:rPr>
                        <m:t>ψ+</m:t>
                      </m:r>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r>
                        <w:rPr>
                          <w:rFonts w:ascii="Cambria Math" w:hAnsi="Cambria Math"/>
                        </w:rPr>
                        <m:t>λ</m:t>
                      </m:r>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cs="Times New Roman"/>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r>
                            <m:rPr>
                              <m:scr m:val="script"/>
                            </m:rPr>
                            <w:rPr>
                              <w:rFonts w:ascii="Cambria Math" w:hAnsi="Cambria Math"/>
                              <w:kern w:val="0"/>
                              <w14:ligatures w14:val="none"/>
                            </w:rPr>
                            <m:t>l-</m:t>
                          </m:r>
                          <m:r>
                            <w:rPr>
                              <w:rFonts w:ascii="Cambria Math" w:hAnsi="Cambria Math"/>
                              <w:kern w:val="0"/>
                              <w14:ligatures w14:val="none"/>
                            </w:rPr>
                            <m:t>1</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r>
                        <w:rPr>
                          <w:rFonts w:ascii="Cambria Math" w:hAnsi="Cambria Math"/>
                        </w:rPr>
                        <m:t>λ</m:t>
                      </m:r>
                      <m:r>
                        <w:rPr>
                          <w:rFonts w:ascii="Cambria Math" w:hAnsi="Cambria Math"/>
                          <w:kern w:val="0"/>
                          <w14:ligatures w14:val="none"/>
                        </w:rPr>
                        <m:t>ψ+</m:t>
                      </m:r>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r>
                        <w:rPr>
                          <w:rFonts w:ascii="Cambria Math" w:hAnsi="Cambria Math"/>
                        </w:rPr>
                        <m:t>λ</m:t>
                      </m:r>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cs="Times New Roman"/>
                    </w:rPr>
                    <m:t>l</m:t>
                  </m:r>
                  <m:r>
                    <w:rPr>
                      <w:rFonts w:ascii="Cambria Math" w:hAnsi="Cambria Math"/>
                      <w:kern w:val="0"/>
                      <w14:ligatures w14:val="none"/>
                    </w:rPr>
                    <m:t>≥2</m:t>
                  </m:r>
                  <m:r>
                    <m:rPr>
                      <m:nor/>
                    </m:rPr>
                    <w:rPr>
                      <w:rFonts w:ascii="Cambria Math" w:hAnsi="Cambria Math"/>
                      <w:kern w:val="0"/>
                      <w14:ligatures w14:val="none"/>
                    </w:rPr>
                    <m:t xml:space="preserve"> </m:t>
                  </m:r>
                </m:e>
              </m:eqArr>
              <m:r>
                <w:rPr>
                  <w:rFonts w:ascii="Cambria Math" w:hAnsi="Cambria Math" w:cs="Times New Roman"/>
                </w:rPr>
                <m:t>.</m:t>
              </m:r>
            </m:e>
          </m:d>
        </m:oMath>
      </m:oMathPara>
    </w:p>
    <w:p w14:paraId="4B3213F8" w14:textId="7E4FB836" w:rsidR="00B63E0F" w:rsidRDefault="00B63E0F" w:rsidP="00B63E0F">
      <w:pPr>
        <w:jc w:val="left"/>
      </w:pPr>
      <w:r>
        <w:t xml:space="preserve">Conditioning on </w:t>
      </w:r>
      <m:oMath>
        <m:r>
          <w:rPr>
            <w:rFonts w:ascii="Cambria Math" w:hAnsi="Cambria Math"/>
          </w:rPr>
          <m:t>1≤L≤1500</m:t>
        </m:r>
      </m:oMath>
      <w:r>
        <w:t xml:space="preserve"> does not have the same effect of removing the variable </w:t>
      </w:r>
      <m:oMath>
        <m:r>
          <w:rPr>
            <w:rFonts w:ascii="Cambria Math" w:hAnsi="Cambria Math"/>
            <w:kern w:val="0"/>
            <w14:ligatures w14:val="none"/>
          </w:rPr>
          <m:t>ψ</m:t>
        </m:r>
      </m:oMath>
      <w:r>
        <w:rPr>
          <w:kern w:val="0"/>
          <w14:ligatures w14:val="none"/>
        </w:rPr>
        <w:t xml:space="preserve"> from the model. </w:t>
      </w:r>
      <w:r w:rsidR="00F00D76">
        <w:rPr>
          <w:kern w:val="0"/>
          <w14:ligatures w14:val="none"/>
        </w:rPr>
        <w:t xml:space="preserve">This means that </w:t>
      </w:r>
      <w:r w:rsidR="008A0538">
        <w:rPr>
          <w:kern w:val="0"/>
          <w14:ligatures w14:val="none"/>
        </w:rPr>
        <w:t xml:space="preserve">when </w:t>
      </w:r>
      <m:oMath>
        <m:r>
          <w:rPr>
            <w:rFonts w:ascii="Cambria Math" w:hAnsi="Cambria Math"/>
          </w:rPr>
          <m:t>N</m:t>
        </m:r>
      </m:oMath>
      <w:r w:rsidR="008A0538">
        <w:t xml:space="preserve"> is geometric, </w:t>
      </w:r>
      <w:r w:rsidR="00F00D76">
        <w:rPr>
          <w:kern w:val="0"/>
          <w14:ligatures w14:val="none"/>
        </w:rPr>
        <w:t xml:space="preserve">the relative densities of </w:t>
      </w:r>
      <m:oMath>
        <m:r>
          <w:rPr>
            <w:rFonts w:ascii="Cambria Math" w:hAnsi="Cambria Math"/>
            <w:kern w:val="0"/>
            <w14:ligatures w14:val="none"/>
          </w:rPr>
          <m:t>L</m:t>
        </m:r>
      </m:oMath>
      <w:r w:rsidR="00F00D76">
        <w:rPr>
          <w:kern w:val="0"/>
          <w14:ligatures w14:val="none"/>
        </w:rPr>
        <w:t xml:space="preserve"> between 2 and 1500 </w:t>
      </w:r>
      <w:r w:rsidR="008A0538">
        <w:rPr>
          <w:kern w:val="0"/>
          <w14:ligatures w14:val="none"/>
        </w:rPr>
        <w:t>are independent of</w:t>
      </w:r>
      <w:r w:rsidR="00F00D76">
        <w:rPr>
          <w:kern w:val="0"/>
          <w14:ligatures w14:val="none"/>
        </w:rPr>
        <w:t xml:space="preserve"> </w:t>
      </w:r>
      <m:oMath>
        <m:r>
          <w:rPr>
            <w:rFonts w:ascii="Cambria Math" w:hAnsi="Cambria Math"/>
            <w:kern w:val="0"/>
            <w14:ligatures w14:val="none"/>
          </w:rPr>
          <m:t>ψ</m:t>
        </m:r>
      </m:oMath>
      <w:r w:rsidR="00F00D76">
        <w:rPr>
          <w:kern w:val="0"/>
          <w14:ligatures w14:val="none"/>
        </w:rPr>
        <w:t>, but</w:t>
      </w:r>
      <w:r w:rsidR="008A0538">
        <w:rPr>
          <w:kern w:val="0"/>
          <w14:ligatures w14:val="none"/>
        </w:rPr>
        <w:t xml:space="preserve"> the density of </w:t>
      </w:r>
      <m:oMath>
        <m:r>
          <w:rPr>
            <w:rFonts w:ascii="Cambria Math" w:hAnsi="Cambria Math"/>
            <w:kern w:val="0"/>
            <w14:ligatures w14:val="none"/>
          </w:rPr>
          <m:t>L</m:t>
        </m:r>
      </m:oMath>
      <w:r w:rsidR="008A0538">
        <w:rPr>
          <w:kern w:val="0"/>
          <w14:ligatures w14:val="none"/>
        </w:rPr>
        <w:t xml:space="preserve"> at 1</w:t>
      </w:r>
      <w:r w:rsidR="00F00D76">
        <w:rPr>
          <w:kern w:val="0"/>
          <w14:ligatures w14:val="none"/>
        </w:rPr>
        <w:t xml:space="preserve"> relative to </w:t>
      </w:r>
      <m:oMath>
        <m:r>
          <w:rPr>
            <w:rFonts w:ascii="Cambria Math" w:hAnsi="Cambria Math"/>
            <w:kern w:val="0"/>
            <w14:ligatures w14:val="none"/>
          </w:rPr>
          <m:t>P(2≤L≤1500)</m:t>
        </m:r>
      </m:oMath>
      <w:r w:rsidR="00F00D76">
        <w:rPr>
          <w:kern w:val="0"/>
          <w14:ligatures w14:val="none"/>
        </w:rPr>
        <w:t xml:space="preserve"> still depends on </w:t>
      </w:r>
      <m:oMath>
        <m:r>
          <w:rPr>
            <w:rFonts w:ascii="Cambria Math" w:hAnsi="Cambria Math"/>
            <w:kern w:val="0"/>
            <w14:ligatures w14:val="none"/>
          </w:rPr>
          <m:t>ψ</m:t>
        </m:r>
      </m:oMath>
      <w:r w:rsidR="00F00D76">
        <w:rPr>
          <w:kern w:val="0"/>
          <w14:ligatures w14:val="none"/>
        </w:rPr>
        <w:t xml:space="preserve">. </w:t>
      </w:r>
      <w:r>
        <w:rPr>
          <w:kern w:val="0"/>
          <w14:ligatures w14:val="none"/>
        </w:rPr>
        <w:t xml:space="preserve">We again </w:t>
      </w:r>
      <w:r>
        <w:t xml:space="preserve">index our random variable </w:t>
      </w:r>
      <m:oMath>
        <m:r>
          <w:rPr>
            <w:rFonts w:ascii="Cambria Math" w:hAnsi="Cambria Math"/>
          </w:rPr>
          <m:t>L</m:t>
        </m:r>
      </m:oMath>
      <w:r>
        <w:t xml:space="preserve"> with </w:t>
      </w:r>
      <m:oMath>
        <m:r>
          <w:rPr>
            <w:rFonts w:ascii="Cambria Math" w:hAnsi="Cambria Math"/>
          </w:rPr>
          <m:t>j</m:t>
        </m:r>
      </m:oMath>
      <w:r>
        <w:t xml:space="preserve">, but this time, we also define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as the probability of allele conversion at positions within tract </w:t>
      </w:r>
      <m:oMath>
        <m:r>
          <w:rPr>
            <w:rFonts w:ascii="Cambria Math" w:hAnsi="Cambria Math"/>
            <w:kern w:val="0"/>
            <w14:ligatures w14:val="none"/>
          </w:rPr>
          <m:t>j</m:t>
        </m:r>
      </m:oMath>
      <w:r>
        <w:rPr>
          <w:kern w:val="0"/>
          <w14:ligatures w14:val="none"/>
        </w:rPr>
        <w:t xml:space="preserve">. Then, </w:t>
      </w:r>
    </w:p>
    <w:p w14:paraId="1EC10578" w14:textId="77777777" w:rsidR="000F3885" w:rsidRPr="00073BD7" w:rsidRDefault="000F3885" w:rsidP="000F3885">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i/>
                          <w:kern w:val="0"/>
                          <w14:ligatures w14:val="none"/>
                        </w:rPr>
                      </m:ctrlPr>
                    </m:fPr>
                    <m:num>
                      <m:r>
                        <w:rPr>
                          <w:rFonts w:ascii="Cambria Math" w:hAnsi="Cambria Math"/>
                        </w:rPr>
                        <m:t>λ</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num>
                    <m:den>
                      <m:r>
                        <w:rPr>
                          <w:rFonts w:ascii="Cambria Math" w:hAnsi="Cambria Math"/>
                        </w:rPr>
                        <m:t>λ</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r>
                        <w:rPr>
                          <w:rFonts w:ascii="Cambria Math" w:hAnsi="Cambria Math"/>
                        </w:rPr>
                        <m:t>λ</m:t>
                      </m:r>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sSub>
                    <m:sSubPr>
                      <m:ctrlPr>
                        <w:rPr>
                          <w:rFonts w:ascii="Cambria Math" w:hAnsi="Cambria Math" w:cs="Times New Roman"/>
                          <w:i/>
                        </w:rPr>
                      </m:ctrlPr>
                    </m:sSubPr>
                    <m:e>
                      <m:r>
                        <m:rPr>
                          <m:scr m:val="script"/>
                        </m:rPr>
                        <w:rPr>
                          <w:rFonts w:ascii="Cambria Math" w:hAnsi="Cambria Math" w:cs="Times New Roman"/>
                        </w:rPr>
                        <m:t>l</m:t>
                      </m:r>
                      <m:ctrlPr>
                        <w:rPr>
                          <w:rFonts w:ascii="Cambria Math" w:hAnsi="Cambria Math"/>
                          <w:i/>
                          <w:kern w:val="0"/>
                          <w14:ligatures w14:val="none"/>
                        </w:rPr>
                      </m:ctrlPr>
                    </m:e>
                    <m:sub>
                      <m:r>
                        <w:rPr>
                          <w:rFonts w:ascii="Cambria Math" w:hAnsi="Cambria Math" w:cs="Times New Roman"/>
                        </w:rPr>
                        <m:t>j</m:t>
                      </m:r>
                    </m:sub>
                  </m:sSub>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sSub>
                            <m:sSubPr>
                              <m:ctrlPr>
                                <w:rPr>
                                  <w:rFonts w:ascii="Cambria Math" w:hAnsi="Cambria Math"/>
                                  <w:i/>
                                  <w:kern w:val="0"/>
                                  <w14:ligatures w14:val="none"/>
                                </w:rPr>
                              </m:ctrlPr>
                            </m:sSubPr>
                            <m:e>
                              <m:r>
                                <m:rPr>
                                  <m:scr m:val="script"/>
                                </m:rPr>
                                <w:rPr>
                                  <w:rFonts w:ascii="Cambria Math" w:hAnsi="Cambria Math"/>
                                  <w:kern w:val="0"/>
                                  <w14:ligatures w14:val="none"/>
                                </w:rPr>
                                <m:t>l</m:t>
                              </m:r>
                            </m:e>
                            <m:sub>
                              <m:r>
                                <w:rPr>
                                  <w:rFonts w:ascii="Cambria Math" w:hAnsi="Cambria Math"/>
                                  <w:kern w:val="0"/>
                                  <w14:ligatures w14:val="none"/>
                                </w:rPr>
                                <m:t>j</m:t>
                              </m:r>
                            </m:sub>
                          </m:sSub>
                          <m:r>
                            <w:rPr>
                              <w:rFonts w:ascii="Cambria Math" w:hAnsi="Cambria Math"/>
                              <w:kern w:val="0"/>
                              <w14:ligatures w14:val="none"/>
                            </w:rPr>
                            <m:t>-1</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r>
                        <w:rPr>
                          <w:rFonts w:ascii="Cambria Math" w:hAnsi="Cambria Math"/>
                        </w:rPr>
                        <m:t>λ</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r>
                        <w:rPr>
                          <w:rFonts w:ascii="Cambria Math" w:hAnsi="Cambria Math"/>
                        </w:rPr>
                        <m:t>λ</m:t>
                      </m:r>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sSub>
                    <m:sSubPr>
                      <m:ctrlPr>
                        <w:rPr>
                          <w:rFonts w:ascii="Cambria Math" w:hAnsi="Cambria Math" w:cs="Times New Roman"/>
                          <w:i/>
                        </w:rPr>
                      </m:ctrlPr>
                    </m:sSubPr>
                    <m:e>
                      <m:r>
                        <m:rPr>
                          <m:scr m:val="script"/>
                        </m:rPr>
                        <w:rPr>
                          <w:rFonts w:ascii="Cambria Math" w:hAnsi="Cambria Math" w:cs="Times New Roman"/>
                        </w:rPr>
                        <m:t>l</m:t>
                      </m:r>
                      <m:ctrlPr>
                        <w:rPr>
                          <w:rFonts w:ascii="Cambria Math" w:hAnsi="Cambria Math"/>
                          <w:i/>
                          <w:kern w:val="0"/>
                          <w14:ligatures w14:val="none"/>
                        </w:rPr>
                      </m:ctrlPr>
                    </m:e>
                    <m:sub>
                      <m:r>
                        <w:rPr>
                          <w:rFonts w:ascii="Cambria Math" w:hAnsi="Cambria Math" w:cs="Times New Roman"/>
                        </w:rPr>
                        <m:t>j</m:t>
                      </m:r>
                    </m:sub>
                  </m:sSub>
                  <m:r>
                    <w:rPr>
                      <w:rFonts w:ascii="Cambria Math" w:hAnsi="Cambria Math"/>
                      <w:kern w:val="0"/>
                      <w14:ligatures w14:val="none"/>
                    </w:rPr>
                    <m:t>≥2</m:t>
                  </m:r>
                  <m:r>
                    <m:rPr>
                      <m:nor/>
                    </m:rPr>
                    <w:rPr>
                      <w:rFonts w:ascii="Cambria Math" w:hAnsi="Cambria Math"/>
                      <w:kern w:val="0"/>
                      <w14:ligatures w14:val="none"/>
                    </w:rPr>
                    <m:t xml:space="preserve"> </m:t>
                  </m:r>
                </m:e>
              </m:eqArr>
              <m:r>
                <w:rPr>
                  <w:rFonts w:ascii="Cambria Math" w:hAnsi="Cambria Math" w:cs="Times New Roman"/>
                </w:rPr>
                <m:t>.</m:t>
              </m:r>
            </m:e>
          </m:d>
        </m:oMath>
      </m:oMathPara>
    </w:p>
    <w:p w14:paraId="6F8ACB36" w14:textId="4A299721" w:rsidR="000F3885" w:rsidRDefault="00B63E0F" w:rsidP="0048537D">
      <w:pPr>
        <w:jc w:val="left"/>
      </w:pPr>
      <w:r>
        <w:t xml:space="preserve">When </w:t>
      </w:r>
      <w:r w:rsidR="00BA6E2D">
        <w:t xml:space="preserve">estimating </w:t>
      </w:r>
      <m:oMath>
        <m:r>
          <w:rPr>
            <w:rFonts w:ascii="Cambria Math" w:hAnsi="Cambria Math"/>
          </w:rPr>
          <m:t>ϕ</m:t>
        </m:r>
      </m:oMath>
      <w:r w:rsidR="00BA6E2D">
        <w:t xml:space="preserve">, the mean gene conversion tract length, </w:t>
      </w:r>
      <w:r>
        <w:t xml:space="preserve">we </w:t>
      </w:r>
      <w:r w:rsidR="00000124">
        <w:t xml:space="preserve">remove all observed tract lengths that are 1 bp long </w:t>
      </w:r>
      <w:r w:rsidR="006708E2">
        <w:t>and</w:t>
      </w:r>
      <w:r w:rsidR="00000124">
        <w:t xml:space="preserve"> </w:t>
      </w:r>
      <w:r w:rsidR="004039D5">
        <w:t>use the distribution of</w:t>
      </w:r>
      <w:r w:rsidR="00A459CE">
        <w:t xml:space="preserve"> </w:t>
      </w:r>
      <m:oMath>
        <m:r>
          <w:rPr>
            <w:rFonts w:ascii="Cambria Math" w:hAnsi="Cambria Math"/>
            <w:kern w:val="0"/>
            <w14:ligatures w14:val="none"/>
          </w:rPr>
          <m:t>L</m:t>
        </m:r>
      </m:oMath>
      <w:r w:rsidR="00A459CE">
        <w:rPr>
          <w:kern w:val="0"/>
          <w14:ligatures w14:val="none"/>
        </w:rPr>
        <w:t xml:space="preserve"> </w:t>
      </w:r>
      <w:r w:rsidR="004039D5">
        <w:rPr>
          <w:kern w:val="0"/>
          <w14:ligatures w14:val="none"/>
        </w:rPr>
        <w:t xml:space="preserve">truncated </w:t>
      </w:r>
      <w:r w:rsidR="00A459CE">
        <w:rPr>
          <w:kern w:val="0"/>
          <w14:ligatures w14:val="none"/>
        </w:rPr>
        <w:t>between 2 and 1500</w:t>
      </w:r>
      <w:r w:rsidR="00000124">
        <w:t xml:space="preserve">. </w:t>
      </w:r>
      <w:r w:rsidR="00A459CE">
        <w:t xml:space="preserve">Thus, </w:t>
      </w:r>
      <w:r w:rsidR="00F31C65">
        <w:t xml:space="preserve">when </w:t>
      </w:r>
      <m:oMath>
        <m:r>
          <w:rPr>
            <w:rFonts w:ascii="Cambria Math" w:hAnsi="Cambria Math"/>
          </w:rPr>
          <m:t>N</m:t>
        </m:r>
      </m:oMath>
      <w:r w:rsidR="00F31C65">
        <w:t xml:space="preserve"> is geometric, we need not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F31C65">
        <w:rPr>
          <w:kern w:val="0"/>
          <w14:ligatures w14:val="none"/>
        </w:rPr>
        <w:t xml:space="preserve"> for any tract </w:t>
      </w:r>
      <m:oMath>
        <m:r>
          <w:rPr>
            <w:rFonts w:ascii="Cambria Math" w:hAnsi="Cambria Math"/>
            <w:kern w:val="0"/>
            <w14:ligatures w14:val="none"/>
          </w:rPr>
          <m:t>j</m:t>
        </m:r>
      </m:oMath>
      <w:r w:rsidR="00A459CE">
        <w:rPr>
          <w:kern w:val="0"/>
          <w14:ligatures w14:val="none"/>
        </w:rPr>
        <w:t xml:space="preserve"> for estimating </w:t>
      </w:r>
      <m:oMath>
        <m:r>
          <w:rPr>
            <w:rFonts w:ascii="Cambria Math" w:hAnsi="Cambria Math"/>
          </w:rPr>
          <m:t>ϕ</m:t>
        </m:r>
      </m:oMath>
      <w:r w:rsidR="00A459CE">
        <w:t xml:space="preserve">. </w:t>
      </w:r>
      <w:r w:rsidR="00680B80">
        <w:t xml:space="preserve">In the Supplementary Materials, we use </w:t>
      </w:r>
      <m:oMath>
        <m:r>
          <w:rPr>
            <w:rFonts w:ascii="Cambria Math" w:hAnsi="Cambria Math"/>
          </w:rPr>
          <w:lastRenderedPageBreak/>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oMath>
      <w:r w:rsidR="00A459CE">
        <w:t xml:space="preserve"> </w:t>
      </w:r>
      <w:r w:rsidR="00680B80">
        <w:t>to</w:t>
      </w:r>
      <w:r w:rsidR="00A459CE">
        <w:t xml:space="preserve"> </w:t>
      </w:r>
      <w:r w:rsidR="00622AB6">
        <w:t xml:space="preserve">obtain </w:t>
      </w:r>
      <w:r w:rsidR="00195850">
        <w:t>the proportion of observed tract lengths that are 1 bp long</w:t>
      </w:r>
      <w:r w:rsidR="00622AB6">
        <w:t xml:space="preserve"> under the model</w:t>
      </w:r>
      <w:r w:rsidR="00680B80">
        <w:t>.</w:t>
      </w:r>
    </w:p>
    <w:p w14:paraId="3A9135DA" w14:textId="5E418B4E" w:rsidR="00473D6D" w:rsidRDefault="00000124" w:rsidP="0048537D">
      <w:pPr>
        <w:jc w:val="left"/>
      </w:pPr>
      <w:r>
        <w:t xml:space="preserve">Finally, we consider the case when </w:t>
      </w:r>
      <m:oMath>
        <m:r>
          <w:rPr>
            <w:rFonts w:ascii="Cambria Math" w:hAnsi="Cambria Math"/>
          </w:rPr>
          <m:t>N</m:t>
        </m:r>
      </m:oMath>
      <w:r>
        <w:t xml:space="preserve"> follows a </w:t>
      </w:r>
      <w:r w:rsidR="00473D6D">
        <w:t>sum of two</w:t>
      </w:r>
      <w:r w:rsidR="00F45A7E">
        <w:t xml:space="preserve"> 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A459CE">
        <w:t xml:space="preserve">When </w:t>
      </w:r>
      <m:oMath>
        <m:r>
          <w:rPr>
            <w:rFonts w:ascii="Cambria Math" w:hAnsi="Cambria Math"/>
          </w:rPr>
          <m:t>N</m:t>
        </m:r>
      </m:oMath>
      <w:r w:rsidR="00A459CE">
        <w:t xml:space="preserve"> is a sum of two identically distributed geometric random variables,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must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 </w:t>
      </w:r>
      <w:r w:rsidR="009A1409">
        <w:t xml:space="preserve"> </w:t>
      </w:r>
    </w:p>
    <w:p w14:paraId="7F312502" w14:textId="2AF8FFEF" w:rsidR="005B5C84" w:rsidRPr="005B5C84" w:rsidRDefault="00354F71" w:rsidP="005B5C84">
      <w:pPr>
        <w:pStyle w:val="Heading2"/>
      </w:pPr>
      <w:r>
        <w:t>Estimating</w:t>
      </w:r>
      <w:r w:rsidR="005B5C84">
        <w:t xml:space="preserve"> </w:t>
      </w:r>
      <m:oMath>
        <m:sSub>
          <m:sSubPr>
            <m:ctrlPr>
              <w:rPr>
                <w:rFonts w:ascii="Cambria Math" w:hAnsi="Cambria Math"/>
                <w:i/>
              </w:rPr>
            </m:ctrlPr>
          </m:sSubPr>
          <m:e>
            <m:r>
              <m:rPr>
                <m:sty m:val="bi"/>
              </m:rPr>
              <w:rPr>
                <w:rFonts w:ascii="Cambria Math" w:hAnsi="Cambria Math"/>
              </w:rPr>
              <m:t>ψ</m:t>
            </m:r>
          </m:e>
          <m:sub>
            <m:r>
              <m:rPr>
                <m:sty m:val="bi"/>
              </m:rPr>
              <w:rPr>
                <w:rFonts w:ascii="Cambria Math" w:hAnsi="Cambria Math"/>
              </w:rPr>
              <m:t>j</m:t>
            </m:r>
          </m:sub>
        </m:sSub>
      </m:oMath>
      <w:r w:rsidR="005B5C84">
        <w:t xml:space="preserve"> for each observed tract </w:t>
      </w:r>
      <m:oMath>
        <m:r>
          <m:rPr>
            <m:sty m:val="bi"/>
          </m:rPr>
          <w:rPr>
            <w:rFonts w:ascii="Cambria Math" w:hAnsi="Cambria Math"/>
          </w:rPr>
          <m:t>j</m:t>
        </m:r>
      </m:oMath>
    </w:p>
    <w:p w14:paraId="597CB6B5" w14:textId="5D3E7DCE" w:rsidR="00935399" w:rsidRDefault="00AF043A" w:rsidP="005B5C84">
      <w:r>
        <w:t xml:space="preserve">Recall that </w:t>
      </w:r>
      <m:oMath>
        <m:r>
          <w:rPr>
            <w:rFonts w:ascii="Cambria Math" w:hAnsi="Cambria Math"/>
          </w:rPr>
          <m:t>ψ</m:t>
        </m:r>
      </m:oMath>
      <w:r>
        <w:t xml:space="preserve"> is the probability that an allele conversion will occur at each marker within </w:t>
      </w:r>
      <w:r w:rsidR="00D841FC">
        <w:t xml:space="preserve">a </w:t>
      </w:r>
      <w:r>
        <w:t xml:space="preserve">gene conversion tract. </w:t>
      </w:r>
      <w:r w:rsidR="00D841FC">
        <w:t>We will allow this probability to differ by tract</w:t>
      </w:r>
      <w:r w:rsidR="00835987">
        <w:t xml:space="preserve"> because marker density varies across the genome</w:t>
      </w:r>
      <w:r w:rsidR="00282C93">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 xml:space="preserve">within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each observed tract</w:t>
      </w:r>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fit the model</w:t>
      </w:r>
      <w:r w:rsidR="00282C93">
        <w:t>.</w:t>
      </w:r>
      <w:r w:rsidR="00D841FC">
        <w:t xml:space="preserve"> </w:t>
      </w:r>
    </w:p>
    <w:p w14:paraId="6FB9712C" w14:textId="3329C4C6" w:rsidR="005B5C84" w:rsidRPr="005B5C84" w:rsidRDefault="00AF043A" w:rsidP="005B5C84">
      <w:r>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 xml:space="preserve">probability that an individual is heterozygous </w:t>
      </w:r>
      <w:r w:rsidR="000B7730">
        <w:rPr>
          <w:rFonts w:hint="eastAsia"/>
        </w:rPr>
        <w:t xml:space="preserve">at </w:t>
      </w:r>
      <w:r>
        <w:t>a given</w:t>
      </w:r>
      <w:r w:rsidR="000B7730">
        <w:rPr>
          <w:rFonts w:hint="eastAsia"/>
        </w:rPr>
        <w:t xml:space="preserve"> SNV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allow allele conversions to occur at SNV marker</w:t>
      </w:r>
      <w:r w:rsidR="00282C93">
        <w:t>s, and with differing rates at each SNV marker</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gene conversion tract </w:t>
      </w:r>
      <m:oMath>
        <m:r>
          <w:rPr>
            <w:rFonts w:ascii="Cambria Math" w:hAnsi="Cambria Math"/>
          </w:rPr>
          <m:t>j</m:t>
        </m:r>
      </m:oMath>
      <w:r w:rsidR="00A07241">
        <w:rPr>
          <w:rFonts w:hint="eastAsia"/>
        </w:rPr>
        <w:t>. We use</w:t>
      </w:r>
      <w:r w:rsidR="00CF312D">
        <w:t xml:space="preserve"> the heterozygosity rate </w:t>
      </w:r>
      <w:r w:rsidR="000F76D1">
        <w:rPr>
          <w:rFonts w:hint="eastAsia"/>
        </w:rPr>
        <w:t>of positions near</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525312F6" w:rsidR="009C2C90" w:rsidRPr="00E84C90" w:rsidRDefault="009C2C90" w:rsidP="005949F7">
      <w:r w:rsidRPr="00E84C90">
        <w:lastRenderedPageBreak/>
        <w:t xml:space="preserve">Denoting </w:t>
      </w:r>
      <w:r w:rsidR="00851F93">
        <w:rPr>
          <w:rFonts w:hint="eastAsia"/>
        </w:rPr>
        <w:t xml:space="preserve">the </w:t>
      </w:r>
      <m:oMath>
        <m:r>
          <w:rPr>
            <w:rFonts w:ascii="Cambria Math" w:hAnsi="Cambria Math"/>
          </w:rPr>
          <m:t>j</m:t>
        </m:r>
      </m:oMath>
      <w:r w:rsidR="00851F93">
        <w:rPr>
          <w:rFonts w:hint="eastAsia"/>
        </w:rPr>
        <w:t>th</w:t>
      </w:r>
      <w:r w:rsidR="00851F93" w:rsidRPr="00E84C90">
        <w:t xml:space="preserve"> </w:t>
      </w:r>
      <w:r w:rsidRPr="00E84C90">
        <w:t xml:space="preserve">observed tract as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Pr="00E84C90">
        <w:t xml:space="preserve">, </w:t>
      </w:r>
      <w:r w:rsidR="000D1F88">
        <w:rPr>
          <w:rFonts w:hint="eastAsia"/>
        </w:rPr>
        <w:t>where</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represent the positions corresponding to the ends of the observed tract, </w:t>
      </w:r>
      <w:r w:rsidR="00851F93">
        <w:rPr>
          <w:rFonts w:hint="eastAsia"/>
        </w:rPr>
        <w:t>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7D3BD9FE" w14:textId="77777777" w:rsidR="002935A5" w:rsidRDefault="0068791B" w:rsidP="005949F7">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minor allele frequency of position </w:t>
      </w:r>
      <m:oMath>
        <m:r>
          <w:rPr>
            <w:rFonts w:ascii="Cambria Math" w:hAnsi="Cambria Math"/>
          </w:rPr>
          <m:t>i</m:t>
        </m:r>
      </m:oMath>
      <w:r>
        <w:t xml:space="preserve"> </w:t>
      </w:r>
      <w:r w:rsidR="0098178A">
        <w:t>on the chromosome in which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282C93">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rsidR="00282C93">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rsidR="00282C93">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xml:space="preserve">, we only average the heterozygosity rate from positions 1 to 5200). </w:t>
      </w:r>
    </w:p>
    <w:p w14:paraId="7DF2988F" w14:textId="1E09E8FC" w:rsidR="00782DAC" w:rsidRDefault="00782DAC" w:rsidP="005949F7">
      <w:r>
        <w:t xml:space="preserve">Furthermore, variants with </w:t>
      </w:r>
      <w:r w:rsidR="00DE78CF">
        <w:t>MAF less than</w:t>
      </w:r>
      <w:r>
        <w:t xml:space="preserve"> </w:t>
      </w:r>
      <w:r w:rsidR="00DE78CF">
        <w:t>5%</w:t>
      </w:r>
      <w:r>
        <w:t xml:space="preserve"> were excluded when detecting allele conversions</w:t>
      </w:r>
      <w:r w:rsidR="00DB5D2E">
        <w:t>, so we cannot observe allele conversions at these positions</w:t>
      </w:r>
      <w:r w:rsidR="0098178A">
        <w:t xml:space="preserve"> (see the section, </w:t>
      </w:r>
      <w:r w:rsidR="0098178A" w:rsidRPr="0098178A">
        <w:t>Detecting gene conversion tracts</w:t>
      </w:r>
      <w:r w:rsidR="0098178A">
        <w:t>)</w:t>
      </w:r>
      <w:r>
        <w:t xml:space="preserve">. </w:t>
      </w:r>
      <w:r w:rsidR="00DE78CF">
        <w:t xml:space="preserve">Therefore, if the MAF is less than 5% at position </w:t>
      </w:r>
      <m:oMath>
        <m:r>
          <w:rPr>
            <w:rFonts w:ascii="Cambria Math" w:hAnsi="Cambria Math"/>
          </w:rPr>
          <m:t>i</m:t>
        </m:r>
      </m:oMath>
      <w:r w:rsidR="00DE78CF">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DE78CF">
        <w:t xml:space="preserve">. </w:t>
      </w:r>
      <w:r w:rsidR="008212B1">
        <w:t xml:space="preserve"> </w:t>
      </w:r>
      <w:r w:rsidR="0068791B">
        <w:t xml:space="preserve"> </w:t>
      </w:r>
    </w:p>
    <w:p w14:paraId="300C30AE" w14:textId="641C13CB" w:rsidR="009C2C90" w:rsidRPr="00C7581A" w:rsidRDefault="005949F7" w:rsidP="005949F7">
      <w:pPr>
        <w:pStyle w:val="Heading2"/>
      </w:pPr>
      <w:r>
        <w:t xml:space="preserve">Maximum likelihood estimation of </w:t>
      </w:r>
      <m:oMath>
        <m:r>
          <m:rPr>
            <m:sty m:val="bi"/>
          </m:rPr>
          <w:rPr>
            <w:rFonts w:ascii="Cambria Math" w:hAnsi="Cambria Math"/>
          </w:rPr>
          <m:t>ϕ</m:t>
        </m:r>
      </m:oMath>
    </w:p>
    <w:p w14:paraId="5EB43E07" w14:textId="4C21F89C"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detected from the UK Biobank whole autosome data, we propose the following maximum likelihood estimator for </w:t>
      </w:r>
      <m:oMath>
        <m:r>
          <w:rPr>
            <w:rFonts w:ascii="Cambria Math" w:hAnsi="Cambria Math"/>
          </w:rPr>
          <m:t>ϕ</m:t>
        </m:r>
      </m:oMath>
      <w:r w:rsidR="00F7436E">
        <w:t xml:space="preserve"> when </w:t>
      </w:r>
      <m:oMath>
        <m:r>
          <w:rPr>
            <w:rFonts w:ascii="Cambria Math" w:hAnsi="Cambria Math"/>
          </w:rPr>
          <m:t>N</m:t>
        </m:r>
      </m:oMath>
      <w:r w:rsidR="00F7436E">
        <w:t xml:space="preserve"> is geometric</w:t>
      </w:r>
      <w:r w:rsidR="005554CA">
        <w:rPr>
          <w:bCs/>
        </w:rPr>
        <w:t xml:space="preserve">. </w:t>
      </w:r>
      <w:r w:rsidR="0009604A">
        <w:rPr>
          <w:bCs/>
        </w:rPr>
        <w:t xml:space="preserve">Recall that our geometric model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We have,</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6CC57A4F"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recall that we parameterized the distribution of </w:t>
      </w:r>
      <m:oMath>
        <m:r>
          <w:rPr>
            <w:rFonts w:ascii="Cambria Math" w:hAnsi="Cambria Math"/>
          </w:rPr>
          <m:t>L</m:t>
        </m:r>
      </m:oMath>
      <w:r w:rsidR="00002369">
        <w:t xml:space="preserve"> using </w:t>
      </w:r>
      <m:oMath>
        <m:r>
          <w:rPr>
            <w:rFonts w:ascii="Cambria Math" w:hAnsi="Cambria Math"/>
          </w:rPr>
          <m:t>γ=2/ϕ</m:t>
        </m:r>
      </m:oMath>
      <w:r w:rsidR="002935A5">
        <w:t xml:space="preserve">. Unlike in the geometric case, our distribution </w:t>
      </w:r>
      <w:r w:rsidR="002935A5">
        <w:lastRenderedPageBreak/>
        <w:t xml:space="preserve">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optim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2F93F20E" w:rsidR="00855071" w:rsidRDefault="00855071" w:rsidP="005949F7">
      <w:r>
        <w:rPr>
          <w:rFonts w:hint="eastAsia"/>
        </w:rPr>
        <w:t>For model selection, we propose calculating the Akaike Information Criterion (AIC) of each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the model is a better fit to the data.</w:t>
      </w:r>
    </w:p>
    <w:p w14:paraId="435FA563" w14:textId="745D634D" w:rsidR="005949F7" w:rsidRDefault="005949F7" w:rsidP="005949F7">
      <w:pPr>
        <w:pStyle w:val="Heading2"/>
      </w:pPr>
      <w:bookmarkStart w:id="0" w:name="_Hlk171272798"/>
      <w:r>
        <w:t>Bootstrap confidence intervals</w:t>
      </w:r>
    </w:p>
    <w:bookmarkEnd w:id="0"/>
    <w:p w14:paraId="3D37E1A6" w14:textId="2154A9C0"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To obtain each bootstrap sample, we sample</w:t>
      </w:r>
      <w:r w:rsidR="00622AB6">
        <w:t xml:space="preserve"> with replacement</w:t>
      </w:r>
      <w:r w:rsidR="00FB7BCE">
        <w:t xml:space="preserve"> </w:t>
      </w:r>
      <m:oMath>
        <m:r>
          <w:rPr>
            <w:rFonts w:ascii="Cambria Math" w:hAnsi="Cambria Math"/>
          </w:rPr>
          <m:t>m</m:t>
        </m:r>
      </m:oMath>
      <w:r w:rsidR="00717C46">
        <w:t xml:space="preserve"> </w:t>
      </w:r>
      <w:r w:rsidR="003A7953">
        <w:t xml:space="preserve">observed tracts from the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tract lengths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rsidR="00717C46">
        <w:t xml:space="preserve"> and probabilities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717C46">
        <w:t xml:space="preserve"> </w:t>
      </w:r>
      <w:r w:rsidR="00F170D0">
        <w:t xml:space="preserve">corresponding to </w:t>
      </w:r>
      <w:r w:rsidR="003A7953">
        <w:t>the resampled tracts.</w:t>
      </w:r>
    </w:p>
    <w:p w14:paraId="7712A8E3" w14:textId="234CC4C7" w:rsidR="00F87DB6" w:rsidRDefault="00F87DB6" w:rsidP="005949F7">
      <w:pPr>
        <w:rPr>
          <w:szCs w:val="22"/>
        </w:rPr>
      </w:pPr>
      <w:r>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1252150F" w:rsidR="00C92F16" w:rsidRPr="00093BBA" w:rsidRDefault="00B345EA" w:rsidP="00093BBA">
      <w:pPr>
        <w:pStyle w:val="Heading2"/>
        <w:rPr>
          <w:szCs w:val="22"/>
        </w:rPr>
      </w:pPr>
      <w:r>
        <w:rPr>
          <w:rFonts w:hint="eastAsia"/>
        </w:rPr>
        <w:t xml:space="preserve">Simulation </w:t>
      </w:r>
      <w:r w:rsidR="0028353D">
        <w:rPr>
          <w:rFonts w:hint="eastAsia"/>
        </w:rPr>
        <w:t>s</w:t>
      </w:r>
      <w:r>
        <w:rPr>
          <w:rFonts w:hint="eastAsia"/>
        </w:rPr>
        <w:t>tudy</w:t>
      </w:r>
      <w:r w:rsidR="00F03225">
        <w:t xml:space="preserve"> using a coalescent model with gene conversion</w:t>
      </w:r>
      <w:r w:rsidR="00810A54">
        <w:t>s</w:t>
      </w:r>
      <w:r w:rsidR="00F03225">
        <w:t xml:space="preserve"> </w:t>
      </w:r>
    </w:p>
    <w:p w14:paraId="46F646CF" w14:textId="605EFE7A"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 xml:space="preserve">. </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r w:rsidR="005030F2">
        <w:t xml:space="preserve">20 </w:t>
      </w:r>
      <w:r w:rsidR="00C84765">
        <w:t>replicate</w:t>
      </w:r>
      <w:r w:rsidR="00DD4A23">
        <w:t>s</w:t>
      </w:r>
      <w:r w:rsidR="005030F2">
        <w:t xml:space="preserve"> of length 10 Mb were simulated</w:t>
      </w:r>
      <w:r w:rsidR="007C0E41">
        <w:rPr>
          <w:rFonts w:hint="eastAsia"/>
        </w:rPr>
        <w:t xml:space="preserve"> for</w:t>
      </w:r>
      <w:r w:rsidR="005030F2">
        <w:t xml:space="preserve"> 125,000 individuals</w:t>
      </w:r>
      <w:r w:rsidR="00DD4A23">
        <w:t>.</w:t>
      </w:r>
      <w:r w:rsidR="00D72E43">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To simulate recombination and mutation, a</w:t>
      </w:r>
      <w:r w:rsidR="00D72E43">
        <w:t xml:space="preserve"> constant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lastRenderedPageBreak/>
        <w:t>with mean tract length of 300 bp.</w:t>
      </w:r>
      <w:r w:rsidR="002B6A40">
        <w:t xml:space="preserve"> </w:t>
      </w:r>
      <w:r w:rsidR="009A2569">
        <w:t>msprime v1.2 was used to perform the simulation</w:t>
      </w:r>
      <w:r w:rsidR="00D72E43">
        <w:t>.</w:t>
      </w:r>
      <w:r w:rsidR="00AF71D5">
        <w:fldChar w:fldCharType="begin"/>
      </w:r>
      <w:r w:rsidR="000C5294">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AF71D5">
        <w:fldChar w:fldCharType="separate"/>
      </w:r>
      <w:r w:rsidR="000C5294" w:rsidRPr="000C5294">
        <w:rPr>
          <w:rFonts w:ascii="Calibri" w:hAnsi="Calibri" w:cs="Calibri"/>
          <w:kern w:val="0"/>
          <w:vertAlign w:val="superscript"/>
        </w:rPr>
        <w:t>15</w:t>
      </w:r>
      <w:r w:rsidR="00AF71D5">
        <w:fldChar w:fldCharType="end"/>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680B80">
        <w:t xml:space="preserve">Variants with MAF smaller than 5% </w:t>
      </w:r>
      <w:r w:rsidR="00E84ECE">
        <w:t xml:space="preserve">were removed </w:t>
      </w:r>
      <w:r w:rsidR="00782DAC">
        <w:t>when detecting allele conversions to prevent</w:t>
      </w:r>
      <w:r w:rsidR="00E84ECE">
        <w:t xml:space="preserve"> </w:t>
      </w:r>
      <w:r w:rsidR="00782DAC">
        <w:t>mutations being detected as allele conversions.</w:t>
      </w:r>
      <w:r w:rsidR="00782DAC">
        <w:fldChar w:fldCharType="begin"/>
      </w:r>
      <w:r w:rsidR="000C5294">
        <w:instrText xml:space="preserve"> ADDIN ZOTERO_ITEM CSL_CITATION {"citationID":"PP6bhOze","properties":{"formattedCitation":"\\super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782DAC">
        <w:fldChar w:fldCharType="separate"/>
      </w:r>
      <w:r w:rsidR="000C5294" w:rsidRPr="000C5294">
        <w:rPr>
          <w:rFonts w:ascii="Calibri" w:hAnsi="Calibri" w:cs="Calibri"/>
          <w:kern w:val="0"/>
          <w:vertAlign w:val="superscript"/>
        </w:rPr>
        <w:t>6</w:t>
      </w:r>
      <w:r w:rsidR="00782DAC">
        <w:fldChar w:fldCharType="end"/>
      </w:r>
      <w:r w:rsidR="00782DAC">
        <w:t xml:space="preserve"> The multi-individual IBD analysis </w:t>
      </w:r>
      <w:r w:rsidR="00E86898">
        <w:t xml:space="preserve">detected 284,838 allele conversions in total </w:t>
      </w:r>
      <w:r w:rsidR="00DD4A23">
        <w:t>comprising</w:t>
      </w:r>
      <w:r w:rsidR="00E86898">
        <w:t xml:space="preserve"> 226,007 gene conversion tracts.</w:t>
      </w:r>
      <w:r w:rsidR="00E86898">
        <w:fldChar w:fldCharType="begin"/>
      </w:r>
      <w:r w:rsidR="000C5294">
        <w:instrText xml:space="preserve"> ADDIN ZOTERO_ITEM CSL_CITATION {"citationID":"z3KSJabD","properties":{"formattedCitation":"\\super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86898">
        <w:fldChar w:fldCharType="separate"/>
      </w:r>
      <w:r w:rsidR="000C5294" w:rsidRPr="000C5294">
        <w:rPr>
          <w:rFonts w:ascii="Calibri" w:hAnsi="Calibri" w:cs="Calibri"/>
          <w:kern w:val="0"/>
          <w:vertAlign w:val="superscript"/>
        </w:rPr>
        <w:t>6</w:t>
      </w:r>
      <w:r w:rsidR="00E86898">
        <w:fldChar w:fldCharType="end"/>
      </w:r>
      <w:r w:rsidR="004F0985">
        <w:rPr>
          <w:rFonts w:hint="eastAsia"/>
        </w:rPr>
        <w:t xml:space="preserve"> </w:t>
      </w:r>
    </w:p>
    <w:p w14:paraId="5E9E3EBC" w14:textId="2F4F88C6" w:rsidR="00093BBA" w:rsidRDefault="000517E5" w:rsidP="00C92F16">
      <w:r>
        <w:t>We</w:t>
      </w:r>
      <w:r w:rsidR="00923872">
        <w:rPr>
          <w:rFonts w:hint="eastAsia"/>
        </w:rPr>
        <w:t xml:space="preserve"> </w:t>
      </w:r>
      <w:r w:rsidR="002D1B4F">
        <w:rPr>
          <w:rFonts w:hint="eastAsia"/>
        </w:rPr>
        <w:t>fit our model to th</w:t>
      </w:r>
      <w:r w:rsidR="00DD4A23">
        <w:t>e</w:t>
      </w:r>
      <w:r w:rsidR="002D1B4F">
        <w:rPr>
          <w:rFonts w:hint="eastAsia"/>
        </w:rPr>
        <w:t xml:space="preserve"> data</w:t>
      </w:r>
      <w:r w:rsidR="00DD4A23">
        <w:t xml:space="preserve"> from each replicate</w:t>
      </w:r>
      <w:r w:rsidR="000525A2">
        <w:rPr>
          <w:rFonts w:hint="eastAsia"/>
        </w:rPr>
        <w:t>, obtaining</w:t>
      </w:r>
      <w:r w:rsidR="007F3E63">
        <w:t> </w:t>
      </w:r>
      <m:oMath>
        <m:acc>
          <m:accPr>
            <m:ctrlPr>
              <w:rPr>
                <w:rFonts w:ascii="Cambria Math" w:hAnsi="Cambria Math"/>
                <w:i/>
              </w:rPr>
            </m:ctrlPr>
          </m:accPr>
          <m:e>
            <m:r>
              <w:rPr>
                <w:rFonts w:ascii="Cambria Math" w:hAnsi="Cambria Math"/>
              </w:rPr>
              <m:t>ϕ</m:t>
            </m:r>
          </m:e>
        </m:acc>
      </m:oMath>
      <w:r w:rsidR="000525A2">
        <w:rPr>
          <w:rFonts w:hint="eastAsia"/>
        </w:rPr>
        <w:t xml:space="preserve"> as described in the </w:t>
      </w:r>
      <w:r w:rsidR="00BA4E52">
        <w:t xml:space="preserve">section, </w:t>
      </w:r>
      <w:r w:rsidR="000525A2" w:rsidRPr="000525A2">
        <w:t xml:space="preserve">Maximum likelihood estimation of </w:t>
      </w:r>
      <m:oMath>
        <m:r>
          <w:rPr>
            <w:rFonts w:ascii="Cambria Math" w:hAnsi="Cambria Math"/>
          </w:rPr>
          <m:t>ϕ</m:t>
        </m:r>
      </m:oMath>
      <w:r w:rsidR="000525A2">
        <w:rPr>
          <w:rFonts w:hint="eastAsia"/>
        </w:rPr>
        <w:t>.</w:t>
      </w:r>
      <w:r w:rsidR="00137441">
        <w:rPr>
          <w:rFonts w:hint="eastAsia"/>
        </w:rPr>
        <w:t xml:space="preserve"> </w:t>
      </w:r>
      <w:r w:rsidR="00093BBA">
        <w:rPr>
          <w:rFonts w:hint="eastAsia"/>
        </w:rPr>
        <w:t xml:space="preserve">We fit </w:t>
      </w:r>
      <w:r w:rsidR="00BA4E52">
        <w:t xml:space="preserve">both of our models (each assuming a different distribution for </w:t>
      </w:r>
      <m:oMath>
        <m:r>
          <w:rPr>
            <w:rFonts w:ascii="Cambria Math" w:hAnsi="Cambria Math"/>
          </w:rPr>
          <m:t>N</m:t>
        </m:r>
      </m:oMath>
      <w:r w:rsidR="00BA4E52">
        <w:t>)</w:t>
      </w:r>
      <w:r w:rsidR="00093BBA">
        <w:rPr>
          <w:rFonts w:hint="eastAsia"/>
        </w:rPr>
        <w:t xml:space="preserve"> to the observed </w:t>
      </w:r>
      <w:r w:rsidR="00DF12B2">
        <w:t xml:space="preserve">tract </w:t>
      </w:r>
      <w:r w:rsidR="00093BBA">
        <w:rPr>
          <w:rFonts w:hint="eastAsia"/>
        </w:rPr>
        <w:t>lengths</w:t>
      </w:r>
      <w:r w:rsidR="007F3E63">
        <w:t xml:space="preserve"> between 2 and 1500 bp</w:t>
      </w:r>
      <w:r w:rsidR="00093BBA">
        <w:rPr>
          <w:rFonts w:hint="eastAsia"/>
        </w:rPr>
        <w:t xml:space="preserve"> in each region.</w:t>
      </w:r>
      <w:r w:rsidR="00174840">
        <w:rPr>
          <w:rFonts w:hint="eastAsia"/>
        </w:rPr>
        <w:t xml:space="preserve"> </w:t>
      </w:r>
      <w:r w:rsidR="00BA3A0E">
        <w:rPr>
          <w:rFonts w:hint="eastAsia"/>
        </w:rPr>
        <w:t>Because the true tract lengths in this simulation study are drawn from a geometric distribution, we are also interested in whether</w:t>
      </w:r>
      <w:r w:rsidR="00C9584C">
        <w:t xml:space="preserve"> the geometric model will be favored using AIC. </w:t>
      </w:r>
      <w:r w:rsidR="00093BBA">
        <w:rPr>
          <w:rFonts w:hint="eastAsia"/>
        </w:rPr>
        <w:t xml:space="preserve">95% bootstrap confidence intervals for both versions of </w:t>
      </w:r>
      <w:r w:rsidR="00093BBA">
        <w:t>the</w:t>
      </w:r>
      <w:r w:rsidR="00093BBA">
        <w:rPr>
          <w:rFonts w:hint="eastAsia"/>
        </w:rPr>
        <w:t xml:space="preserve"> model are calculated as described in the </w:t>
      </w:r>
      <w:r w:rsidR="00C9584C">
        <w:t xml:space="preserve">section, </w:t>
      </w:r>
      <w:r w:rsidR="00093BBA" w:rsidRPr="00093BBA">
        <w:t>Bootstrap confidence interval</w:t>
      </w:r>
      <w:r w:rsidR="00C9584C">
        <w:t>s</w:t>
      </w:r>
      <w:r w:rsidR="00093BBA">
        <w:rPr>
          <w:rFonts w:hint="eastAsia"/>
        </w:rPr>
        <w:t>.</w:t>
      </w:r>
    </w:p>
    <w:p w14:paraId="11C35D23" w14:textId="6C4C248F" w:rsidR="00F151B0" w:rsidRDefault="00F151B0" w:rsidP="00F151B0">
      <w:pPr>
        <w:pStyle w:val="Heading2"/>
      </w:pPr>
      <w:r>
        <w:t>UK Biobank analysis</w:t>
      </w:r>
    </w:p>
    <w:p w14:paraId="372BBEB1" w14:textId="2405E5E9" w:rsidR="00F151B0" w:rsidRDefault="00F151B0" w:rsidP="00F151B0">
      <w:r>
        <w:t xml:space="preserve">Recall that </w:t>
      </w:r>
      <w:r w:rsidR="00EC27C8">
        <w:t>we</w:t>
      </w:r>
      <w:r w:rsidR="003E6946">
        <w:t xml:space="preserve"> detect the </w:t>
      </w:r>
      <w:r w:rsidR="00EC27C8">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EC27C8">
        <w:t xml:space="preserve"> from the UK Biobank whole autosome data</w:t>
      </w:r>
      <w:r w:rsidR="003E6946">
        <w:t xml:space="preserve"> using the multi-individual IBD method. In the section, </w:t>
      </w:r>
      <w:r w:rsidR="003E6946" w:rsidRPr="003E6946">
        <w:t xml:space="preserve">Maximum likelihood estimation of </w:t>
      </w:r>
      <m:oMath>
        <m:r>
          <w:rPr>
            <w:rFonts w:ascii="Cambria Math" w:hAnsi="Cambria Math"/>
          </w:rPr>
          <m:t>ϕ</m:t>
        </m:r>
      </m:oMath>
      <w:r w:rsidR="003E6946">
        <w:t xml:space="preserve">, we describe our method for estimating </w:t>
      </w:r>
      <m:oMath>
        <m:r>
          <w:rPr>
            <w:rFonts w:ascii="Cambria Math" w:hAnsi="Cambria Math"/>
          </w:rPr>
          <m:t>ϕ</m:t>
        </m:r>
      </m:oMath>
      <w:r w:rsidR="003E6946">
        <w:t>, the mean length of gene conversion tracts, using the observed tract lengths detected.</w:t>
      </w:r>
      <w:r w:rsidR="00F45F81">
        <w:t xml:space="preserve"> We further obtain a 95% bootstrap confidence interval for </w:t>
      </w:r>
      <m:oMath>
        <m:r>
          <w:rPr>
            <w:rFonts w:ascii="Cambria Math" w:hAnsi="Cambria Math"/>
          </w:rPr>
          <m:t>ϕ</m:t>
        </m:r>
      </m:oMath>
      <w:r w:rsidR="00F45F81">
        <w:t xml:space="preserve"> using the method described in the section, </w:t>
      </w:r>
      <w:r w:rsidR="00F45F81" w:rsidRPr="00F45F81">
        <w:t>Bootstrap confidence intervals</w:t>
      </w:r>
      <w:r w:rsidR="00F45F81">
        <w:t>.</w:t>
      </w:r>
    </w:p>
    <w:p w14:paraId="7842C6C9" w14:textId="4A854A82" w:rsidR="003E6946" w:rsidRDefault="003E6946" w:rsidP="00F151B0">
      <w:r>
        <w:t xml:space="preserve">We </w:t>
      </w:r>
      <w:r w:rsidR="00147434">
        <w:t xml:space="preserve">ran an additional stratified analysis, stratifying observed tract lengths by whether they </w:t>
      </w:r>
      <w:r w:rsidR="00ED0040">
        <w:t xml:space="preserve">overlapped with a </w:t>
      </w:r>
      <w:r w:rsidR="00147434">
        <w:t>recombination hotspot</w:t>
      </w:r>
      <w:r w:rsidR="00044A13">
        <w:t xml:space="preserve">. </w:t>
      </w:r>
      <w:r w:rsidR="003B6688">
        <w:t>We</w:t>
      </w:r>
      <w:r w:rsidR="00B719A8">
        <w:t xml:space="preserve"> used the </w:t>
      </w:r>
      <w:commentRangeStart w:id="1"/>
      <w:r w:rsidR="00B719A8">
        <w:t>deCODE genetic map</w:t>
      </w:r>
      <w:commentRangeEnd w:id="1"/>
      <w:r w:rsidR="003B6688">
        <w:t xml:space="preserve"> to define recombination hotspots on each autosome</w:t>
      </w:r>
      <w:r w:rsidR="00B719A8">
        <w:rPr>
          <w:rStyle w:val="CommentReference"/>
        </w:rPr>
        <w:commentReference w:id="1"/>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rsidR="003B6688">
        <w:t xml:space="preserve"> For each autosome, we first calculated a background recombination rate by </w:t>
      </w:r>
      <w:r w:rsidR="00CA3CC3">
        <w:t>dividing</w:t>
      </w:r>
      <w:r w:rsidR="003B6688">
        <w:t xml:space="preserve"> the </w:t>
      </w:r>
      <w:r w:rsidR="00CA3CC3">
        <w:t xml:space="preserve">genetic distance between the two most distant markers </w:t>
      </w:r>
      <w:r w:rsidR="007C761C">
        <w:t xml:space="preserve">on the genetic map </w:t>
      </w:r>
      <w:r w:rsidR="00CA3CC3">
        <w:t xml:space="preserve">(in cM) by their physical distance (in Mb). </w:t>
      </w:r>
      <w:r w:rsidR="007C761C">
        <w:t xml:space="preserve">Next, we similarly calculated local recombination rates between </w:t>
      </w:r>
      <w:r w:rsidR="00AF3560">
        <w:t>nearby</w:t>
      </w:r>
      <w:r w:rsidR="007C761C">
        <w:t xml:space="preserve"> markers</w:t>
      </w:r>
      <w:r w:rsidR="004C0D3F">
        <w:t xml:space="preserve"> on this </w:t>
      </w:r>
      <w:r w:rsidR="004C0D3F">
        <w:lastRenderedPageBreak/>
        <w:t>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on this autosome 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 for a</w:t>
      </w:r>
      <w:r w:rsidR="004C0D3F">
        <w:t xml:space="preserve"> </w:t>
      </w:r>
      <w:r w:rsidR="00DE5EF6">
        <w:t>local recombination rate calculation.</w:t>
      </w:r>
    </w:p>
    <w:p w14:paraId="622AAE2D" w14:textId="4B4C3D2C" w:rsidR="00F45F81" w:rsidRPr="00F151B0" w:rsidRDefault="00264CED" w:rsidP="00F0417D">
      <w:r>
        <w:t xml:space="preserve">If the local recombination rate between two markers is more than five times the background recombination rate of the autosome, we classify the region between these markers as </w:t>
      </w:r>
      <w:r w:rsidR="00C31CFE">
        <w:t xml:space="preserve">a recombination hotspot. </w:t>
      </w:r>
      <w:r w:rsidR="00AF3560">
        <w:t xml:space="preserve">We cluster adjacent recombination hotspots together.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F83B0E">
        <w:t>each tract overlapped with a recombination hotspot</w:t>
      </w:r>
      <w:r w:rsidR="00B95476" w:rsidRPr="00B95476">
        <w:t>. For each subset, we then obtain</w:t>
      </w:r>
      <w:r w:rsidR="00B95476">
        <w:t xml:space="preserve"> </w:t>
      </w:r>
      <w:r w:rsidR="00B95476" w:rsidRPr="00B95476">
        <w:t>a maximum likelihood estimate and a 95% bootstrap confidence interval for </w:t>
      </w:r>
      <m:oMath>
        <m:r>
          <w:rPr>
            <w:rFonts w:ascii="Cambria Math" w:hAnsi="Cambria Math"/>
          </w:rPr>
          <m:t>ϕ</m:t>
        </m:r>
      </m:oMath>
      <w:r w:rsidR="00B95476">
        <w:t>.</w:t>
      </w:r>
    </w:p>
    <w:p w14:paraId="29BD684F" w14:textId="289816DD" w:rsidR="005C3A6A" w:rsidRDefault="005C3A6A" w:rsidP="005468F7">
      <w:pPr>
        <w:pStyle w:val="Heading1"/>
      </w:pPr>
      <w:r>
        <w:t>Results</w:t>
      </w:r>
    </w:p>
    <w:p w14:paraId="4D1A5EFF" w14:textId="77777777" w:rsidR="00805B5F" w:rsidRPr="00093BBA" w:rsidRDefault="00805B5F" w:rsidP="00805B5F">
      <w:pPr>
        <w:pStyle w:val="Heading2"/>
        <w:rPr>
          <w:szCs w:val="22"/>
        </w:rPr>
      </w:pPr>
      <w:r>
        <w:rPr>
          <w:rFonts w:hint="eastAsia"/>
        </w:rPr>
        <w:t>Simulation study</w:t>
      </w:r>
      <w:r>
        <w:t xml:space="preserve"> using a coalescent model with gene conversions </w:t>
      </w:r>
    </w:p>
    <w:p w14:paraId="3693D334" w14:textId="1703E850" w:rsidR="00DD4A23" w:rsidRDefault="0031760A" w:rsidP="00B40C7E">
      <w:r>
        <w:t xml:space="preserve">In Figure </w:t>
      </w:r>
      <w:r w:rsidR="00C9584C">
        <w:t>1</w:t>
      </w:r>
      <w:r>
        <w:t xml:space="preserve">, we plot the result of fitting our model to the observed gene conversion tracts from each </w:t>
      </w:r>
      <w:r w:rsidR="00DD4A23">
        <w:t>replicate</w:t>
      </w:r>
      <w:r w:rsidR="00DD4A23">
        <w:rPr>
          <w:rFonts w:hint="eastAsia"/>
        </w:rPr>
        <w:t xml:space="preserve"> </w:t>
      </w:r>
      <w:r w:rsidR="000C472C">
        <w:rPr>
          <w:rFonts w:hint="eastAsia"/>
        </w:rPr>
        <w:t>in</w:t>
      </w:r>
      <w:r w:rsidR="00124E82">
        <w:rPr>
          <w:rFonts w:hint="eastAsia"/>
        </w:rPr>
        <w:t xml:space="preserve"> </w:t>
      </w:r>
      <w:r>
        <w:t xml:space="preserve">the simulation study. </w:t>
      </w:r>
      <w:r w:rsidR="00CF09E3">
        <w:rPr>
          <w:rFonts w:hint="eastAsia"/>
        </w:rPr>
        <w:t xml:space="preserve">When </w:t>
      </w:r>
      <w:r w:rsidR="006F380D">
        <w:t>fitting</w:t>
      </w:r>
      <w:r w:rsidR="006F380D">
        <w:rPr>
          <w:rFonts w:hint="eastAsia"/>
        </w:rPr>
        <w:t xml:space="preserve"> </w:t>
      </w:r>
      <w:r w:rsidR="006F380D">
        <w:t>the</w:t>
      </w:r>
      <w:r w:rsidR="006F380D">
        <w:rPr>
          <w:rFonts w:hint="eastAsia"/>
        </w:rPr>
        <w:t xml:space="preserve"> model in which we assume a geometric distribution for the true tract lengths </w:t>
      </w:r>
      <m:oMath>
        <m:r>
          <w:rPr>
            <w:rFonts w:ascii="Cambria Math" w:hAnsi="Cambria Math"/>
          </w:rPr>
          <m:t>N</m:t>
        </m:r>
      </m:oMath>
      <w:r w:rsidR="006F380D">
        <w:rPr>
          <w:rFonts w:hint="eastAsia"/>
        </w:rPr>
        <w:t>, t</w:t>
      </w:r>
      <w:r>
        <w:t xml:space="preserve">he mean estimate of </w:t>
      </w:r>
      <m:oMath>
        <m:r>
          <w:rPr>
            <w:rFonts w:ascii="Cambria Math" w:hAnsi="Cambria Math"/>
          </w:rPr>
          <m:t>ϕ</m:t>
        </m:r>
      </m:oMath>
      <w:r>
        <w:t xml:space="preserve"> across the 20 </w:t>
      </w:r>
      <w:r w:rsidR="00D7371B">
        <w:t>replicates</w:t>
      </w:r>
      <w:r>
        <w:t xml:space="preserve"> was </w:t>
      </w:r>
      <w:r w:rsidRPr="00895DC7">
        <w:t>28</w:t>
      </w:r>
      <w:r w:rsidR="00B704BA">
        <w:t>9</w:t>
      </w:r>
      <w:r>
        <w:t xml:space="preserve">, which is slightly </w:t>
      </w:r>
      <w:r w:rsidR="00DD4A23">
        <w:t xml:space="preserve">lower </w:t>
      </w:r>
      <w:r>
        <w:t xml:space="preserve">than the true </w:t>
      </w:r>
      <m:oMath>
        <m:r>
          <w:rPr>
            <w:rFonts w:ascii="Cambria Math" w:hAnsi="Cambria Math"/>
          </w:rPr>
          <m:t>ϕ</m:t>
        </m:r>
      </m:oMath>
      <w:r>
        <w:t xml:space="preserve"> value of 300 used to simulate the gene conversion tracts. </w:t>
      </w:r>
      <w:r w:rsidR="00EA554B">
        <w:rPr>
          <w:rFonts w:hint="eastAsia"/>
        </w:rPr>
        <w:t>Additionally</w:t>
      </w:r>
      <w:r w:rsidR="00EA554B">
        <w:t>,</w:t>
      </w:r>
      <w:r w:rsidR="00EA554B">
        <w:rPr>
          <w:rFonts w:hint="eastAsia"/>
        </w:rPr>
        <w:t xml:space="preserve"> </w:t>
      </w:r>
      <w:r w:rsidR="00EA554B">
        <w:t xml:space="preserve">the true value of 300 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assume a sum of two geometric random variables for the distribution of </w:t>
      </w:r>
      <m:oMath>
        <m:r>
          <w:rPr>
            <w:rFonts w:ascii="Cambria Math" w:hAnsi="Cambria Math"/>
          </w:rPr>
          <m:t>N</m:t>
        </m:r>
      </m:oMath>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t xml:space="preserve"> </w:t>
      </w:r>
      <w:r w:rsidR="000F18B6">
        <w:rPr>
          <w:rFonts w:hint="eastAsia"/>
        </w:rPr>
        <w:t xml:space="preserve">the true value. Furthermore, </w:t>
      </w:r>
      <w:r w:rsidR="006F1C18">
        <w:rPr>
          <w:rFonts w:hint="eastAsia"/>
        </w:rPr>
        <w:t xml:space="preserve">none of our 95% bootstrap confidence </w:t>
      </w:r>
      <w:r w:rsidR="00F271A0">
        <w:rPr>
          <w:rFonts w:hint="eastAsia"/>
        </w:rPr>
        <w:t xml:space="preserve">intervals captured the true value of 300. </w:t>
      </w:r>
      <w:r w:rsidR="006F1C18">
        <w:rPr>
          <w:rFonts w:hint="eastAsia"/>
        </w:rPr>
        <w:t xml:space="preserve"> </w:t>
      </w:r>
    </w:p>
    <w:p w14:paraId="7EAB14C9" w14:textId="3253E625" w:rsidR="0031760A" w:rsidRDefault="00DC6D13" w:rsidP="00B40C7E">
      <w:r>
        <w:rPr>
          <w:noProof/>
        </w:rPr>
        <w:lastRenderedPageBreak/>
        <w:drawing>
          <wp:inline distT="0" distB="0" distL="0" distR="0" wp14:anchorId="57B0FAEC" wp14:editId="27EFCC85">
            <wp:extent cx="5943600" cy="3396615"/>
            <wp:effectExtent l="0" t="0" r="0" b="0"/>
            <wp:docPr id="2125150891" name="Picture 2" descr="A graph of a gene con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0891" name="Picture 2" descr="A graph of a gene convers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0F279E17" w:rsidR="0031760A" w:rsidRPr="00B77461" w:rsidRDefault="0031760A" w:rsidP="0031760A">
      <w:pPr>
        <w:rPr>
          <w:rFonts w:ascii="Calibri" w:hAnsi="Calibri" w:cs="Calibri"/>
          <w:iCs/>
          <w:szCs w:val="22"/>
        </w:rPr>
      </w:pPr>
      <w:r>
        <w:rPr>
          <w:rFonts w:ascii="Calibri" w:hAnsi="Calibri" w:cs="Calibri"/>
          <w:b/>
          <w:bCs/>
          <w:szCs w:val="22"/>
        </w:rPr>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tract lengths across replicates in simulation study.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that was used in the simulation. We plot our estimate and 95% bootstrap confidence interval for each </w:t>
      </w:r>
      <w:r w:rsidR="00D7371B">
        <w:rPr>
          <w:rFonts w:ascii="Calibri" w:hAnsi="Calibri" w:cs="Calibri"/>
          <w:iCs/>
          <w:szCs w:val="22"/>
        </w:rPr>
        <w:t>replicate</w:t>
      </w:r>
      <w:r>
        <w:rPr>
          <w:rFonts w:ascii="Calibri" w:hAnsi="Calibri" w:cs="Calibri"/>
          <w:iCs/>
          <w:szCs w:val="22"/>
        </w:rPr>
        <w:t xml:space="preserve"> of the simulation. </w:t>
      </w:r>
      <w:r w:rsidR="00DD4A23">
        <w:rPr>
          <w:rFonts w:ascii="Calibri" w:hAnsi="Calibri" w:cs="Calibri"/>
          <w:iCs/>
          <w:szCs w:val="22"/>
        </w:rPr>
        <w:t>Tract lengths were simulated under a geometric distribution, and analyses were conducted using a geometric (red) or sum of two geometrics (</w:t>
      </w:r>
      <w:r w:rsidR="007E430C">
        <w:rPr>
          <w:rFonts w:ascii="Calibri" w:hAnsi="Calibri" w:cs="Calibri"/>
          <w:iCs/>
          <w:szCs w:val="22"/>
        </w:rPr>
        <w:t>blue</w:t>
      </w:r>
      <w:r w:rsidR="00DD4A23">
        <w:rPr>
          <w:rFonts w:ascii="Calibri" w:hAnsi="Calibri" w:cs="Calibri"/>
          <w:iCs/>
          <w:szCs w:val="22"/>
        </w:rPr>
        <w:t xml:space="preserve">) </w:t>
      </w:r>
      <w:r w:rsidR="00344636">
        <w:rPr>
          <w:rFonts w:ascii="Calibri" w:hAnsi="Calibri" w:cs="Calibri"/>
          <w:iCs/>
          <w:szCs w:val="22"/>
        </w:rPr>
        <w:t>model</w:t>
      </w:r>
      <w:r w:rsidR="00DD4A23">
        <w:rPr>
          <w:rFonts w:ascii="Calibri" w:hAnsi="Calibri" w:cs="Calibri"/>
          <w:iCs/>
          <w:szCs w:val="22"/>
        </w:rPr>
        <w:t xml:space="preserve">. </w:t>
      </w:r>
      <w:r>
        <w:rPr>
          <w:rFonts w:ascii="Calibri" w:hAnsi="Calibri" w:cs="Calibri"/>
          <w:iCs/>
          <w:szCs w:val="22"/>
        </w:rPr>
        <w:t xml:space="preserve"> </w:t>
      </w:r>
    </w:p>
    <w:p w14:paraId="360B37CA" w14:textId="70071D01" w:rsidR="0031760A" w:rsidRDefault="002D6170" w:rsidP="0031760A">
      <w:r>
        <w:rPr>
          <w:rFonts w:hint="eastAsia"/>
        </w:rPr>
        <w:t xml:space="preserve">Based on the AIC, the </w:t>
      </w:r>
      <w:r w:rsidR="00344636">
        <w:t xml:space="preserve">geometric </w:t>
      </w:r>
      <w:r>
        <w:rPr>
          <w:rFonts w:hint="eastAsia"/>
        </w:rPr>
        <w:t xml:space="preserve">model was a better fit in all 20 instances. The difference in AIC </w:t>
      </w:r>
      <w:r w:rsidR="00824198">
        <w:rPr>
          <w:rFonts w:hint="eastAsia"/>
        </w:rPr>
        <w:t xml:space="preserve">(the AIC of the </w:t>
      </w:r>
      <w:r w:rsidR="00344636">
        <w:t xml:space="preserve">geometric </w:t>
      </w:r>
      <w:r w:rsidR="00824198">
        <w:rPr>
          <w:rFonts w:hint="eastAsia"/>
        </w:rPr>
        <w:t xml:space="preserve">model subtracted from the AIC of the </w:t>
      </w:r>
      <w:r w:rsidR="00344636">
        <w:t xml:space="preserve">sum of two geometrics </w:t>
      </w:r>
      <w:r w:rsidR="00824198">
        <w:rPr>
          <w:rFonts w:hint="eastAsia"/>
        </w:rPr>
        <w:t xml:space="preserve">model) </w:t>
      </w:r>
      <w:r>
        <w:rPr>
          <w:rFonts w:hint="eastAsia"/>
        </w:rPr>
        <w:t xml:space="preserve">ranged from 11 to </w:t>
      </w:r>
      <w:r w:rsidR="0048155F">
        <w:t>41</w:t>
      </w:r>
      <w:r>
        <w:rPr>
          <w:rFonts w:hint="eastAsia"/>
        </w:rPr>
        <w:t xml:space="preserve"> across the 20 </w:t>
      </w:r>
      <w:r w:rsidR="00824198">
        <w:rPr>
          <w:rFonts w:hint="eastAsia"/>
        </w:rPr>
        <w:t xml:space="preserve">regions. </w:t>
      </w:r>
    </w:p>
    <w:p w14:paraId="48649505" w14:textId="1228118F" w:rsidR="00027CE8" w:rsidRDefault="00664D9C" w:rsidP="006A217F">
      <w:pPr>
        <w:pStyle w:val="Heading2"/>
      </w:pPr>
      <w:r>
        <w:t xml:space="preserve">UK Biobank </w:t>
      </w:r>
      <w:r w:rsidR="00B95476">
        <w:t>analysis</w:t>
      </w:r>
    </w:p>
    <w:p w14:paraId="67FC137D" w14:textId="5F49C7C4" w:rsidR="00B95476" w:rsidRDefault="00344636" w:rsidP="003201C2">
      <w:r>
        <w:t>We applied our method to</w:t>
      </w:r>
      <w:r w:rsidR="006A217F">
        <w:t xml:space="preserve"> the</w:t>
      </w:r>
      <w:r w:rsidR="00D90C52">
        <w:t xml:space="preserve"> observed tracts detected from the</w:t>
      </w:r>
      <w:r w:rsidR="006A217F">
        <w:t xml:space="preserve"> UK Biobank data</w:t>
      </w:r>
      <w:r w:rsidR="00D90C52">
        <w:t>.</w:t>
      </w:r>
      <w:r w:rsidR="006A217F">
        <w:t xml:space="preserve"> </w:t>
      </w:r>
      <w:r w:rsidR="00D90C52">
        <w:t xml:space="preserve">When assuming that </w:t>
      </w:r>
      <m:oMath>
        <m:r>
          <w:rPr>
            <w:rFonts w:ascii="Cambria Math" w:hAnsi="Cambria Math"/>
          </w:rPr>
          <m:t>N</m:t>
        </m:r>
      </m:oMath>
      <w:r w:rsidR="00D90C52">
        <w:t xml:space="preserve"> is geometric, our </w:t>
      </w:r>
      <w:r>
        <w:t xml:space="preserve">method </w:t>
      </w:r>
      <w:r w:rsidR="00D90C52">
        <w:t xml:space="preserve">estimated the </w:t>
      </w:r>
      <w:r w:rsidR="00EB4443">
        <w:t>mean gene conversion tract length to be 459 bp (95% CI: [45</w:t>
      </w:r>
      <w:r w:rsidR="00827FC6">
        <w:t>7</w:t>
      </w:r>
      <w:r w:rsidR="00EB4443">
        <w:t>, 46</w:t>
      </w:r>
      <w:r w:rsidR="00F850B9">
        <w:t>0</w:t>
      </w:r>
      <w:r w:rsidR="00EB4443">
        <w:t xml:space="preserve">]). When assuming that </w:t>
      </w:r>
      <m:oMath>
        <m:r>
          <w:rPr>
            <w:rFonts w:ascii="Cambria Math" w:hAnsi="Cambria Math"/>
          </w:rPr>
          <m:t>N</m:t>
        </m:r>
      </m:oMath>
      <w:r w:rsidR="00EB4443">
        <w:t xml:space="preserve"> is a sum of two geometric </w:t>
      </w:r>
      <w:r w:rsidR="00F45A7E">
        <w:t>random variables</w:t>
      </w:r>
      <w:r w:rsidR="00EB4443">
        <w:t xml:space="preserve">, our </w:t>
      </w:r>
      <w:r>
        <w:t xml:space="preserve">method </w:t>
      </w:r>
      <w:r w:rsidR="00EB4443">
        <w:t xml:space="preserve">estimated the </w:t>
      </w:r>
      <w:r w:rsidR="00EB4443">
        <w:lastRenderedPageBreak/>
        <w:t>mean gene conversion tract length to be 6</w:t>
      </w:r>
      <w:r w:rsidR="00031C83">
        <w:t>49</w:t>
      </w:r>
      <w:r w:rsidR="00EB4443">
        <w:t xml:space="preserve"> bp (95% CI: [</w:t>
      </w:r>
      <w:r w:rsidR="00EB4443" w:rsidRPr="00EB4443">
        <w:t>64</w:t>
      </w:r>
      <w:r w:rsidR="00DB256B">
        <w:t>8</w:t>
      </w:r>
      <w:r w:rsidR="00EB4443">
        <w:t xml:space="preserve">, </w:t>
      </w:r>
      <w:r w:rsidR="00EB4443" w:rsidRPr="00EB4443">
        <w:t>65</w:t>
      </w:r>
      <w:r w:rsidR="00482ECB">
        <w:t>1</w:t>
      </w:r>
      <w:r w:rsidR="00EB4443">
        <w:t>]).</w:t>
      </w:r>
      <w:r w:rsidR="000C5BB0">
        <w:t xml:space="preserve"> The </w:t>
      </w:r>
      <w:r>
        <w:t xml:space="preserve">geometric model had lower AIC, and the difference in </w:t>
      </w:r>
      <w:r w:rsidR="000C5BB0">
        <w:t xml:space="preserve">AIC </w:t>
      </w:r>
      <w:r>
        <w:t xml:space="preserve">between </w:t>
      </w:r>
      <w:r w:rsidR="000C5BB0">
        <w:t xml:space="preserve">the two models </w:t>
      </w:r>
      <w:r>
        <w:t>was 66,237</w:t>
      </w:r>
      <w:r w:rsidR="000C5BB0">
        <w:t xml:space="preserve">. </w:t>
      </w:r>
    </w:p>
    <w:p w14:paraId="4B755666" w14:textId="7679E83C" w:rsidR="00956BC1" w:rsidRDefault="00416DC2" w:rsidP="003201C2">
      <w:r>
        <w:t>We next defined recombination hotspots on all 22 autosomes</w:t>
      </w:r>
      <w:r w:rsidR="006C3200">
        <w:t>. We found 32</w:t>
      </w:r>
      <w:r w:rsidR="00956BC1">
        <w:t>,</w:t>
      </w:r>
      <w:r w:rsidR="006C3200">
        <w:t>279 recombination hotspots</w:t>
      </w:r>
      <w:r w:rsidR="00956BC1">
        <w:t xml:space="preserve"> on all autosomes, </w:t>
      </w:r>
      <w:r w:rsidR="006C3200">
        <w:t xml:space="preserve">with the </w:t>
      </w:r>
      <w:r w:rsidR="00956BC1">
        <w:t>widest</w:t>
      </w:r>
      <w:r w:rsidR="006C3200">
        <w:t xml:space="preserve"> hotspot being 51</w:t>
      </w:r>
      <w:r w:rsidR="00956BC1">
        <w:t>,</w:t>
      </w:r>
      <w:r w:rsidR="006C3200">
        <w:t xml:space="preserve">470 bp long on chromosome 13. </w:t>
      </w:r>
      <w:r w:rsidR="003007A5">
        <w:t xml:space="preserve">In Figure 2, we plot the </w:t>
      </w:r>
      <w:r w:rsidR="0022484F">
        <w:t xml:space="preserve">recombination hotspots that we found on chromosome </w:t>
      </w:r>
      <w:r w:rsidR="0094371A">
        <w:t>2</w:t>
      </w:r>
      <w:r w:rsidR="0022484F">
        <w:t>1.</w:t>
      </w:r>
      <w:r w:rsidR="00EE7EBA">
        <w:t xml:space="preserve"> </w:t>
      </w:r>
    </w:p>
    <w:p w14:paraId="3697F8C1" w14:textId="7DD3C5F1" w:rsidR="008B082B" w:rsidRDefault="00903B55" w:rsidP="003201C2">
      <w:r>
        <w:rPr>
          <w:noProof/>
        </w:rPr>
        <w:drawing>
          <wp:inline distT="0" distB="0" distL="0" distR="0" wp14:anchorId="773A052C" wp14:editId="1AB81CF4">
            <wp:extent cx="5943600" cy="3396615"/>
            <wp:effectExtent l="0" t="0" r="0" b="0"/>
            <wp:docPr id="529693235"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35" name="Picture 3" descr="A graph of a number of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729EFB" w14:textId="2967FD22" w:rsidR="00D81840" w:rsidRPr="00D81840" w:rsidRDefault="00903B55" w:rsidP="00D81840">
      <w:pPr>
        <w:rPr>
          <w:rFonts w:ascii="Calibri" w:hAnsi="Calibri" w:cs="Calibri"/>
          <w:bCs/>
          <w:iCs/>
          <w:szCs w:val="22"/>
        </w:rPr>
      </w:pPr>
      <w:r>
        <w:rPr>
          <w:rFonts w:ascii="Calibri" w:hAnsi="Calibri" w:cs="Calibri"/>
          <w:b/>
          <w:bCs/>
          <w:szCs w:val="22"/>
        </w:rPr>
        <w:t>Figure 2.</w:t>
      </w:r>
      <w:r>
        <w:rPr>
          <w:rFonts w:ascii="Calibri" w:hAnsi="Calibri" w:cs="Calibri"/>
          <w:b/>
          <w:bCs/>
          <w:iCs/>
          <w:szCs w:val="22"/>
        </w:rPr>
        <w:t xml:space="preserve"> </w:t>
      </w:r>
      <w:r w:rsidR="00EE7EBA">
        <w:rPr>
          <w:rFonts w:ascii="Calibri" w:hAnsi="Calibri" w:cs="Calibri"/>
          <w:b/>
          <w:bCs/>
          <w:iCs/>
          <w:szCs w:val="22"/>
        </w:rPr>
        <w:t xml:space="preserve">Recombination hotspots found in chromosome 21. </w:t>
      </w:r>
      <w:r w:rsidR="00D81840" w:rsidRPr="00D81840">
        <w:rPr>
          <w:rFonts w:ascii="Calibri" w:hAnsi="Calibri" w:cs="Calibri"/>
          <w:bCs/>
          <w:iCs/>
          <w:szCs w:val="22"/>
        </w:rPr>
        <w:t xml:space="preserve">Recombination hotspots on chromosome 21. Hotspots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correspond to the center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five times the background recombination rate (</w:t>
      </w:r>
      <w:r w:rsidR="00405A2C" w:rsidRPr="00405A2C">
        <w:rPr>
          <w:rFonts w:ascii="Calibri" w:hAnsi="Calibri" w:cs="Calibri"/>
          <w:bCs/>
          <w:iCs/>
          <w:szCs w:val="22"/>
        </w:rPr>
        <w:t>9.8</w:t>
      </w:r>
      <w:r w:rsidR="00405A2C">
        <w:rPr>
          <w:rFonts w:ascii="Calibri" w:hAnsi="Calibri" w:cs="Calibri"/>
          <w:bCs/>
          <w:iCs/>
          <w:szCs w:val="22"/>
        </w:rPr>
        <w:t xml:space="preserve">2 cM/Mb). </w:t>
      </w:r>
      <w:r w:rsidR="00EE43FE">
        <w:t>If the local recombination rate between two markers exceeded five times the background recombination rate of the autosome, we classify the region between these markers as a recombination hotspot.</w:t>
      </w:r>
    </w:p>
    <w:p w14:paraId="0121BE5B" w14:textId="1C77A237" w:rsidR="00275FB1" w:rsidRDefault="00A0641F" w:rsidP="00275FB1">
      <w:r>
        <w:rPr>
          <w:rFonts w:ascii="Calibri" w:hAnsi="Calibri" w:cs="Calibri"/>
          <w:iCs/>
          <w:szCs w:val="22"/>
        </w:rPr>
        <w:lastRenderedPageBreak/>
        <w:t xml:space="preserve">Taking the subset of tract lengths in which the corresponding tracts </w:t>
      </w:r>
      <w:r w:rsidR="00F83B0E">
        <w:rPr>
          <w:rFonts w:ascii="Calibri" w:hAnsi="Calibri" w:cs="Calibri"/>
          <w:iCs/>
          <w:szCs w:val="22"/>
        </w:rPr>
        <w:t>overlapped with a</w:t>
      </w:r>
      <w:r w:rsidR="00275FB1">
        <w:rPr>
          <w:rFonts w:ascii="Calibri" w:hAnsi="Calibri" w:cs="Calibri"/>
          <w:iCs/>
          <w:szCs w:val="22"/>
        </w:rPr>
        <w:t xml:space="preserve"> recombination hotspot (on any of the autosomes), we reran the analysis. For these tract lengths, our </w:t>
      </w:r>
      <w:r w:rsidR="00275FB1">
        <w:t xml:space="preserve">method estimated the mean gene conversion tract length to be </w:t>
      </w:r>
      <w:r w:rsidR="00ED0040">
        <w:t>418</w:t>
      </w:r>
      <w:r w:rsidR="00A44AD1">
        <w:t xml:space="preserve"> </w:t>
      </w:r>
      <w:r w:rsidR="00275FB1">
        <w:t>bp (95% CI: [</w:t>
      </w:r>
      <w:r w:rsidR="00ED0040">
        <w:t>416</w:t>
      </w:r>
      <w:r w:rsidR="00275FB1">
        <w:t xml:space="preserve">, </w:t>
      </w:r>
      <w:r w:rsidR="00ED0040">
        <w:t>420</w:t>
      </w:r>
      <w:r w:rsidR="00275FB1">
        <w:t xml:space="preserve">]). When assuming that </w:t>
      </w:r>
      <m:oMath>
        <m:r>
          <w:rPr>
            <w:rFonts w:ascii="Cambria Math" w:hAnsi="Cambria Math"/>
          </w:rPr>
          <m:t>N</m:t>
        </m:r>
      </m:oMath>
      <w:r w:rsidR="00275FB1">
        <w:t xml:space="preserve"> is a sum of two geometric random variables, our method estimated the mean gene conversion tract length to be </w:t>
      </w:r>
      <w:r w:rsidR="00ED0040">
        <w:t>598</w:t>
      </w:r>
      <w:r w:rsidR="00275FB1">
        <w:t xml:space="preserve"> bp (95% CI: [</w:t>
      </w:r>
      <w:r w:rsidR="00ED0040">
        <w:t>596</w:t>
      </w:r>
      <w:r w:rsidR="00275FB1">
        <w:t xml:space="preserve">, </w:t>
      </w:r>
      <w:r w:rsidR="00ED0040">
        <w:t>601</w:t>
      </w:r>
      <w:r w:rsidR="00275FB1">
        <w:t xml:space="preserve">]). </w:t>
      </w:r>
    </w:p>
    <w:p w14:paraId="4EA24BB2" w14:textId="2135C040" w:rsidR="009D4A76" w:rsidRDefault="006C4D26" w:rsidP="003201C2">
      <w:r>
        <w:t xml:space="preserve">For the </w:t>
      </w:r>
      <w:r w:rsidR="005F7B58">
        <w:t xml:space="preserve">subset of tract lengths in which </w:t>
      </w:r>
      <w:r w:rsidR="005F7B58">
        <w:rPr>
          <w:rFonts w:ascii="Calibri" w:hAnsi="Calibri" w:cs="Calibri"/>
          <w:iCs/>
          <w:szCs w:val="22"/>
        </w:rPr>
        <w:t xml:space="preserve">the corresponding tracts </w:t>
      </w:r>
      <w:r w:rsidR="007C29B9">
        <w:rPr>
          <w:rFonts w:ascii="Calibri" w:hAnsi="Calibri" w:cs="Calibri"/>
          <w:iCs/>
          <w:szCs w:val="22"/>
        </w:rPr>
        <w:t>did not overlap with a recombination hotspot</w:t>
      </w:r>
      <w:r w:rsidR="005F7B58">
        <w:rPr>
          <w:rFonts w:ascii="Calibri" w:hAnsi="Calibri" w:cs="Calibri"/>
          <w:iCs/>
          <w:szCs w:val="22"/>
        </w:rPr>
        <w:t xml:space="preserve">, our </w:t>
      </w:r>
      <w:r w:rsidR="005F7B58">
        <w:t xml:space="preserve">method estimated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 xml:space="preserve">). When assuming that </w:t>
      </w:r>
      <m:oMath>
        <m:r>
          <w:rPr>
            <w:rFonts w:ascii="Cambria Math" w:hAnsi="Cambria Math"/>
          </w:rPr>
          <m:t>N</m:t>
        </m:r>
      </m:oMath>
      <w:r w:rsidR="005F7B58">
        <w:t xml:space="preserve"> is a sum of two geometric random variables, our method estimated the mean gene conversion tract length to be </w:t>
      </w:r>
      <w:r w:rsidR="00ED0040">
        <w:t>689</w:t>
      </w:r>
      <w:r w:rsidR="005F7B58">
        <w:t xml:space="preserve"> bp (95% CI: [</w:t>
      </w:r>
      <w:r w:rsidR="00ED0040">
        <w:t>687</w:t>
      </w:r>
      <w:r w:rsidR="005F7B58">
        <w:t xml:space="preserve">, </w:t>
      </w:r>
      <w:r w:rsidR="00ED0040">
        <w:t>692</w:t>
      </w:r>
      <w:r w:rsidR="005F7B58">
        <w:t xml:space="preserve">]). </w:t>
      </w:r>
      <w:r w:rsidR="00A34B0A">
        <w:t xml:space="preserve">In both subsets, AIC was smaller using the geometric model. </w:t>
      </w:r>
    </w:p>
    <w:p w14:paraId="30DA0C39" w14:textId="7A2E033F" w:rsidR="00622AE7" w:rsidRDefault="00622AE7" w:rsidP="00622AE7">
      <w:pPr>
        <w:pStyle w:val="Heading1"/>
      </w:pPr>
      <w:r>
        <w:t>Discussion</w:t>
      </w:r>
    </w:p>
    <w:p w14:paraId="21C6FA72" w14:textId="09A8C026"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converted markers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 xml:space="preserve">Sperm-typing studies have been limited by the availability of </w:t>
      </w:r>
      <w:r w:rsidR="00106E70">
        <w:t>appropriate data and by the difficulty in distinguishing genotype errors from allele conversions in this setting</w:t>
      </w:r>
      <w:r w:rsidR="000A00A8">
        <w:t xml:space="preserve">. </w:t>
      </w:r>
      <w:r w:rsidR="00C62BD5">
        <w:t xml:space="preserve">Statistical models have </w:t>
      </w:r>
      <w:r w:rsidR="007D3DFE">
        <w:t xml:space="preserve">been </w:t>
      </w:r>
      <w:r w:rsidR="00C62BD5">
        <w:t>proposed to infer the length distribution of gene conversion tracts in humans</w:t>
      </w:r>
      <w:r w:rsidR="007D3DFE">
        <w:t>,</w:t>
      </w:r>
      <w:r w:rsidR="00C62BD5">
        <w:fldChar w:fldCharType="begin"/>
      </w:r>
      <w:r w:rsidR="00C62BD5">
        <w:instrText xml:space="preserve"> ADDIN ZOTERO_ITEM CSL_CITATION {"citationID":"EqoNxMmo","properties":{"formattedCitation":"\\super 7,9\\nosupersub{}","plainCitation":"7,9","noteIndex":0},"citationItems":[{"id":28,"uris":["http://zotero.org/users/14121098/items/8SQWZVTT"],"itemData":{"id":28,"type":"article-journal","abstract":"DNA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C62BD5">
        <w:fldChar w:fldCharType="separate"/>
      </w:r>
      <w:r w:rsidR="00C62BD5" w:rsidRPr="00501C2C">
        <w:rPr>
          <w:rFonts w:ascii="Calibri" w:cs="Calibri"/>
          <w:kern w:val="0"/>
          <w:vertAlign w:val="superscript"/>
        </w:rPr>
        <w:t>7,9</w:t>
      </w:r>
      <w:r w:rsidR="00C62BD5">
        <w:fldChar w:fldCharType="end"/>
      </w:r>
      <w:r w:rsidR="00C62BD5">
        <w:t xml:space="preserve"> </w:t>
      </w:r>
      <w:r w:rsidR="007D3DFE">
        <w:t>but the</w:t>
      </w:r>
      <w:r w:rsidR="0091504E">
        <w:t xml:space="preserve"> </w:t>
      </w:r>
      <w:r w:rsidR="00DA7859">
        <w:t>small number</w:t>
      </w:r>
      <w:r w:rsidR="0091504E">
        <w:t xml:space="preserve"> of </w:t>
      </w:r>
      <w:r w:rsidR="007D3DFE">
        <w:t>detected</w:t>
      </w:r>
      <w:r w:rsidR="0091504E">
        <w:t xml:space="preserve"> gene conversion tracts </w:t>
      </w:r>
      <w:r w:rsidR="00DA7859">
        <w:t>has made it</w:t>
      </w:r>
      <w:r w:rsidR="0091504E">
        <w:t xml:space="preserve"> </w:t>
      </w:r>
      <w:r w:rsidR="00C62BD5">
        <w:t xml:space="preserve">previously </w:t>
      </w:r>
      <w:r w:rsidR="0091504E">
        <w:t xml:space="preserve">difficult to estimate the mean </w:t>
      </w:r>
      <w:r w:rsidR="00447B64">
        <w:t>gene conversion tract length with precision.</w:t>
      </w:r>
    </w:p>
    <w:p w14:paraId="56BBAEB1" w14:textId="5194F653" w:rsidR="00213090" w:rsidRDefault="00F2776E" w:rsidP="00446918">
      <w:r>
        <w:t>By applying the multi-individual IBD method to the UK Biobank whole autosome data</w:t>
      </w:r>
      <w:r w:rsidR="0057252E">
        <w:t>, we can detect gene conversion events across multiple meioses in the ancestral history of a</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657828">
        <w:t xml:space="preserve">As a result, 5,961,128 </w:t>
      </w:r>
      <w:r w:rsidR="00657828">
        <w:lastRenderedPageBreak/>
        <w:t xml:space="preserve">gene conversion tracts were detected, which </w:t>
      </w:r>
      <w:r w:rsidR="001A322D">
        <w:t xml:space="preserve">is </w:t>
      </w:r>
      <w:r w:rsidR="00C62BD5">
        <w:t xml:space="preserve">at least </w:t>
      </w:r>
      <w:r w:rsidR="001A322D">
        <w:t xml:space="preserve">several orders of magnitude larger than </w:t>
      </w:r>
      <w:r w:rsidR="00C62BD5">
        <w:t xml:space="preserve">what had been detected in the past. </w:t>
      </w:r>
      <w:r w:rsidR="00637962">
        <w:t xml:space="preserve">For comparison, </w:t>
      </w:r>
      <w:r w:rsidR="00446918">
        <w:t>only around 2,000 gene conversion events were detected from a combination of 7,219 proband-family sets genotyped with a SNP chip and 101 whole-genome sequenced proband-family sets.</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By applying a statistical model to the large number of gene conversion tracts that were detected from the UK Biobank, we can </w:t>
      </w:r>
      <w:r w:rsidR="00106E70">
        <w:t xml:space="preserve">obtain </w:t>
      </w:r>
      <w:r w:rsidR="002B67D1">
        <w:t xml:space="preserve">narrow confidence intervals… </w:t>
      </w:r>
    </w:p>
    <w:p w14:paraId="6E04C904" w14:textId="398FC5ED" w:rsidR="00D8781C" w:rsidRDefault="00CB56F4" w:rsidP="009D0C9B">
      <w:r>
        <w:t xml:space="preserve">In this study, we </w:t>
      </w:r>
      <w:r w:rsidR="00106E70">
        <w:t xml:space="preserve">utilize </w:t>
      </w:r>
      <w:r w:rsidR="00001066">
        <w:t xml:space="preserve">the multi-individual IBD method, which uses clusters of IBD segments </w:t>
      </w:r>
      <w:r w:rsidR="00501C2C">
        <w:t xml:space="preserve">detected </w:t>
      </w:r>
      <w:r w:rsidR="00EB2648">
        <w:t xml:space="preserve">from population samples </w:t>
      </w:r>
      <w:r w:rsidR="00001066">
        <w:t xml:space="preserve">to </w:t>
      </w:r>
      <w:r w:rsidR="00EB2648">
        <w:t>infer</w:t>
      </w:r>
      <w:r w:rsidR="00001066">
        <w:t xml:space="preserve"> gene conversion tracts from past meioses.</w:t>
      </w:r>
      <w:r w:rsidR="000B6C5F">
        <w:fldChar w:fldCharType="begin"/>
      </w:r>
      <w:r w:rsidR="000B6C5F">
        <w:instrText xml:space="preserve"> ADDIN ZOTERO_ITEM CSL_CITATION {"citationID":"2s14RCiE","properties":{"formattedCitation":"\\super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B6C5F">
        <w:fldChar w:fldCharType="separate"/>
      </w:r>
      <w:r w:rsidR="000B6C5F" w:rsidRPr="000B6C5F">
        <w:rPr>
          <w:rFonts w:ascii="Calibri" w:cs="Calibri"/>
          <w:kern w:val="0"/>
          <w:vertAlign w:val="superscript"/>
        </w:rPr>
        <w:t>6</w:t>
      </w:r>
      <w:r w:rsidR="000B6C5F">
        <w:fldChar w:fldCharType="end"/>
      </w:r>
      <w:r w:rsidR="000B6C5F">
        <w:t xml:space="preserve"> </w:t>
      </w:r>
      <w:r w:rsidR="00EB2648">
        <w:t xml:space="preserve">This method was previously applied to the UK Biobank whole autosome sequence data to detect gene conversion tracts from this dataset. </w:t>
      </w:r>
      <w:r w:rsidR="000B6C5F">
        <w:t xml:space="preserve">We next </w:t>
      </w:r>
      <w:r w:rsidR="00EB2648">
        <w:t>propose</w:t>
      </w:r>
      <w:r w:rsidR="00106E70">
        <w:t>d</w:t>
      </w:r>
      <w:r w:rsidR="00EB2648">
        <w:t xml:space="preserve"> a</w:t>
      </w:r>
      <w:r w:rsidR="000B6C5F">
        <w:t xml:space="preserve"> </w:t>
      </w:r>
      <w:r w:rsidR="00BE0CE9">
        <w:t>parametric</w:t>
      </w:r>
      <w:r w:rsidR="000B6C5F">
        <w:t xml:space="preserve"> model</w:t>
      </w:r>
      <w:r w:rsidR="00EB2648">
        <w:t>, inspired by a previous model by Betran et al.,</w:t>
      </w:r>
      <w:r w:rsidR="00EB2648">
        <w:fldChar w:fldCharType="begin"/>
      </w:r>
      <w:r w:rsidR="00EB2648">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B2648">
        <w:fldChar w:fldCharType="separate"/>
      </w:r>
      <w:r w:rsidR="00EB2648" w:rsidRPr="00EB2648">
        <w:rPr>
          <w:rFonts w:ascii="Calibri" w:cs="Calibri"/>
          <w:kern w:val="0"/>
          <w:vertAlign w:val="superscript"/>
        </w:rPr>
        <w:t>7</w:t>
      </w:r>
      <w:r w:rsidR="00EB2648">
        <w:fldChar w:fldCharType="end"/>
      </w:r>
      <w:r w:rsidR="000B6C5F">
        <w:t xml:space="preserve"> to infer the mean gene conversion tract length </w:t>
      </w:r>
      <w:r w:rsidR="00616C8A">
        <w:t xml:space="preserve">from the </w:t>
      </w:r>
      <w:r w:rsidR="00EB2648">
        <w:t>gene conversion tracts</w:t>
      </w:r>
      <w:r w:rsidR="00616C8A">
        <w:t xml:space="preserve"> detected </w:t>
      </w:r>
      <w:r w:rsidR="00EB2648">
        <w:t>in</w:t>
      </w:r>
      <w:r w:rsidR="00616C8A">
        <w:t xml:space="preserve"> the UK Biobank whole autosome data.</w:t>
      </w:r>
      <w:r w:rsidR="009D0C9B">
        <w:t xml:space="preserve"> In our model, the length distribution of gene conversion tracts can be specified to either be geometric or a sum of two geometric random variables, and it is possible to select the better fitting model based on AIC.  </w:t>
      </w:r>
    </w:p>
    <w:p w14:paraId="22E07C7A" w14:textId="639D9DA3" w:rsidR="00A75F06" w:rsidRDefault="00A75F06" w:rsidP="009D0C9B">
      <w:r>
        <w:t xml:space="preserve">When using our model to estimate the mean gene conversion tract length, we first removed longer observed tract lengths greater than 1500 bp because the multi-individual IBD method is likely to truncate longer observed tracts </w:t>
      </w:r>
      <w:r w:rsidR="00E402B1">
        <w:t>when detecting these from sequence data</w:t>
      </w:r>
      <w:r>
        <w:t>.</w:t>
      </w:r>
      <w:r w:rsidR="00E402B1">
        <w:t xml:space="preserve"> Furthermore, we removed any observed tract</w:t>
      </w:r>
      <w:r w:rsidR="00493089">
        <w:t xml:space="preserve">s that were 1 bp long because our model overestimates the proportion of these tracts, likely because our model does not account for linkage disequilibrium (see Supplementary materials). </w:t>
      </w:r>
      <w:r w:rsidR="00D575AA">
        <w:t xml:space="preserve">To account for omitting these tracts in our model, we truncate the likelihood of observed tract lengths between 2 and 1500 bp. </w:t>
      </w:r>
    </w:p>
    <w:p w14:paraId="365BA569" w14:textId="7431A7D4" w:rsidR="008300D8" w:rsidRDefault="00EB2648" w:rsidP="008300D8">
      <w:r>
        <w:t xml:space="preserve">We </w:t>
      </w:r>
      <w:r w:rsidR="009D0C9B">
        <w:t>used a</w:t>
      </w:r>
      <w:r>
        <w:t xml:space="preserve"> coalescent simulation </w:t>
      </w:r>
      <w:r w:rsidR="009D0C9B">
        <w:t>incorporating gene conversion events to validate our parametric model</w:t>
      </w:r>
      <w:r>
        <w:t>.</w:t>
      </w:r>
      <w:r w:rsidR="008300D8">
        <w:t xml:space="preserve"> We found that our model accurately estimated the mean length when the length distribution of gene conversion tracts was correctly specified to be geometric.</w:t>
      </w:r>
    </w:p>
    <w:p w14:paraId="36E30866" w14:textId="77777777" w:rsidR="00B25EFD" w:rsidRDefault="00D575AA" w:rsidP="008300D8">
      <w:r>
        <w:lastRenderedPageBreak/>
        <w:t xml:space="preserve">Finally, we fit our </w:t>
      </w:r>
      <w:r w:rsidR="00422A10">
        <w:t xml:space="preserve">model to detected gene conversion tracts from the UK Biobank whole autosome data. We estimated the mean gene conversion tract length to be 459 bp (95% CI: [457, 460]) using the setting in which gene conversion tract lengths were assumed to be geometric, which resulted in a smaller AIC compared to when we assumed this to be a sum of two geometric random variables. </w:t>
      </w:r>
    </w:p>
    <w:p w14:paraId="7D5E2AB6" w14:textId="043E8740" w:rsidR="008300D8" w:rsidRDefault="0009735C" w:rsidP="008300D8">
      <w:r>
        <w:t xml:space="preserve">This result is </w:t>
      </w:r>
      <w:r w:rsidR="00321F75">
        <w:t>consistent with some previous findings but not others</w:t>
      </w:r>
      <w:r w:rsidR="00DA5E7B">
        <w:t>. Jeffreys and May estimate the mean length to be in the range of 55-290 bp based on minimum and maximum possible lengths of detected gene conversion tracts determined from allele converted markers</w:t>
      </w:r>
      <w:r w:rsidR="00321F75">
        <w:t>.</w:t>
      </w:r>
      <w:r w:rsidR="00321F75">
        <w:fldChar w:fldCharType="begin"/>
      </w:r>
      <w:r w:rsidR="00321F75">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321F75">
        <w:fldChar w:fldCharType="separate"/>
      </w:r>
      <w:r w:rsidR="00321F75" w:rsidRPr="00DA5E7B">
        <w:rPr>
          <w:rFonts w:ascii="Calibri" w:cs="Calibri"/>
          <w:kern w:val="0"/>
          <w:vertAlign w:val="superscript"/>
        </w:rPr>
        <w:t>4</w:t>
      </w:r>
      <w:r w:rsidR="00321F75">
        <w:fldChar w:fldCharType="end"/>
      </w:r>
      <w:r w:rsidR="00321F75">
        <w:t xml:space="preserve"> Our estimate of 459 bp is not inside this range.</w:t>
      </w:r>
      <w:r w:rsidR="00DA5E7B">
        <w:t xml:space="preserve"> </w:t>
      </w:r>
      <w:r w:rsidR="006A795B" w:rsidRPr="00DA5E7B">
        <w:rPr>
          <w:rFonts w:ascii="Calibri" w:cs="Calibri"/>
        </w:rPr>
        <w:t>Hardarson</w:t>
      </w:r>
      <w:r w:rsidR="006A795B">
        <w:t xml:space="preserve"> </w:t>
      </w:r>
      <w:r w:rsidR="00321F75">
        <w:t>et al. estimate the mean paternal and maternal gene conversion tract length to be 177 bp (95% CI: [</w:t>
      </w:r>
      <w:r w:rsidR="00321F75" w:rsidRPr="00321F75">
        <w:t>61.0</w:t>
      </w:r>
      <w:r w:rsidR="00321F75">
        <w:t xml:space="preserve">, </w:t>
      </w:r>
      <w:r w:rsidR="00321F75" w:rsidRPr="00321F75">
        <w:t>389</w:t>
      </w:r>
      <w:r w:rsidR="00321F75">
        <w:t xml:space="preserve">]) and 41.9 bp (95% CI: [16.4, 2925]) respectively, based on </w:t>
      </w:r>
      <w:r w:rsidR="006A795B">
        <w:t>504 gene conversion tracts detected in sequenced families (257 paternal and 247 maternal gene conversion tracts)</w:t>
      </w:r>
      <w:r w:rsidR="00321F75">
        <w:t>.</w:t>
      </w:r>
      <w:r w:rsidR="006A795B">
        <w:fldChar w:fldCharType="begin"/>
      </w:r>
      <w:r w:rsidR="006A795B">
        <w:instrText xml:space="preserve"> ADDIN ZOTERO_ITEM CSL_CITATION {"citationID":"ix6t7Kz4","properties":{"formattedCitation":"\\super 5,9\\nosupersub{}","plainCitation":"5,9","noteIndex":0},"citationItems":[{"id":33,"uris":["http://zotero.org/users/14121098/items/LPEQ4CVT"],"itemData":{"id":33,"type":"article-journal","abstract":"Meiotic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5,9</w:t>
      </w:r>
      <w:r w:rsidR="006A795B">
        <w:fldChar w:fldCharType="end"/>
      </w:r>
      <w:r w:rsidR="00321F75">
        <w:t xml:space="preserve"> </w:t>
      </w:r>
      <w:r w:rsidR="00334B1E">
        <w:t>Because of the wide confidence intervals</w:t>
      </w:r>
      <w:r w:rsidR="00321F75">
        <w:t xml:space="preserve"> </w:t>
      </w:r>
      <w:r w:rsidR="00334B1E">
        <w:t>for the mean length, our estimate is consistent with their findings.</w:t>
      </w:r>
    </w:p>
    <w:p w14:paraId="0AD48B85" w14:textId="63CD3EBA" w:rsidR="00334B1E" w:rsidRPr="00D8781C" w:rsidRDefault="00334B1E" w:rsidP="008300D8">
      <w:r>
        <w:t xml:space="preserve">By using </w:t>
      </w:r>
      <w:r w:rsidR="007C4C4B">
        <w:t>5,961,128</w:t>
      </w:r>
      <w:r>
        <w:t xml:space="preserve"> gene conversion tracts detected from the UK Biobank whole autosome data</w:t>
      </w:r>
      <w:r w:rsidR="007C4C4B">
        <w:t xml:space="preserve"> to estimate the mean tract length, we can get a narrow confidence interval around our point estimate. However, as we saw in our simulation study, our estimate is dependent on correctly specifying the length distribution of gene conversion tracts. Based on AIC, we selected the model in which the length distribution is geometric, but the AIC selected model can also be biased (</w:t>
      </w:r>
      <w:r w:rsidR="00A60AA3">
        <w:t>see the section, “Robustness simulation”</w:t>
      </w:r>
      <w:r w:rsidR="007C4C4B">
        <w:t>).</w:t>
      </w:r>
      <w:r w:rsidR="00A60AA3">
        <w:t xml:space="preserve"> </w:t>
      </w:r>
      <w:r w:rsidR="00106E70">
        <w:t xml:space="preserve">However, in the scenarios considered in our study, the bias was not large, but was on the order of up to </w:t>
      </w:r>
      <w:commentRangeStart w:id="2"/>
      <w:r w:rsidR="00106E70">
        <w:t xml:space="preserve">xxx </w:t>
      </w:r>
      <w:commentRangeEnd w:id="2"/>
      <w:r w:rsidR="0016369E">
        <w:rPr>
          <w:rStyle w:val="CommentReference"/>
        </w:rPr>
        <w:commentReference w:id="2"/>
      </w:r>
      <w:r w:rsidR="00106E70">
        <w:t>kb.</w:t>
      </w:r>
      <w:r w:rsidR="00A60AA3">
        <w:t xml:space="preserve"> </w:t>
      </w:r>
    </w:p>
    <w:p w14:paraId="27456651" w14:textId="77777777" w:rsidR="00680B80" w:rsidRPr="00680B80" w:rsidRDefault="00680B80" w:rsidP="00D575AA"/>
    <w:p w14:paraId="5594A9D3" w14:textId="77777777" w:rsidR="008300D8" w:rsidRDefault="008300D8" w:rsidP="00D575AA">
      <w:bookmarkStart w:id="3" w:name="_Hlk157629171"/>
    </w:p>
    <w:p w14:paraId="4F55D0BC" w14:textId="77777777" w:rsidR="008300D8" w:rsidRDefault="008300D8" w:rsidP="00D575AA"/>
    <w:p w14:paraId="63C609CA" w14:textId="77777777" w:rsidR="008300D8" w:rsidRDefault="008300D8" w:rsidP="00D575AA"/>
    <w:p w14:paraId="4F8F1474" w14:textId="77777777" w:rsidR="008300D8" w:rsidRDefault="008300D8" w:rsidP="00D575AA"/>
    <w:p w14:paraId="7474A5E4" w14:textId="77777777" w:rsidR="008300D8" w:rsidRDefault="008300D8" w:rsidP="00D575AA"/>
    <w:p w14:paraId="2C02085E" w14:textId="77777777" w:rsidR="008300D8" w:rsidRDefault="008300D8" w:rsidP="00D575AA"/>
    <w:p w14:paraId="45EE6CB4" w14:textId="77777777" w:rsidR="008300D8" w:rsidRDefault="008300D8" w:rsidP="00D575AA"/>
    <w:p w14:paraId="1D8CC99C" w14:textId="77777777" w:rsidR="008300D8" w:rsidRDefault="008300D8" w:rsidP="00D575AA"/>
    <w:p w14:paraId="1D49F7A9" w14:textId="77777777" w:rsidR="008300D8" w:rsidRDefault="008300D8" w:rsidP="00D575AA"/>
    <w:p w14:paraId="1718ED87" w14:textId="5B503CEB" w:rsidR="00C140E7" w:rsidRDefault="00C140E7" w:rsidP="00C140E7">
      <w:pPr>
        <w:pStyle w:val="Heading1"/>
      </w:pPr>
      <w:r>
        <w:t>References</w:t>
      </w:r>
    </w:p>
    <w:p w14:paraId="2BA69639" w14:textId="77777777" w:rsidR="00B719A8" w:rsidRPr="00B719A8" w:rsidRDefault="002721B3" w:rsidP="00B719A8">
      <w:pPr>
        <w:pStyle w:val="Bibliography"/>
        <w:rPr>
          <w:rFonts w:ascii="Calibri" w:cs="Calibri"/>
        </w:rPr>
      </w:pPr>
      <w:r>
        <w:fldChar w:fldCharType="begin"/>
      </w:r>
      <w:r w:rsidR="000C5294">
        <w:instrText xml:space="preserve"> ADDIN ZOTERO_BIBL {"uncited":[],"omitted":[],"custom":[]} CSL_BIBLIOGRAPHY </w:instrText>
      </w:r>
      <w:r>
        <w:fldChar w:fldCharType="separate"/>
      </w:r>
      <w:r w:rsidR="00B719A8" w:rsidRPr="00B719A8">
        <w:rPr>
          <w:rFonts w:ascii="Calibri" w:cs="Calibri"/>
        </w:rPr>
        <w:t>1.</w:t>
      </w:r>
      <w:r w:rsidR="00B719A8" w:rsidRPr="00B719A8">
        <w:rPr>
          <w:rFonts w:ascii="Calibri" w:cs="Calibri"/>
        </w:rPr>
        <w:tab/>
        <w:t xml:space="preserve">Williams, A. L. </w:t>
      </w:r>
      <w:r w:rsidR="00B719A8" w:rsidRPr="00B719A8">
        <w:rPr>
          <w:rFonts w:ascii="Calibri" w:cs="Calibri"/>
          <w:i/>
          <w:iCs/>
        </w:rPr>
        <w:t>et al.</w:t>
      </w:r>
      <w:r w:rsidR="00B719A8" w:rsidRPr="00B719A8">
        <w:rPr>
          <w:rFonts w:ascii="Calibri" w:cs="Calibri"/>
        </w:rPr>
        <w:t xml:space="preserve"> Non-crossover gene conversions show strong GC bias and unexpected clustering in humans. </w:t>
      </w:r>
      <w:r w:rsidR="00B719A8" w:rsidRPr="00B719A8">
        <w:rPr>
          <w:rFonts w:ascii="Calibri" w:cs="Calibri"/>
          <w:i/>
          <w:iCs/>
        </w:rPr>
        <w:t>eLife</w:t>
      </w:r>
      <w:r w:rsidR="00B719A8" w:rsidRPr="00B719A8">
        <w:rPr>
          <w:rFonts w:ascii="Calibri" w:cs="Calibri"/>
        </w:rPr>
        <w:t xml:space="preserve"> </w:t>
      </w:r>
      <w:r w:rsidR="00B719A8" w:rsidRPr="00B719A8">
        <w:rPr>
          <w:rFonts w:ascii="Calibri" w:cs="Calibri"/>
          <w:b/>
          <w:bCs/>
        </w:rPr>
        <w:t>4</w:t>
      </w:r>
      <w:r w:rsidR="00B719A8" w:rsidRPr="00B719A8">
        <w:rPr>
          <w:rFonts w:ascii="Calibri" w:cs="Calibri"/>
        </w:rPr>
        <w:t>, e04637 (2015).</w:t>
      </w:r>
    </w:p>
    <w:p w14:paraId="30DDCE3E" w14:textId="77777777" w:rsidR="00B719A8" w:rsidRPr="00B719A8" w:rsidRDefault="00B719A8" w:rsidP="00B719A8">
      <w:pPr>
        <w:pStyle w:val="Bibliography"/>
        <w:rPr>
          <w:rFonts w:ascii="Calibri" w:cs="Calibri"/>
        </w:rPr>
      </w:pPr>
      <w:r w:rsidRPr="00B719A8">
        <w:rPr>
          <w:rFonts w:ascii="Calibri" w:cs="Calibri"/>
        </w:rPr>
        <w:t>2.</w:t>
      </w:r>
      <w:r w:rsidRPr="00B719A8">
        <w:rPr>
          <w:rFonts w:ascii="Calibri" w:cs="Calibri"/>
        </w:rPr>
        <w:tab/>
        <w:t xml:space="preserve">McMahill, M. S., Sham, C. W. &amp; Bishop, D. K. Synthesis-Dependent Strand Annealing in Meiosis. </w:t>
      </w:r>
      <w:r w:rsidRPr="00B719A8">
        <w:rPr>
          <w:rFonts w:ascii="Calibri" w:cs="Calibri"/>
          <w:i/>
          <w:iCs/>
        </w:rPr>
        <w:t>PLoS Biol</w:t>
      </w:r>
      <w:r w:rsidRPr="00B719A8">
        <w:rPr>
          <w:rFonts w:ascii="Calibri" w:cs="Calibri"/>
        </w:rPr>
        <w:t xml:space="preserve"> </w:t>
      </w:r>
      <w:r w:rsidRPr="00B719A8">
        <w:rPr>
          <w:rFonts w:ascii="Calibri" w:cs="Calibri"/>
          <w:b/>
          <w:bCs/>
        </w:rPr>
        <w:t>5</w:t>
      </w:r>
      <w:r w:rsidRPr="00B719A8">
        <w:rPr>
          <w:rFonts w:ascii="Calibri" w:cs="Calibri"/>
        </w:rPr>
        <w:t>, e299 (2007).</w:t>
      </w:r>
    </w:p>
    <w:p w14:paraId="483DE994" w14:textId="77777777" w:rsidR="00B719A8" w:rsidRPr="00B719A8" w:rsidRDefault="00B719A8" w:rsidP="00B719A8">
      <w:pPr>
        <w:pStyle w:val="Bibliography"/>
        <w:rPr>
          <w:rFonts w:ascii="Calibri" w:cs="Calibri"/>
        </w:rPr>
      </w:pPr>
      <w:r w:rsidRPr="00B719A8">
        <w:rPr>
          <w:rFonts w:ascii="Calibri" w:cs="Calibri"/>
        </w:rPr>
        <w:t>3.</w:t>
      </w:r>
      <w:r w:rsidRPr="00B719A8">
        <w:rPr>
          <w:rFonts w:ascii="Calibri" w:cs="Calibri"/>
        </w:rPr>
        <w:tab/>
        <w:t xml:space="preserve">Odenthal-Hesse, L., Berg, I. L., Veselis, A., Jeffreys, A. J. &amp; May, C. A. Transmission Distortion Affecting Human Noncrossover but Not Crossover Recombination: A Hidden Source of Meiotic Drive. </w:t>
      </w:r>
      <w:r w:rsidRPr="00B719A8">
        <w:rPr>
          <w:rFonts w:ascii="Calibri" w:cs="Calibri"/>
          <w:i/>
          <w:iCs/>
        </w:rPr>
        <w:t>PLOS Genetics</w:t>
      </w:r>
      <w:r w:rsidRPr="00B719A8">
        <w:rPr>
          <w:rFonts w:ascii="Calibri" w:cs="Calibri"/>
        </w:rPr>
        <w:t xml:space="preserve"> </w:t>
      </w:r>
      <w:r w:rsidRPr="00B719A8">
        <w:rPr>
          <w:rFonts w:ascii="Calibri" w:cs="Calibri"/>
          <w:b/>
          <w:bCs/>
        </w:rPr>
        <w:t>10</w:t>
      </w:r>
      <w:r w:rsidRPr="00B719A8">
        <w:rPr>
          <w:rFonts w:ascii="Calibri" w:cs="Calibri"/>
        </w:rPr>
        <w:t>, e1004106 (2014).</w:t>
      </w:r>
    </w:p>
    <w:p w14:paraId="0A36B06E" w14:textId="77777777" w:rsidR="00B719A8" w:rsidRPr="00B719A8" w:rsidRDefault="00B719A8" w:rsidP="00B719A8">
      <w:pPr>
        <w:pStyle w:val="Bibliography"/>
        <w:rPr>
          <w:rFonts w:ascii="Calibri" w:cs="Calibri"/>
        </w:rPr>
      </w:pPr>
      <w:r w:rsidRPr="00B719A8">
        <w:rPr>
          <w:rFonts w:ascii="Calibri" w:cs="Calibri"/>
        </w:rPr>
        <w:t>4.</w:t>
      </w:r>
      <w:r w:rsidRPr="00B719A8">
        <w:rPr>
          <w:rFonts w:ascii="Calibri" w:cs="Calibri"/>
        </w:rPr>
        <w:tab/>
        <w:t xml:space="preserve">Jeffreys, A. J. &amp; May, C. A. Intense and highly localized gene conversion activity in human meiotic crossover hot spots. </w:t>
      </w:r>
      <w:r w:rsidRPr="00B719A8">
        <w:rPr>
          <w:rFonts w:ascii="Calibri" w:cs="Calibri"/>
          <w:i/>
          <w:iCs/>
        </w:rPr>
        <w:t>Nat Genet</w:t>
      </w:r>
      <w:r w:rsidRPr="00B719A8">
        <w:rPr>
          <w:rFonts w:ascii="Calibri" w:cs="Calibri"/>
        </w:rPr>
        <w:t xml:space="preserve"> </w:t>
      </w:r>
      <w:r w:rsidRPr="00B719A8">
        <w:rPr>
          <w:rFonts w:ascii="Calibri" w:cs="Calibri"/>
          <w:b/>
          <w:bCs/>
        </w:rPr>
        <w:t>36</w:t>
      </w:r>
      <w:r w:rsidRPr="00B719A8">
        <w:rPr>
          <w:rFonts w:ascii="Calibri" w:cs="Calibri"/>
        </w:rPr>
        <w:t>, 151–156 (2004).</w:t>
      </w:r>
    </w:p>
    <w:p w14:paraId="6F1B2162" w14:textId="77777777" w:rsidR="00B719A8" w:rsidRPr="00B719A8" w:rsidRDefault="00B719A8" w:rsidP="00B719A8">
      <w:pPr>
        <w:pStyle w:val="Bibliography"/>
        <w:rPr>
          <w:rFonts w:ascii="Calibri" w:cs="Calibri"/>
        </w:rPr>
      </w:pPr>
      <w:r w:rsidRPr="00B719A8">
        <w:rPr>
          <w:rFonts w:ascii="Calibri" w:cs="Calibri"/>
        </w:rPr>
        <w:t>5.</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rate of meiotic gene conversion varies by sex and age. </w:t>
      </w:r>
      <w:r w:rsidRPr="00B719A8">
        <w:rPr>
          <w:rFonts w:ascii="Calibri" w:cs="Calibri"/>
          <w:i/>
          <w:iCs/>
        </w:rPr>
        <w:t>Nat Genet</w:t>
      </w:r>
      <w:r w:rsidRPr="00B719A8">
        <w:rPr>
          <w:rFonts w:ascii="Calibri" w:cs="Calibri"/>
        </w:rPr>
        <w:t xml:space="preserve"> </w:t>
      </w:r>
      <w:r w:rsidRPr="00B719A8">
        <w:rPr>
          <w:rFonts w:ascii="Calibri" w:cs="Calibri"/>
          <w:b/>
          <w:bCs/>
        </w:rPr>
        <w:t>48</w:t>
      </w:r>
      <w:r w:rsidRPr="00B719A8">
        <w:rPr>
          <w:rFonts w:ascii="Calibri" w:cs="Calibri"/>
        </w:rPr>
        <w:t>, 1377–1384 (2016).</w:t>
      </w:r>
    </w:p>
    <w:p w14:paraId="7EDC99FE" w14:textId="77777777" w:rsidR="00B719A8" w:rsidRPr="00B719A8" w:rsidRDefault="00B719A8" w:rsidP="00B719A8">
      <w:pPr>
        <w:pStyle w:val="Bibliography"/>
        <w:rPr>
          <w:rFonts w:ascii="Calibri" w:cs="Calibri"/>
        </w:rPr>
      </w:pPr>
      <w:r w:rsidRPr="00B719A8">
        <w:rPr>
          <w:rFonts w:ascii="Calibri" w:cs="Calibri"/>
        </w:rPr>
        <w:t>6.</w:t>
      </w:r>
      <w:r w:rsidRPr="00B719A8">
        <w:rPr>
          <w:rFonts w:ascii="Calibri" w:cs="Calibri"/>
        </w:rPr>
        <w:tab/>
        <w:t xml:space="preserve">Browning, S. R. &amp; Browning, B. L. Biobank-scale inference of multi-individual identity by descent and gene conversion.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111</w:t>
      </w:r>
      <w:r w:rsidRPr="00B719A8">
        <w:rPr>
          <w:rFonts w:ascii="Calibri" w:cs="Calibri"/>
        </w:rPr>
        <w:t>, 691–700 (2024).</w:t>
      </w:r>
    </w:p>
    <w:p w14:paraId="700CACF7" w14:textId="77777777" w:rsidR="00B719A8" w:rsidRPr="00B719A8" w:rsidRDefault="00B719A8" w:rsidP="00B719A8">
      <w:pPr>
        <w:pStyle w:val="Bibliography"/>
        <w:rPr>
          <w:rFonts w:ascii="Calibri" w:cs="Calibri"/>
        </w:rPr>
      </w:pPr>
      <w:r w:rsidRPr="00B719A8">
        <w:rPr>
          <w:rFonts w:ascii="Calibri" w:cs="Calibri"/>
        </w:rPr>
        <w:lastRenderedPageBreak/>
        <w:t>7.</w:t>
      </w:r>
      <w:r w:rsidRPr="00B719A8">
        <w:rPr>
          <w:rFonts w:ascii="Calibri" w:cs="Calibri"/>
        </w:rPr>
        <w:tab/>
        <w:t xml:space="preserve">Betran, E., Rozas, J., Navarro, A. &amp; Barbadilla, A. The Estimation of the Number and the Length Distribution of Gene Conversion Tracts from Population DNA Sequence Data. </w:t>
      </w:r>
      <w:r w:rsidRPr="00B719A8">
        <w:rPr>
          <w:rFonts w:ascii="Calibri" w:cs="Calibri"/>
          <w:i/>
          <w:iCs/>
        </w:rPr>
        <w:t>Genetics</w:t>
      </w:r>
      <w:r w:rsidRPr="00B719A8">
        <w:rPr>
          <w:rFonts w:ascii="Calibri" w:cs="Calibri"/>
        </w:rPr>
        <w:t xml:space="preserve"> </w:t>
      </w:r>
      <w:r w:rsidRPr="00B719A8">
        <w:rPr>
          <w:rFonts w:ascii="Calibri" w:cs="Calibri"/>
          <w:b/>
          <w:bCs/>
        </w:rPr>
        <w:t>146</w:t>
      </w:r>
      <w:r w:rsidRPr="00B719A8">
        <w:rPr>
          <w:rFonts w:ascii="Calibri" w:cs="Calibri"/>
        </w:rPr>
        <w:t>, 89–99 (1997).</w:t>
      </w:r>
    </w:p>
    <w:p w14:paraId="31547E23" w14:textId="77777777" w:rsidR="00B719A8" w:rsidRPr="00B719A8" w:rsidRDefault="00B719A8" w:rsidP="00B719A8">
      <w:pPr>
        <w:pStyle w:val="Bibliography"/>
        <w:rPr>
          <w:rFonts w:ascii="Calibri" w:cs="Calibri"/>
        </w:rPr>
      </w:pPr>
      <w:r w:rsidRPr="00B719A8">
        <w:rPr>
          <w:rFonts w:ascii="Calibri" w:cs="Calibri"/>
        </w:rPr>
        <w:t>8.</w:t>
      </w:r>
      <w:r w:rsidRPr="00B719A8">
        <w:rPr>
          <w:rFonts w:ascii="Calibri" w:cs="Calibri"/>
        </w:rPr>
        <w:tab/>
        <w:t xml:space="preserve">Wall, J. D., Robinson, J. A. &amp; Cox, L. A. High-Resolution Estimates of Crossover and Noncrossover Recombination from a Captive Baboon Colony. </w:t>
      </w:r>
      <w:r w:rsidRPr="00B719A8">
        <w:rPr>
          <w:rFonts w:ascii="Calibri" w:cs="Calibri"/>
          <w:i/>
          <w:iCs/>
        </w:rPr>
        <w:t>Genome Biology and Evolution</w:t>
      </w:r>
      <w:r w:rsidRPr="00B719A8">
        <w:rPr>
          <w:rFonts w:ascii="Calibri" w:cs="Calibri"/>
        </w:rPr>
        <w:t xml:space="preserve"> </w:t>
      </w:r>
      <w:r w:rsidRPr="00B719A8">
        <w:rPr>
          <w:rFonts w:ascii="Calibri" w:cs="Calibri"/>
          <w:b/>
          <w:bCs/>
        </w:rPr>
        <w:t>14</w:t>
      </w:r>
      <w:r w:rsidRPr="00B719A8">
        <w:rPr>
          <w:rFonts w:ascii="Calibri" w:cs="Calibri"/>
        </w:rPr>
        <w:t>, evac040 (2022).</w:t>
      </w:r>
    </w:p>
    <w:p w14:paraId="1177C8AE" w14:textId="77777777" w:rsidR="00B719A8" w:rsidRPr="00B719A8" w:rsidRDefault="00B719A8" w:rsidP="00B719A8">
      <w:pPr>
        <w:pStyle w:val="Bibliography"/>
        <w:rPr>
          <w:rFonts w:ascii="Calibri" w:cs="Calibri"/>
        </w:rPr>
      </w:pPr>
      <w:r w:rsidRPr="00B719A8">
        <w:rPr>
          <w:rFonts w:ascii="Calibri" w:cs="Calibri"/>
        </w:rPr>
        <w:t>9.</w:t>
      </w:r>
      <w:r w:rsidRPr="00B719A8">
        <w:rPr>
          <w:rFonts w:ascii="Calibri" w:cs="Calibri"/>
        </w:rPr>
        <w:tab/>
        <w:t xml:space="preserve">Hardarson, M. T., Palsson, G. &amp; Halldorsson, B. V. NCOurd: modelling length distributions of NCO events and gene conversion tracts. </w:t>
      </w:r>
      <w:r w:rsidRPr="00B719A8">
        <w:rPr>
          <w:rFonts w:ascii="Calibri" w:cs="Calibri"/>
          <w:i/>
          <w:iCs/>
        </w:rPr>
        <w:t>Bioinformatics</w:t>
      </w:r>
      <w:r w:rsidRPr="00B719A8">
        <w:rPr>
          <w:rFonts w:ascii="Calibri" w:cs="Calibri"/>
        </w:rPr>
        <w:t xml:space="preserve"> </w:t>
      </w:r>
      <w:r w:rsidRPr="00B719A8">
        <w:rPr>
          <w:rFonts w:ascii="Calibri" w:cs="Calibri"/>
          <w:b/>
          <w:bCs/>
        </w:rPr>
        <w:t>39</w:t>
      </w:r>
      <w:r w:rsidRPr="00B719A8">
        <w:rPr>
          <w:rFonts w:ascii="Calibri" w:cs="Calibri"/>
        </w:rPr>
        <w:t>, btad485 (2023).</w:t>
      </w:r>
    </w:p>
    <w:p w14:paraId="3B5A6506" w14:textId="77777777" w:rsidR="00B719A8" w:rsidRPr="00B719A8" w:rsidRDefault="00B719A8" w:rsidP="00B719A8">
      <w:pPr>
        <w:pStyle w:val="Bibliography"/>
        <w:rPr>
          <w:rFonts w:ascii="Calibri" w:cs="Calibri"/>
        </w:rPr>
      </w:pPr>
      <w:r w:rsidRPr="00B719A8">
        <w:rPr>
          <w:rFonts w:ascii="Calibri" w:cs="Calibri"/>
        </w:rPr>
        <w:t>10.</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sequences of 150,119 genomes in the UK Biobank. </w:t>
      </w:r>
      <w:r w:rsidRPr="00B719A8">
        <w:rPr>
          <w:rFonts w:ascii="Calibri" w:cs="Calibri"/>
          <w:i/>
          <w:iCs/>
        </w:rPr>
        <w:t>Nature</w:t>
      </w:r>
      <w:r w:rsidRPr="00B719A8">
        <w:rPr>
          <w:rFonts w:ascii="Calibri" w:cs="Calibri"/>
        </w:rPr>
        <w:t xml:space="preserve"> </w:t>
      </w:r>
      <w:r w:rsidRPr="00B719A8">
        <w:rPr>
          <w:rFonts w:ascii="Calibri" w:cs="Calibri"/>
          <w:b/>
          <w:bCs/>
        </w:rPr>
        <w:t>607</w:t>
      </w:r>
      <w:r w:rsidRPr="00B719A8">
        <w:rPr>
          <w:rFonts w:ascii="Calibri" w:cs="Calibri"/>
        </w:rPr>
        <w:t>, 732–740 (2022).</w:t>
      </w:r>
    </w:p>
    <w:p w14:paraId="15E2584C" w14:textId="77777777" w:rsidR="00B719A8" w:rsidRPr="00B719A8" w:rsidRDefault="00B719A8" w:rsidP="00B719A8">
      <w:pPr>
        <w:pStyle w:val="Bibliography"/>
        <w:rPr>
          <w:rFonts w:ascii="Calibri" w:cs="Calibri"/>
        </w:rPr>
      </w:pPr>
      <w:r w:rsidRPr="00B719A8">
        <w:rPr>
          <w:rFonts w:ascii="Calibri" w:cs="Calibri"/>
        </w:rPr>
        <w:t>11.</w:t>
      </w:r>
      <w:r w:rsidRPr="00B719A8">
        <w:rPr>
          <w:rFonts w:ascii="Calibri" w:cs="Calibri"/>
        </w:rPr>
        <w:tab/>
        <w:t xml:space="preserve">Browning, B. L., Tian, X., Zhou, Y. &amp; Browning, S. R. Fast two-stage phasing of large-scale sequence data.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108</w:t>
      </w:r>
      <w:r w:rsidRPr="00B719A8">
        <w:rPr>
          <w:rFonts w:ascii="Calibri" w:cs="Calibri"/>
        </w:rPr>
        <w:t>, 1880–1890 (2021).</w:t>
      </w:r>
    </w:p>
    <w:p w14:paraId="2762092B" w14:textId="77777777" w:rsidR="00B719A8" w:rsidRPr="00B719A8" w:rsidRDefault="00B719A8" w:rsidP="00B719A8">
      <w:pPr>
        <w:pStyle w:val="Bibliography"/>
        <w:rPr>
          <w:rFonts w:ascii="Calibri" w:cs="Calibri"/>
        </w:rPr>
      </w:pPr>
      <w:r w:rsidRPr="00B719A8">
        <w:rPr>
          <w:rFonts w:ascii="Calibri" w:cs="Calibri"/>
        </w:rPr>
        <w:t>12.</w:t>
      </w:r>
      <w:r w:rsidRPr="00B719A8">
        <w:rPr>
          <w:rFonts w:ascii="Calibri" w:cs="Calibri"/>
        </w:rPr>
        <w:tab/>
        <w:t xml:space="preserve">Browning, B. L. &amp; Browning, S. R. Statistical phasing of 150,119 sequenced genomes in the UK Biobank.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110</w:t>
      </w:r>
      <w:r w:rsidRPr="00B719A8">
        <w:rPr>
          <w:rFonts w:ascii="Calibri" w:cs="Calibri"/>
        </w:rPr>
        <w:t>, 161–165 (2023).</w:t>
      </w:r>
    </w:p>
    <w:p w14:paraId="77067AE1" w14:textId="77777777" w:rsidR="00B719A8" w:rsidRPr="00B719A8" w:rsidRDefault="00B719A8" w:rsidP="00B719A8">
      <w:pPr>
        <w:pStyle w:val="Bibliography"/>
        <w:rPr>
          <w:rFonts w:ascii="Calibri" w:cs="Calibri"/>
        </w:rPr>
      </w:pPr>
      <w:r w:rsidRPr="00B719A8">
        <w:rPr>
          <w:rFonts w:ascii="Calibri" w:cs="Calibri"/>
        </w:rPr>
        <w:t>13.</w:t>
      </w:r>
      <w:r w:rsidRPr="00B719A8">
        <w:rPr>
          <w:rFonts w:ascii="Calibri" w:cs="Calibri"/>
        </w:rPr>
        <w:tab/>
        <w:t>R Core Team. R: A Language and Environment for Statistical Computing. R Foundation for Statistical Computing (2024).</w:t>
      </w:r>
    </w:p>
    <w:p w14:paraId="4EA4F5C9" w14:textId="77777777" w:rsidR="00B719A8" w:rsidRPr="00B719A8" w:rsidRDefault="00B719A8" w:rsidP="00B719A8">
      <w:pPr>
        <w:pStyle w:val="Bibliography"/>
        <w:rPr>
          <w:rFonts w:ascii="Calibri" w:cs="Calibri"/>
        </w:rPr>
      </w:pPr>
      <w:r w:rsidRPr="00B719A8">
        <w:rPr>
          <w:rFonts w:ascii="Calibri" w:cs="Calibri"/>
        </w:rPr>
        <w:t>14.</w:t>
      </w:r>
      <w:r w:rsidRPr="00B719A8">
        <w:rPr>
          <w:rFonts w:ascii="Calibri" w:cs="Calibri"/>
        </w:rPr>
        <w:tab/>
        <w:t xml:space="preserve">Akaike, H. A new look at the statistical model identification. </w:t>
      </w:r>
      <w:r w:rsidRPr="00B719A8">
        <w:rPr>
          <w:rFonts w:ascii="Calibri" w:cs="Calibri"/>
          <w:i/>
          <w:iCs/>
        </w:rPr>
        <w:t>IEEE Transactions on Automatic Control</w:t>
      </w:r>
      <w:r w:rsidRPr="00B719A8">
        <w:rPr>
          <w:rFonts w:ascii="Calibri" w:cs="Calibri"/>
        </w:rPr>
        <w:t xml:space="preserve"> </w:t>
      </w:r>
      <w:r w:rsidRPr="00B719A8">
        <w:rPr>
          <w:rFonts w:ascii="Calibri" w:cs="Calibri"/>
          <w:b/>
          <w:bCs/>
        </w:rPr>
        <w:t>19</w:t>
      </w:r>
      <w:r w:rsidRPr="00B719A8">
        <w:rPr>
          <w:rFonts w:ascii="Calibri" w:cs="Calibri"/>
        </w:rPr>
        <w:t>, 716–723 (1974).</w:t>
      </w:r>
    </w:p>
    <w:p w14:paraId="2975F703" w14:textId="77777777" w:rsidR="00B719A8" w:rsidRPr="00B719A8" w:rsidRDefault="00B719A8" w:rsidP="00B719A8">
      <w:pPr>
        <w:pStyle w:val="Bibliography"/>
        <w:rPr>
          <w:rFonts w:ascii="Calibri" w:cs="Calibri"/>
        </w:rPr>
      </w:pPr>
      <w:r w:rsidRPr="00B719A8">
        <w:rPr>
          <w:rFonts w:ascii="Calibri" w:cs="Calibri"/>
        </w:rPr>
        <w:t>15.</w:t>
      </w:r>
      <w:r w:rsidRPr="00B719A8">
        <w:rPr>
          <w:rFonts w:ascii="Calibri" w:cs="Calibri"/>
        </w:rPr>
        <w:tab/>
        <w:t xml:space="preserve">Baumdicker, F. </w:t>
      </w:r>
      <w:r w:rsidRPr="00B719A8">
        <w:rPr>
          <w:rFonts w:ascii="Calibri" w:cs="Calibri"/>
          <w:i/>
          <w:iCs/>
        </w:rPr>
        <w:t>et al.</w:t>
      </w:r>
      <w:r w:rsidRPr="00B719A8">
        <w:rPr>
          <w:rFonts w:ascii="Calibri" w:cs="Calibri"/>
        </w:rPr>
        <w:t xml:space="preserve"> Efficient ancestry and mutation simulation with msprime 1.0. </w:t>
      </w:r>
      <w:r w:rsidRPr="00B719A8">
        <w:rPr>
          <w:rFonts w:ascii="Calibri" w:cs="Calibri"/>
          <w:i/>
          <w:iCs/>
        </w:rPr>
        <w:t>Genetics</w:t>
      </w:r>
      <w:r w:rsidRPr="00B719A8">
        <w:rPr>
          <w:rFonts w:ascii="Calibri" w:cs="Calibri"/>
        </w:rPr>
        <w:t xml:space="preserve"> </w:t>
      </w:r>
      <w:r w:rsidRPr="00B719A8">
        <w:rPr>
          <w:rFonts w:ascii="Calibri" w:cs="Calibri"/>
          <w:b/>
          <w:bCs/>
        </w:rPr>
        <w:t>220</w:t>
      </w:r>
      <w:r w:rsidRPr="00B719A8">
        <w:rPr>
          <w:rFonts w:ascii="Calibri" w:cs="Calibri"/>
        </w:rPr>
        <w:t>, iyab229 (2022).</w:t>
      </w:r>
    </w:p>
    <w:p w14:paraId="2D920382" w14:textId="77777777" w:rsidR="00B719A8" w:rsidRPr="00B719A8" w:rsidRDefault="00B719A8" w:rsidP="00B719A8">
      <w:pPr>
        <w:pStyle w:val="Bibliography"/>
        <w:rPr>
          <w:rFonts w:ascii="Calibri" w:cs="Calibri"/>
        </w:rPr>
      </w:pPr>
      <w:r w:rsidRPr="00B719A8">
        <w:rPr>
          <w:rFonts w:ascii="Calibri" w:cs="Calibri"/>
        </w:rPr>
        <w:t>16.</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Characterizing mutagenic effects of recombination through a sequence-level genetic map. </w:t>
      </w:r>
      <w:r w:rsidRPr="00B719A8">
        <w:rPr>
          <w:rFonts w:ascii="Calibri" w:cs="Calibri"/>
          <w:i/>
          <w:iCs/>
        </w:rPr>
        <w:t>Science</w:t>
      </w:r>
      <w:r w:rsidRPr="00B719A8">
        <w:rPr>
          <w:rFonts w:ascii="Calibri" w:cs="Calibri"/>
        </w:rPr>
        <w:t xml:space="preserve"> </w:t>
      </w:r>
      <w:r w:rsidRPr="00B719A8">
        <w:rPr>
          <w:rFonts w:ascii="Calibri" w:cs="Calibri"/>
          <w:b/>
          <w:bCs/>
        </w:rPr>
        <w:t>363</w:t>
      </w:r>
      <w:r w:rsidRPr="00B719A8">
        <w:rPr>
          <w:rFonts w:ascii="Calibri" w:cs="Calibri"/>
        </w:rPr>
        <w:t>, eaau1043 (2019).</w:t>
      </w:r>
    </w:p>
    <w:p w14:paraId="1FFECF44" w14:textId="33EA8BC3" w:rsidR="00680B80" w:rsidRDefault="002721B3" w:rsidP="00680B80">
      <w:r>
        <w:fldChar w:fldCharType="end"/>
      </w:r>
    </w:p>
    <w:p w14:paraId="658D260F" w14:textId="77777777" w:rsidR="00401460" w:rsidRDefault="00401460" w:rsidP="00680B80">
      <w:pPr>
        <w:pStyle w:val="Heading1"/>
      </w:pPr>
    </w:p>
    <w:p w14:paraId="112E0885" w14:textId="07C6829B" w:rsidR="00680B80" w:rsidRDefault="00680B80" w:rsidP="00680B80">
      <w:pPr>
        <w:pStyle w:val="Heading1"/>
      </w:pPr>
      <w:r>
        <w:t>Appendix</w:t>
      </w:r>
    </w:p>
    <w:p w14:paraId="7853FD76" w14:textId="55B4B91A" w:rsidR="00560949" w:rsidRPr="005B5C84" w:rsidRDefault="0048537D" w:rsidP="00560949">
      <w:pPr>
        <w:pStyle w:val="Heading2"/>
      </w:pPr>
      <w:r>
        <w:t xml:space="preserve">Derivation of the marginal distribution of </w:t>
      </w:r>
      <m:oMath>
        <m:r>
          <m:rPr>
            <m:sty m:val="bi"/>
          </m:rPr>
          <w:rPr>
            <w:rFonts w:ascii="Cambria Math" w:hAnsi="Cambria Math"/>
          </w:rPr>
          <m:t>L</m:t>
        </m:r>
      </m:oMath>
      <w:r>
        <w:t xml:space="preserve"> w</w:t>
      </w:r>
      <w:r w:rsidR="00560949">
        <w:t xml:space="preserve">hen </w:t>
      </w:r>
      <m:oMath>
        <m:r>
          <m:rPr>
            <m:sty m:val="bi"/>
          </m:rPr>
          <w:rPr>
            <w:rFonts w:ascii="Cambria Math" w:hAnsi="Cambria Math"/>
          </w:rPr>
          <m:t>N</m:t>
        </m:r>
      </m:oMath>
      <w:r w:rsidR="00560949">
        <w:t xml:space="preserve"> is a sum of two geometric </w:t>
      </w:r>
      <w:r w:rsidR="00F45A7E">
        <w:t>Random variables</w:t>
      </w:r>
    </w:p>
    <w:p w14:paraId="0F28A093" w14:textId="41FE1C48" w:rsidR="00622F13" w:rsidRDefault="004E6E92" w:rsidP="00622F13">
      <w:r>
        <w:t xml:space="preserve">As well as the geometric model for the gene conversion tract length </w:t>
      </w:r>
      <m:oMath>
        <m:r>
          <w:rPr>
            <w:rFonts w:ascii="Cambria Math" w:hAnsi="Cambria Math"/>
          </w:rPr>
          <m:t>N</m:t>
        </m:r>
      </m:oMath>
      <w:r>
        <w:t>, w</w:t>
      </w:r>
      <w:r w:rsidR="00622F13">
        <w:t xml:space="preserve">e can also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345D25">
        <w:rPr>
          <w:rFonts w:hint="eastAsia"/>
        </w:rPr>
        <w:t xml:space="preserve">This means that </w:t>
      </w:r>
      <m:oMath>
        <m:r>
          <w:rPr>
            <w:rFonts w:ascii="Cambria Math" w:hAnsi="Cambria Math"/>
          </w:rPr>
          <m:t>N</m:t>
        </m:r>
      </m:oMath>
      <w:r w:rsidR="00345D25">
        <w:t xml:space="preserve"> will have mean </w:t>
      </w:r>
      <m:oMath>
        <m:r>
          <w:rPr>
            <w:rFonts w:ascii="Cambria Math" w:hAnsi="Cambria Math"/>
          </w:rPr>
          <m:t>ϕ</m:t>
        </m:r>
      </m:oMath>
      <w:r w:rsidR="00673610">
        <w:t xml:space="preserve">, </w:t>
      </w:r>
      <w:r>
        <w:t>as in the geometric model</w:t>
      </w:r>
      <w:r w:rsidR="00345D25">
        <w:t xml:space="preserve">. </w:t>
      </w:r>
      <w:r w:rsidR="00622F13">
        <w:rPr>
          <w:rFonts w:hint="eastAsia"/>
        </w:rPr>
        <w:t>T</w:t>
      </w:r>
      <w:r w:rsidR="00622F13">
        <w:t>his distribution is appropriate</w:t>
      </w:r>
      <w:r>
        <w:t xml:space="preserve"> if</w:t>
      </w:r>
      <w:r w:rsidR="00622F13">
        <w:t xml:space="preserve"> </w:t>
      </w:r>
      <w:r>
        <w:t>the gene conversion tract extends a geometric distance from each side of an initiation point.</w:t>
      </w:r>
      <w:r w:rsidR="00622F13">
        <w:t xml:space="preserve"> </w:t>
      </w:r>
      <w:r>
        <w:t>For this model w</w:t>
      </w:r>
      <w:r w:rsidR="00443CE3">
        <w:t>e have</w:t>
      </w:r>
      <w:r w:rsidR="00063E5F">
        <w:t xml:space="preserve"> </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77777777" w:rsidR="00477F9B" w:rsidRDefault="00354F71" w:rsidP="0048537D">
      <w:pPr>
        <w:jc w:val="left"/>
      </w:pPr>
      <w:r>
        <w:t>Notice that</w:t>
      </w:r>
      <w:r w:rsidR="0048537D">
        <w:t xml:space="preserve"> </w:t>
      </w:r>
      <w:r>
        <w:t xml:space="preserve">unlike when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50901279" w:rsidR="0048537D" w:rsidRDefault="00354F71" w:rsidP="0048537D">
      <w:pPr>
        <w:jc w:val="left"/>
      </w:pPr>
      <w:r>
        <w:t xml:space="preserve">Similarly to the geometric case,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gene conversion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156895">
        <w:t xml:space="preserve"> for each observed tract </w:t>
      </w:r>
      <m:oMath>
        <m:r>
          <w:rPr>
            <w:rFonts w:ascii="Cambria Math" w:hAnsi="Cambria Math"/>
          </w:rPr>
          <m:t>j</m:t>
        </m:r>
      </m:oMath>
      <w:r w:rsidR="0048537D">
        <w:t>)</w:t>
      </w:r>
      <w:r w:rsidR="0048537D">
        <w:rPr>
          <w:rFonts w:hint="eastAsia"/>
        </w:rPr>
        <w:t xml:space="preserve">. </w:t>
      </w:r>
      <w:r>
        <w:t>Thus,</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3"/>
    </w:p>
    <w:p w14:paraId="6F5A37F6" w14:textId="1596443A" w:rsidR="004B726B" w:rsidRDefault="004B726B" w:rsidP="004B726B">
      <w:pPr>
        <w:pStyle w:val="Heading2"/>
      </w:pPr>
      <w:r>
        <w:t xml:space="preserve">Simulation </w:t>
      </w:r>
      <w:r w:rsidR="00015635">
        <w:t xml:space="preserve">study </w:t>
      </w:r>
      <w:r>
        <w:t>to assess the robustness of the model</w:t>
      </w:r>
    </w:p>
    <w:p w14:paraId="4CBC5F08" w14:textId="77777777" w:rsidR="00015635" w:rsidRDefault="004B726B" w:rsidP="004B726B">
      <w:r>
        <w:t xml:space="preserve">We ran a simulation study to assess how well our model can estimate the mean tract length </w:t>
      </w:r>
      <m:oMath>
        <m:r>
          <w:rPr>
            <w:rFonts w:ascii="Cambria Math" w:hAnsi="Cambria Math"/>
          </w:rPr>
          <m:t>ϕ</m:t>
        </m:r>
      </m:oMath>
      <w:r>
        <w:t xml:space="preserve"> </w:t>
      </w:r>
      <w:r w:rsidR="000E4510">
        <w:t xml:space="preserve">when we wrongly specify the length distribution of gene conversion tracts. Recall that in our model, we allow this distribution to be geometric or a sum of two geometric random variables. </w:t>
      </w:r>
    </w:p>
    <w:p w14:paraId="7FF3EB61" w14:textId="453318A2"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p>
    <w:p w14:paraId="0EE49509" w14:textId="35DC97C9" w:rsidR="00015635" w:rsidRDefault="00015635" w:rsidP="00015635">
      <w:pPr>
        <w:pStyle w:val="ListParagraph"/>
        <w:numPr>
          <w:ilvl w:val="0"/>
          <w:numId w:val="17"/>
        </w:numPr>
      </w:pPr>
      <w:r>
        <w:t>Geometric distribution with mean 300</w:t>
      </w:r>
    </w:p>
    <w:p w14:paraId="39305350" w14:textId="2CD9B2DD" w:rsidR="00015635" w:rsidRDefault="00015635" w:rsidP="00015635">
      <w:pPr>
        <w:pStyle w:val="ListParagraph"/>
        <w:numPr>
          <w:ilvl w:val="0"/>
          <w:numId w:val="17"/>
        </w:numPr>
      </w:pPr>
      <w:r>
        <w:t>Sum of two geometric random variables, each with mean 150</w:t>
      </w:r>
    </w:p>
    <w:p w14:paraId="21CC177A" w14:textId="64299CA4" w:rsidR="00D7443B" w:rsidRDefault="00D7443B" w:rsidP="00D7443B">
      <w:pPr>
        <w:pStyle w:val="ListParagraph"/>
        <w:numPr>
          <w:ilvl w:val="0"/>
          <w:numId w:val="17"/>
        </w:numPr>
      </w:pPr>
      <w:commentRangeStart w:id="4"/>
      <w:r>
        <w:t>Sum of three geometric random variables, each with mean 100</w:t>
      </w:r>
      <w:commentRangeEnd w:id="4"/>
      <w:r w:rsidR="00AD6A7A">
        <w:rPr>
          <w:rStyle w:val="CommentReference"/>
        </w:rPr>
        <w:commentReference w:id="4"/>
      </w:r>
    </w:p>
    <w:p w14:paraId="5746135E" w14:textId="3B39E67F" w:rsidR="004A4128" w:rsidRDefault="00015635" w:rsidP="004A4128">
      <w:pPr>
        <w:pStyle w:val="ListParagraph"/>
        <w:numPr>
          <w:ilvl w:val="0"/>
          <w:numId w:val="17"/>
        </w:numPr>
      </w:pPr>
      <w:r>
        <w:lastRenderedPageBreak/>
        <w:t>Uniform distribution with support from 1 to 599</w:t>
      </w:r>
    </w:p>
    <w:p w14:paraId="3DBAEB2D" w14:textId="6DE48240" w:rsidR="00605398" w:rsidRDefault="009B295A" w:rsidP="00605398">
      <w:r>
        <w:rPr>
          <w:noProof/>
        </w:rPr>
        <w:drawing>
          <wp:inline distT="0" distB="0" distL="0" distR="0" wp14:anchorId="7265C22A" wp14:editId="64A1A2CF">
            <wp:extent cx="5943600" cy="4245610"/>
            <wp:effectExtent l="0" t="0" r="0" b="0"/>
            <wp:docPr id="1571473804"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3804" name="Picture 4" descr="A graph with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60B22922" w:rsidR="00B93D04" w:rsidRPr="00B93D04" w:rsidRDefault="00B93D04" w:rsidP="004B726B">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Density of the four distributions used to simulate gene conversion tract lengths. </w:t>
      </w:r>
      <w:r>
        <w:rPr>
          <w:rFonts w:ascii="Calibri" w:hAnsi="Calibri" w:cs="Calibri"/>
          <w:iCs/>
          <w:szCs w:val="22"/>
        </w:rPr>
        <w:t>We plot the density of the geometric distribution, the sum of two geometric random variables, the negative binomial distribution, and the uniform distribution used to simulate the gene conversion tract lengths in the simulation study.</w:t>
      </w:r>
    </w:p>
    <w:p w14:paraId="2D22DDE3" w14:textId="6969280A" w:rsidR="00635CD4" w:rsidRDefault="00015635" w:rsidP="004B726B">
      <w:r>
        <w:t xml:space="preserve">All four distributions have mean 300. </w:t>
      </w:r>
      <w:r w:rsidR="0091128E">
        <w:t>In Figure 2, we plot the four distributions that we use to simulate the gene conversion tracts.</w:t>
      </w:r>
      <w:r w:rsidR="00497AC3">
        <w:t xml:space="preserve"> </w:t>
      </w:r>
      <w:r>
        <w:t xml:space="preserve">We simulate the observed tract lengths by simulating gene conversion tracts on individuals from the </w:t>
      </w:r>
      <w:r w:rsidR="00635CD4">
        <w:t xml:space="preserve">coalescent simulation (see the section, </w:t>
      </w:r>
      <w:r w:rsidR="00635CD4" w:rsidRPr="00635CD4">
        <w:t>Simulation study using a coalescent model with gene conversions</w:t>
      </w:r>
      <w:r w:rsidR="00635CD4">
        <w:t xml:space="preserve">). Recall that in each replicate of </w:t>
      </w:r>
      <w:r w:rsidR="00A543FA">
        <w:t>the coalescent simulation</w:t>
      </w:r>
      <w:r w:rsidR="00635CD4">
        <w:t xml:space="preserve">, </w:t>
      </w:r>
      <w:r w:rsidR="00635CD4" w:rsidRPr="00635CD4">
        <w:t xml:space="preserve">we simulated genotype data for 125,000 individuals </w:t>
      </w:r>
      <w:r w:rsidR="00635CD4">
        <w:t>within</w:t>
      </w:r>
      <w:r w:rsidR="00635CD4" w:rsidRPr="00635CD4">
        <w:t xml:space="preserve"> a 10 Mb region.</w:t>
      </w:r>
      <w:r w:rsidR="00635CD4">
        <w:t xml:space="preserve"> </w:t>
      </w:r>
      <w:r w:rsidR="0072327B">
        <w:t>To simulate the observed tract lengths,</w:t>
      </w:r>
      <w:r w:rsidR="006454B1">
        <w:t xml:space="preserve"> we only use </w:t>
      </w:r>
      <w:r w:rsidR="006454B1">
        <w:lastRenderedPageBreak/>
        <w:t>the genotype data from the first replicat</w:t>
      </w:r>
      <w:r w:rsidR="00A543FA">
        <w:t>e</w:t>
      </w:r>
      <w:r w:rsidR="0072327B">
        <w:t xml:space="preserve"> of the coalescent simulation</w:t>
      </w:r>
      <w:r w:rsidR="006454B1">
        <w:t xml:space="preserve">. </w:t>
      </w:r>
      <w:r w:rsidR="00635CD4">
        <w:t>We used the following procedure to simulate the observed tract lengths:</w:t>
      </w:r>
    </w:p>
    <w:p w14:paraId="5FAE48A5" w14:textId="51D58A3C" w:rsidR="00635CD4" w:rsidRDefault="00635CD4" w:rsidP="00635CD4">
      <w:pPr>
        <w:pStyle w:val="ListParagraph"/>
        <w:numPr>
          <w:ilvl w:val="0"/>
          <w:numId w:val="18"/>
        </w:numPr>
      </w:pPr>
      <w:r>
        <w:t xml:space="preserve">We </w:t>
      </w:r>
      <w:r w:rsidR="001436EC">
        <w:t xml:space="preserve">sample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436EC">
        <w:t xml:space="preserve"> individuals with replacement from the </w:t>
      </w:r>
      <w:r w:rsidR="001436EC" w:rsidRPr="00635CD4">
        <w:t>125,000</w:t>
      </w:r>
      <w:r w:rsidR="001436EC">
        <w:t xml:space="preserve"> individuals</w:t>
      </w:r>
    </w:p>
    <w:p w14:paraId="00772800" w14:textId="7270B37C" w:rsidR="001436EC" w:rsidRDefault="00CD0EFA" w:rsidP="00CD0EFA">
      <w:pPr>
        <w:pStyle w:val="ListParagraph"/>
        <w:numPr>
          <w:ilvl w:val="0"/>
          <w:numId w:val="18"/>
        </w:numPr>
      </w:pPr>
      <w:r>
        <w:t xml:space="preserve">For each individual sampled with replacement, we sample a starting position for the gene conversion tract uniformly on the </w:t>
      </w:r>
      <w:r w:rsidRPr="00635CD4">
        <w:t>10 Mb region</w:t>
      </w:r>
      <w:r>
        <w:t xml:space="preserve">, and draw the length of the gene conversion tract from </w:t>
      </w:r>
      <w:r w:rsidR="00D570C7">
        <w:t>one of the four distributions listed above</w:t>
      </w:r>
    </w:p>
    <w:p w14:paraId="461DEE61" w14:textId="1CFA43CD" w:rsidR="00D570C7" w:rsidRDefault="00CD0EFA" w:rsidP="00635CD4">
      <w:pPr>
        <w:pStyle w:val="ListParagraph"/>
        <w:numPr>
          <w:ilvl w:val="0"/>
          <w:numId w:val="18"/>
        </w:numPr>
      </w:pPr>
      <w:r>
        <w:t xml:space="preserve">For each individual sampled with replacement, we recover a single observed tract length by </w:t>
      </w:r>
      <w:r w:rsidR="00E31AF1">
        <w:t>calculating</w:t>
      </w:r>
      <w:r>
        <w:t xml:space="preserve"> the length spanning the furthest heterozygous markers within the gene conversion tract </w:t>
      </w:r>
      <w:r w:rsidR="00E31AF1">
        <w:t>simulated in step 2</w:t>
      </w:r>
    </w:p>
    <w:p w14:paraId="7B93350A" w14:textId="46986432" w:rsidR="001A7AF7" w:rsidRDefault="00E31AF1" w:rsidP="00E31AF1">
      <w:r>
        <w:t xml:space="preserve">This procedure results </w:t>
      </w:r>
      <w:commentRangeStart w:id="5"/>
      <w:commentRangeStart w:id="6"/>
      <w:r>
        <w:t xml:space="preserve">in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(some of which may be length zero, because no heterozygous markers existed within the simulated gene conversion tract). For each of the four distributions listed earlier, we repeated this procedure </w:t>
      </w:r>
      <w:commentRangeStart w:id="7"/>
      <w:r>
        <w:t xml:space="preserve">20 </w:t>
      </w:r>
      <w:commentRangeEnd w:id="7"/>
      <w:r>
        <w:rPr>
          <w:rStyle w:val="CommentReference"/>
        </w:rPr>
        <w:commentReference w:id="7"/>
      </w:r>
      <w:r>
        <w:t xml:space="preserve">times to obtain 20 sets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Then, we fit both of our models </w:t>
      </w:r>
      <w:r w:rsidR="00C76C8B">
        <w:t xml:space="preserve">(assuming that gene conversion tract lengths are geometric, or a sum of two geometric random variables), to each set of </w:t>
      </w:r>
      <w:ins w:id="8" w:author="sguy" w:date="2024-10-25T10:33:00Z">
        <w:r w:rsidR="00F26E5C">
          <w:t xml:space="preserve">non-zero </w:t>
        </w:r>
      </w:ins>
      <w:r w:rsidR="00C76C8B">
        <w:t>observed tract lengths</w:t>
      </w:r>
      <w:commentRangeEnd w:id="5"/>
      <w:r w:rsidR="00F26E5C">
        <w:rPr>
          <w:rStyle w:val="CommentReference"/>
        </w:rPr>
        <w:commentReference w:id="5"/>
      </w:r>
      <w:commentRangeEnd w:id="6"/>
      <w:r w:rsidR="00D7443B">
        <w:rPr>
          <w:rStyle w:val="CommentReference"/>
        </w:rPr>
        <w:commentReference w:id="6"/>
      </w:r>
      <w:r w:rsidR="00C76C8B">
        <w:t xml:space="preserve">, obtaining both a point estimate and a 95% confidence interval of </w:t>
      </w:r>
      <m:oMath>
        <m:r>
          <w:rPr>
            <w:rFonts w:ascii="Cambria Math" w:hAnsi="Cambria Math"/>
          </w:rPr>
          <m:t>ϕ</m:t>
        </m:r>
      </m:oMath>
      <w:r w:rsidR="00C76C8B">
        <w:t xml:space="preserve">. </w:t>
      </w:r>
      <w:r w:rsidR="00F3045D">
        <w:t>The</w:t>
      </w:r>
      <w:r w:rsidR="00C76C8B">
        <w:t xml:space="preserve"> </w:t>
      </w:r>
      <w:r w:rsidR="00F3045D">
        <w:t>empirical bias of our estimates using each of our models</w:t>
      </w:r>
      <w:r w:rsidR="00C76C8B">
        <w:t xml:space="preserve"> are shown in Table 1. </w:t>
      </w:r>
      <w:r w:rsidR="00F3045D">
        <w:t xml:space="preserve">Under the AIC selected setting, we use the estimate from the model with the smaller AIC value in each of the 20 replicates, and calculate the empirical bias by subtracting 300 from the sample mean of the estimates </w:t>
      </w:r>
      <w:r w:rsidR="001A2EBD">
        <w:t xml:space="preserve">obtained this way. </w:t>
      </w:r>
    </w:p>
    <w:tbl>
      <w:tblPr>
        <w:tblStyle w:val="TableGrid"/>
        <w:tblpPr w:leftFromText="180" w:rightFromText="180" w:vertAnchor="text" w:horzAnchor="margin" w:tblpY="245"/>
        <w:tblW w:w="0" w:type="auto"/>
        <w:tblLook w:val="04A0" w:firstRow="1" w:lastRow="0" w:firstColumn="1" w:lastColumn="0" w:noHBand="0" w:noVBand="1"/>
      </w:tblPr>
      <w:tblGrid>
        <w:gridCol w:w="1863"/>
        <w:gridCol w:w="1817"/>
        <w:gridCol w:w="2430"/>
        <w:gridCol w:w="1355"/>
      </w:tblGrid>
      <w:tr w:rsidR="00623358" w:rsidRPr="00094F5D" w14:paraId="0371631B" w14:textId="77777777" w:rsidTr="00623358">
        <w:tc>
          <w:tcPr>
            <w:tcW w:w="1863" w:type="dxa"/>
            <w:vMerge w:val="restart"/>
          </w:tcPr>
          <w:p w14:paraId="5EE5F4C1" w14:textId="77777777" w:rsidR="00623358" w:rsidRPr="00094F5D" w:rsidRDefault="00623358" w:rsidP="00623358"/>
        </w:tc>
        <w:tc>
          <w:tcPr>
            <w:tcW w:w="5602" w:type="dxa"/>
            <w:gridSpan w:val="3"/>
          </w:tcPr>
          <w:p w14:paraId="36EB7EEF" w14:textId="77777777" w:rsidR="00623358" w:rsidRPr="00094F5D" w:rsidRDefault="00623358" w:rsidP="00623358">
            <w:pPr>
              <w:jc w:val="center"/>
            </w:pPr>
            <w:r w:rsidRPr="00094F5D">
              <w:rPr>
                <w:rFonts w:hint="eastAsia"/>
                <w:lang w:eastAsia="ja-JP"/>
              </w:rPr>
              <w:t>Bias</w:t>
            </w:r>
          </w:p>
        </w:tc>
      </w:tr>
      <w:tr w:rsidR="00623358" w:rsidRPr="00094F5D" w14:paraId="695CCC52" w14:textId="77777777" w:rsidTr="00623358">
        <w:tc>
          <w:tcPr>
            <w:tcW w:w="1863" w:type="dxa"/>
            <w:vMerge/>
          </w:tcPr>
          <w:p w14:paraId="2FF3B2D7" w14:textId="77777777" w:rsidR="00623358" w:rsidRPr="00094F5D" w:rsidRDefault="00623358" w:rsidP="00623358"/>
        </w:tc>
        <w:tc>
          <w:tcPr>
            <w:tcW w:w="1817" w:type="dxa"/>
          </w:tcPr>
          <w:p w14:paraId="3320A624" w14:textId="77777777" w:rsidR="00623358" w:rsidRPr="00094F5D" w:rsidRDefault="00623358" w:rsidP="00623358">
            <w:r w:rsidRPr="00094F5D">
              <w:rPr>
                <w:rFonts w:hint="eastAsia"/>
                <w:lang w:eastAsia="ja-JP"/>
              </w:rPr>
              <w:t>Geometric model</w:t>
            </w:r>
          </w:p>
        </w:tc>
        <w:tc>
          <w:tcPr>
            <w:tcW w:w="2430" w:type="dxa"/>
          </w:tcPr>
          <w:p w14:paraId="06928A39" w14:textId="77777777" w:rsidR="00623358" w:rsidRPr="00094F5D" w:rsidRDefault="00623358" w:rsidP="00623358">
            <w:r w:rsidRPr="00094F5D">
              <w:rPr>
                <w:rFonts w:hint="eastAsia"/>
                <w:lang w:eastAsia="ja-JP"/>
              </w:rPr>
              <w:t>Sum of geometric model</w:t>
            </w:r>
          </w:p>
        </w:tc>
        <w:tc>
          <w:tcPr>
            <w:tcW w:w="135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623358">
        <w:tc>
          <w:tcPr>
            <w:tcW w:w="1863" w:type="dxa"/>
          </w:tcPr>
          <w:p w14:paraId="28174CE4" w14:textId="77777777" w:rsidR="00623358" w:rsidRPr="00094F5D" w:rsidRDefault="00623358" w:rsidP="00623358">
            <w:r w:rsidRPr="00094F5D">
              <w:rPr>
                <w:rFonts w:hint="eastAsia"/>
                <w:lang w:eastAsia="ja-JP"/>
              </w:rPr>
              <w:t>Geometric</w:t>
            </w:r>
          </w:p>
        </w:tc>
        <w:tc>
          <w:tcPr>
            <w:tcW w:w="1817" w:type="dxa"/>
          </w:tcPr>
          <w:p w14:paraId="20ED9E46" w14:textId="0A9F2693" w:rsidR="00623358" w:rsidRPr="00094F5D" w:rsidRDefault="00032167" w:rsidP="00032167">
            <w:pPr>
              <w:jc w:val="center"/>
            </w:pPr>
            <w:r w:rsidRPr="00032167">
              <w:t>-14.1</w:t>
            </w:r>
          </w:p>
        </w:tc>
        <w:tc>
          <w:tcPr>
            <w:tcW w:w="2430" w:type="dxa"/>
          </w:tcPr>
          <w:p w14:paraId="56DD95EE" w14:textId="57D4D4AA" w:rsidR="00623358" w:rsidRPr="00094F5D" w:rsidRDefault="00D41EB8" w:rsidP="00D41EB8">
            <w:pPr>
              <w:jc w:val="center"/>
            </w:pPr>
            <w:r w:rsidRPr="00D41EB8">
              <w:t>116.3</w:t>
            </w:r>
          </w:p>
        </w:tc>
        <w:tc>
          <w:tcPr>
            <w:tcW w:w="1355" w:type="dxa"/>
          </w:tcPr>
          <w:p w14:paraId="0DCDB5A3" w14:textId="32F46889" w:rsidR="00623358" w:rsidRPr="00094F5D" w:rsidRDefault="001A7AF7" w:rsidP="001A7AF7">
            <w:pPr>
              <w:jc w:val="center"/>
            </w:pPr>
            <w:r>
              <w:t>-</w:t>
            </w:r>
            <w:r w:rsidRPr="001A7AF7">
              <w:t>7.</w:t>
            </w:r>
            <w:r>
              <w:t>5</w:t>
            </w:r>
          </w:p>
        </w:tc>
      </w:tr>
      <w:tr w:rsidR="00623358" w:rsidRPr="00094F5D" w14:paraId="27E63E4F" w14:textId="77777777" w:rsidTr="00623358">
        <w:tc>
          <w:tcPr>
            <w:tcW w:w="1863" w:type="dxa"/>
          </w:tcPr>
          <w:p w14:paraId="3CBE5B7F" w14:textId="77777777" w:rsidR="00623358" w:rsidRPr="00094F5D" w:rsidRDefault="00623358" w:rsidP="00623358">
            <w:r w:rsidRPr="00094F5D">
              <w:rPr>
                <w:rFonts w:hint="eastAsia"/>
                <w:lang w:eastAsia="ja-JP"/>
              </w:rPr>
              <w:t>Sum of geometric</w:t>
            </w:r>
          </w:p>
        </w:tc>
        <w:tc>
          <w:tcPr>
            <w:tcW w:w="1817" w:type="dxa"/>
          </w:tcPr>
          <w:p w14:paraId="6DC8EA4E" w14:textId="6FFF7C9F" w:rsidR="00623358" w:rsidRPr="00094F5D" w:rsidRDefault="00032167" w:rsidP="00623358">
            <w:pPr>
              <w:jc w:val="center"/>
            </w:pPr>
            <w:r w:rsidRPr="00032167">
              <w:t>-103.</w:t>
            </w:r>
            <w:r>
              <w:t>3</w:t>
            </w:r>
          </w:p>
        </w:tc>
        <w:tc>
          <w:tcPr>
            <w:tcW w:w="2430" w:type="dxa"/>
          </w:tcPr>
          <w:p w14:paraId="4FD1A400" w14:textId="3295A1CA" w:rsidR="00623358" w:rsidRPr="00094F5D" w:rsidRDefault="00D41EB8" w:rsidP="00D41EB8">
            <w:pPr>
              <w:jc w:val="center"/>
            </w:pPr>
            <w:r w:rsidRPr="00D41EB8">
              <w:t>-9.</w:t>
            </w:r>
            <w:r>
              <w:t>6</w:t>
            </w:r>
          </w:p>
        </w:tc>
        <w:tc>
          <w:tcPr>
            <w:tcW w:w="1355" w:type="dxa"/>
          </w:tcPr>
          <w:p w14:paraId="388D82F8" w14:textId="47B57AB1" w:rsidR="00623358" w:rsidRPr="00094F5D" w:rsidRDefault="001A7AF7" w:rsidP="001A7AF7">
            <w:pPr>
              <w:jc w:val="center"/>
            </w:pPr>
            <w:r w:rsidRPr="001A7AF7">
              <w:t>-28.</w:t>
            </w:r>
            <w:r>
              <w:t>5</w:t>
            </w:r>
          </w:p>
        </w:tc>
      </w:tr>
      <w:tr w:rsidR="00623358" w:rsidRPr="00094F5D" w14:paraId="14701DCD" w14:textId="77777777" w:rsidTr="00623358">
        <w:tc>
          <w:tcPr>
            <w:tcW w:w="1863" w:type="dxa"/>
          </w:tcPr>
          <w:p w14:paraId="46F12AD9" w14:textId="77777777" w:rsidR="00623358" w:rsidRPr="00094F5D" w:rsidRDefault="00623358" w:rsidP="00623358">
            <w:r w:rsidRPr="00094F5D">
              <w:rPr>
                <w:rFonts w:hint="eastAsia"/>
                <w:lang w:eastAsia="ja-JP"/>
              </w:rPr>
              <w:lastRenderedPageBreak/>
              <w:t>Negative binomial</w:t>
            </w:r>
          </w:p>
        </w:tc>
        <w:tc>
          <w:tcPr>
            <w:tcW w:w="1817" w:type="dxa"/>
          </w:tcPr>
          <w:p w14:paraId="2D05B1FB" w14:textId="443BEE31" w:rsidR="00623358" w:rsidRPr="00094F5D" w:rsidRDefault="00032167" w:rsidP="00032167">
            <w:pPr>
              <w:jc w:val="center"/>
            </w:pPr>
            <w:r w:rsidRPr="00032167">
              <w:t>-132.5</w:t>
            </w:r>
          </w:p>
        </w:tc>
        <w:tc>
          <w:tcPr>
            <w:tcW w:w="2430" w:type="dxa"/>
          </w:tcPr>
          <w:p w14:paraId="4E89BA48" w14:textId="3A8B44C3" w:rsidR="00623358" w:rsidRPr="00094F5D" w:rsidRDefault="00D41EB8" w:rsidP="00D41EB8">
            <w:pPr>
              <w:jc w:val="center"/>
            </w:pPr>
            <w:r w:rsidRPr="00D41EB8">
              <w:t>-52.9</w:t>
            </w:r>
          </w:p>
        </w:tc>
        <w:tc>
          <w:tcPr>
            <w:tcW w:w="1355" w:type="dxa"/>
          </w:tcPr>
          <w:p w14:paraId="14BC3CAB" w14:textId="55EF9BF0" w:rsidR="00623358" w:rsidRPr="00094F5D" w:rsidRDefault="001A7AF7" w:rsidP="001A7AF7">
            <w:pPr>
              <w:jc w:val="center"/>
            </w:pPr>
            <w:r w:rsidRPr="001A7AF7">
              <w:t>-52.9</w:t>
            </w:r>
          </w:p>
        </w:tc>
      </w:tr>
      <w:tr w:rsidR="00623358" w:rsidRPr="00094F5D" w14:paraId="29C54BE5" w14:textId="77777777" w:rsidTr="00623358">
        <w:tc>
          <w:tcPr>
            <w:tcW w:w="1863" w:type="dxa"/>
          </w:tcPr>
          <w:p w14:paraId="2C34055C" w14:textId="77777777" w:rsidR="00623358" w:rsidRPr="00094F5D" w:rsidRDefault="00623358" w:rsidP="00623358">
            <w:r w:rsidRPr="00094F5D">
              <w:rPr>
                <w:rFonts w:hint="eastAsia"/>
                <w:lang w:eastAsia="ja-JP"/>
              </w:rPr>
              <w:t>Uniform</w:t>
            </w:r>
          </w:p>
        </w:tc>
        <w:tc>
          <w:tcPr>
            <w:tcW w:w="1817" w:type="dxa"/>
          </w:tcPr>
          <w:p w14:paraId="62BE63A0" w14:textId="355AAD9D" w:rsidR="00623358" w:rsidRPr="00094F5D" w:rsidRDefault="00032167" w:rsidP="00032167">
            <w:pPr>
              <w:jc w:val="center"/>
            </w:pPr>
            <w:r w:rsidRPr="00032167">
              <w:t>-143.</w:t>
            </w:r>
            <w:r>
              <w:t>9</w:t>
            </w:r>
          </w:p>
        </w:tc>
        <w:tc>
          <w:tcPr>
            <w:tcW w:w="2430" w:type="dxa"/>
          </w:tcPr>
          <w:p w14:paraId="3D00DCB9" w14:textId="3944FDFD" w:rsidR="00623358" w:rsidRPr="00094F5D" w:rsidRDefault="00D41EB8" w:rsidP="00D41EB8">
            <w:pPr>
              <w:jc w:val="center"/>
            </w:pPr>
            <w:r w:rsidRPr="00D41EB8">
              <w:t>-71.0</w:t>
            </w:r>
          </w:p>
        </w:tc>
        <w:tc>
          <w:tcPr>
            <w:tcW w:w="1355" w:type="dxa"/>
          </w:tcPr>
          <w:p w14:paraId="652078C0" w14:textId="675055C9" w:rsidR="00623358" w:rsidRPr="00094F5D" w:rsidRDefault="00623358" w:rsidP="001A7AF7">
            <w:pPr>
              <w:jc w:val="center"/>
            </w:pPr>
            <w:r w:rsidRPr="00C334C2">
              <w:t>-</w:t>
            </w:r>
            <w:r w:rsidR="001A7AF7" w:rsidRPr="001A7AF7">
              <w:t>71.0</w:t>
            </w:r>
          </w:p>
        </w:tc>
      </w:tr>
    </w:tbl>
    <w:p w14:paraId="5C15871C" w14:textId="0D37FB2E" w:rsidR="00015635" w:rsidRDefault="00015635" w:rsidP="004B726B"/>
    <w:p w14:paraId="03E4C86E" w14:textId="77777777" w:rsidR="001A7AF7" w:rsidRDefault="001A7AF7" w:rsidP="004B726B"/>
    <w:p w14:paraId="018DE801" w14:textId="147AC61B" w:rsidR="001A7AF7" w:rsidRDefault="001A7AF7" w:rsidP="001A7AF7">
      <w:pPr>
        <w:rPr>
          <w:rFonts w:ascii="Calibri" w:hAnsi="Calibri" w:cs="Calibri"/>
          <w:iCs/>
          <w:szCs w:val="22"/>
        </w:rPr>
      </w:pPr>
      <w:commentRangeStart w:id="9"/>
      <w:r>
        <w:rPr>
          <w:rFonts w:ascii="Calibri" w:hAnsi="Calibri" w:cs="Calibri"/>
          <w:b/>
          <w:bCs/>
          <w:szCs w:val="22"/>
        </w:rPr>
        <w:t xml:space="preserve">Table </w:t>
      </w:r>
      <w:commentRangeEnd w:id="9"/>
      <w:r w:rsidR="00F26E5C">
        <w:rPr>
          <w:rStyle w:val="CommentReference"/>
        </w:rPr>
        <w:commentReference w:id="9"/>
      </w:r>
      <w:r>
        <w:rPr>
          <w:rFonts w:ascii="Calibri" w:hAnsi="Calibri" w:cs="Calibri"/>
          <w:b/>
          <w:bCs/>
          <w:szCs w:val="22"/>
        </w:rPr>
        <w:t>1.</w:t>
      </w:r>
      <w:r>
        <w:rPr>
          <w:rFonts w:ascii="Calibri" w:hAnsi="Calibri" w:cs="Calibri"/>
          <w:b/>
          <w:bCs/>
          <w:iCs/>
          <w:szCs w:val="22"/>
        </w:rPr>
        <w:t xml:space="preserve"> Bias from simulation study to assess robustness. </w:t>
      </w:r>
      <w:r>
        <w:rPr>
          <w:rFonts w:ascii="Calibri" w:hAnsi="Calibri" w:cs="Calibri"/>
          <w:iCs/>
          <w:szCs w:val="22"/>
        </w:rPr>
        <w:t xml:space="preserve">We report the empirical bias of our estimates across 20 replicates for each distribution used to simulate the gene conversion tract lengths and for each model. Under the AIC selected setting, </w:t>
      </w:r>
      <w:r>
        <w:t>we use the estimate from the model with the smaller AIC value in each of the 20 replicates.</w:t>
      </w:r>
    </w:p>
    <w:p w14:paraId="6E5EE29C" w14:textId="37A298E6" w:rsidR="001A7AF7" w:rsidRPr="001A7AF7" w:rsidRDefault="001A7AF7" w:rsidP="001A7AF7">
      <w:pPr>
        <w:rPr>
          <w:rFonts w:ascii="Calibri" w:hAnsi="Calibri" w:cs="Calibri"/>
          <w:iCs/>
          <w:szCs w:val="22"/>
        </w:rPr>
      </w:pPr>
      <w:r>
        <w:rPr>
          <w:rFonts w:ascii="Calibri" w:hAnsi="Calibri" w:cs="Calibri"/>
          <w:iCs/>
          <w:szCs w:val="22"/>
        </w:rPr>
        <w:t>We also calculated the coverage of our 95% 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w:r w:rsidR="001C285B">
        <w:rPr>
          <w:rFonts w:ascii="Calibri" w:hAnsi="Calibri" w:cs="Calibri"/>
          <w:iCs/>
          <w:szCs w:val="22"/>
        </w:rPr>
        <w:t>gene conversion tract lengths 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mean of 300 in 11 out of the 20 replicates</w:t>
      </w:r>
      <w:r w:rsidR="001C285B">
        <w:rPr>
          <w:rFonts w:ascii="Calibri" w:hAnsi="Calibri" w:cs="Calibri"/>
          <w:iCs/>
          <w:szCs w:val="22"/>
        </w:rPr>
        <w:t xml:space="preserve"> (55% of the time)</w:t>
      </w:r>
      <w:r w:rsidR="006F04A9">
        <w:rPr>
          <w:rFonts w:ascii="Calibri" w:hAnsi="Calibri" w:cs="Calibri"/>
          <w:iCs/>
          <w:szCs w:val="22"/>
        </w:rPr>
        <w:t>. Similarly,</w:t>
      </w:r>
      <w:r w:rsidR="001C285B">
        <w:rPr>
          <w:rFonts w:ascii="Calibri" w:hAnsi="Calibri" w:cs="Calibri"/>
          <w:iCs/>
          <w:szCs w:val="22"/>
        </w:rPr>
        <w:t xml:space="preserve"> when the gene conversion tracts were simulated from a sum of two geometric random variables, and we specified gene conversion tract lengths to be this distribution in our model, our 95% confidence intervals covered the true mean of 300 in 14 out of the 20 replicates (70% of the time).</w:t>
      </w:r>
      <w:r w:rsidR="00FB45C7">
        <w:rPr>
          <w:rFonts w:ascii="Calibri" w:hAnsi="Calibri" w:cs="Calibri"/>
          <w:iCs/>
          <w:szCs w:val="22"/>
        </w:rPr>
        <w:t xml:space="preserve"> When we simulated the gene conversion tract lengths from either a negative binomial distribution or a uniform distribution, the coverage was 0% for </w:t>
      </w:r>
      <w:r w:rsidR="00F561DE">
        <w:rPr>
          <w:rFonts w:ascii="Calibri" w:hAnsi="Calibri" w:cs="Calibri"/>
          <w:iCs/>
          <w:szCs w:val="22"/>
        </w:rPr>
        <w:t>both settings of the model.</w:t>
      </w:r>
    </w:p>
    <w:sectPr w:rsidR="001A7AF7"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obu Masaki" w:date="2024-11-13T10:05:00Z" w:initials="NM">
    <w:p w14:paraId="31425041" w14:textId="77777777" w:rsidR="00B719A8" w:rsidRDefault="00B719A8" w:rsidP="00B719A8">
      <w:pPr>
        <w:jc w:val="left"/>
      </w:pPr>
      <w:r>
        <w:rPr>
          <w:rStyle w:val="CommentReference"/>
        </w:rPr>
        <w:annotationRef/>
      </w:r>
      <w:r>
        <w:rPr>
          <w:color w:val="000000"/>
          <w:sz w:val="20"/>
          <w:szCs w:val="20"/>
        </w:rPr>
        <w:t>Confirm citation</w:t>
      </w:r>
    </w:p>
  </w:comment>
  <w:comment w:id="2" w:author="Nobu Masaki" w:date="2024-10-27T18:38:00Z" w:initials="NM">
    <w:p w14:paraId="1CF723E5" w14:textId="645E63CB" w:rsidR="0016369E" w:rsidRDefault="0016369E" w:rsidP="0016369E">
      <w:pPr>
        <w:jc w:val="left"/>
      </w:pPr>
      <w:r>
        <w:rPr>
          <w:rStyle w:val="CommentReference"/>
        </w:rPr>
        <w:annotationRef/>
      </w:r>
      <w:r>
        <w:rPr>
          <w:color w:val="000000"/>
          <w:sz w:val="20"/>
          <w:szCs w:val="20"/>
        </w:rPr>
        <w:t>Add this</w:t>
      </w:r>
    </w:p>
  </w:comment>
  <w:comment w:id="4" w:author="Nobu Masaki" w:date="2024-10-31T12:58:00Z" w:initials="NM">
    <w:p w14:paraId="55570D78" w14:textId="77777777" w:rsidR="00AD6A7A" w:rsidRDefault="00AD6A7A" w:rsidP="00AD6A7A">
      <w:pPr>
        <w:jc w:val="left"/>
      </w:pPr>
      <w:r>
        <w:rPr>
          <w:rStyle w:val="CommentReference"/>
        </w:rPr>
        <w:annotationRef/>
      </w:r>
      <w:r>
        <w:rPr>
          <w:color w:val="000000"/>
          <w:sz w:val="20"/>
          <w:szCs w:val="20"/>
        </w:rPr>
        <w:t>Need to make this change</w:t>
      </w:r>
    </w:p>
  </w:comment>
  <w:comment w:id="7" w:author="Nobu Masaki" w:date="2024-10-23T20:56:00Z" w:initials="NM">
    <w:p w14:paraId="24DB158C" w14:textId="1B55E3C4" w:rsidR="004E7A67" w:rsidRDefault="004E7A67" w:rsidP="00E31AF1">
      <w:pPr>
        <w:jc w:val="left"/>
      </w:pPr>
      <w:r>
        <w:rPr>
          <w:rStyle w:val="CommentReference"/>
        </w:rPr>
        <w:annotationRef/>
      </w:r>
      <w:r>
        <w:rPr>
          <w:color w:val="000000"/>
          <w:sz w:val="20"/>
          <w:szCs w:val="20"/>
        </w:rPr>
        <w:t>Actually, I have 100 replicates for each distribution, but the estimation was taking longer than expected. I can run the estimation on all 100 replicates later.</w:t>
      </w:r>
    </w:p>
  </w:comment>
  <w:comment w:id="5" w:author="sguy" w:date="2024-10-25T10:33:00Z" w:initials="s">
    <w:p w14:paraId="104F63B3" w14:textId="41B82BB1" w:rsidR="00F26E5C" w:rsidRDefault="00F26E5C">
      <w:pPr>
        <w:pStyle w:val="CommentText"/>
      </w:pPr>
      <w:r>
        <w:rPr>
          <w:rStyle w:val="CommentReference"/>
        </w:rPr>
        <w:annotationRef/>
      </w:r>
      <w:r>
        <w:t>It needs to be clear that you don’t actually use the number of zero-length tracts (which would not usually be observable). Also, let the reader know whether tracts of length 1 are included in the estimation.</w:t>
      </w:r>
    </w:p>
  </w:comment>
  <w:comment w:id="6" w:author="Nobu Masaki" w:date="2024-10-31T12:57:00Z" w:initials="NM">
    <w:p w14:paraId="1AC2027E" w14:textId="77777777" w:rsidR="00D7443B" w:rsidRDefault="00D7443B" w:rsidP="00D7443B">
      <w:pPr>
        <w:jc w:val="left"/>
      </w:pPr>
      <w:r>
        <w:rPr>
          <w:rStyle w:val="CommentReference"/>
        </w:rPr>
        <w:annotationRef/>
      </w:r>
      <w:r>
        <w:rPr>
          <w:color w:val="000000"/>
          <w:sz w:val="20"/>
          <w:szCs w:val="20"/>
        </w:rPr>
        <w:t>I will work on this more. I am also removing singleton tracts here.</w:t>
      </w:r>
    </w:p>
  </w:comment>
  <w:comment w:id="9" w:author="sguy" w:date="2024-10-25T10:36:00Z" w:initials="s">
    <w:p w14:paraId="308B6128" w14:textId="1FD08518" w:rsidR="00F26E5C" w:rsidRDefault="00F26E5C">
      <w:pPr>
        <w:pStyle w:val="CommentText"/>
      </w:pPr>
      <w:r>
        <w:rPr>
          <w:rStyle w:val="CommentReference"/>
        </w:rPr>
        <w:annotationRef/>
      </w:r>
      <w:r>
        <w:t>It would be helpful to include standard errors in the table, or if they are small to state in the legend e.g. all standard errors are less than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425041" w15:done="0"/>
  <w15:commentEx w15:paraId="1CF723E5" w15:done="0"/>
  <w15:commentEx w15:paraId="55570D78" w15:done="0"/>
  <w15:commentEx w15:paraId="24DB158C" w15:done="0"/>
  <w15:commentEx w15:paraId="104F63B3" w15:done="0"/>
  <w15:commentEx w15:paraId="1AC2027E" w15:paraIdParent="104F63B3" w15:done="0"/>
  <w15:commentEx w15:paraId="308B6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CA9F15" w16cex:dateUtc="2024-11-13T18:05:00Z"/>
  <w16cex:commentExtensible w16cex:durableId="5AC6701E" w16cex:dateUtc="2024-10-28T01:38:00Z"/>
  <w16cex:commentExtensible w16cex:durableId="14EE1EC3" w16cex:dateUtc="2024-10-31T19:58:00Z"/>
  <w16cex:commentExtensible w16cex:durableId="070FC71D" w16cex:dateUtc="2024-10-24T03:56:00Z"/>
  <w16cex:commentExtensible w16cex:durableId="413752E3" w16cex:dateUtc="2024-10-31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425041" w16cid:durableId="72CA9F15"/>
  <w16cid:commentId w16cid:paraId="1CF723E5" w16cid:durableId="5AC6701E"/>
  <w16cid:commentId w16cid:paraId="55570D78" w16cid:durableId="14EE1EC3"/>
  <w16cid:commentId w16cid:paraId="24DB158C" w16cid:durableId="070FC71D"/>
  <w16cid:commentId w16cid:paraId="104F63B3" w16cid:durableId="2AC5F286"/>
  <w16cid:commentId w16cid:paraId="1AC2027E" w16cid:durableId="413752E3"/>
  <w16cid:commentId w16cid:paraId="308B6128" w16cid:durableId="2AC5F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8F58E" w14:textId="77777777" w:rsidR="004669CE" w:rsidRDefault="004669CE" w:rsidP="00EE1442">
      <w:pPr>
        <w:spacing w:after="0" w:line="240" w:lineRule="auto"/>
      </w:pPr>
      <w:r>
        <w:separator/>
      </w:r>
    </w:p>
  </w:endnote>
  <w:endnote w:type="continuationSeparator" w:id="0">
    <w:p w14:paraId="7EA9318D" w14:textId="77777777" w:rsidR="004669CE" w:rsidRDefault="004669CE"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7A67" w:rsidRDefault="004E7A67">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7A67" w:rsidRDefault="004E7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D8F01" w14:textId="77777777" w:rsidR="004669CE" w:rsidRDefault="004669CE" w:rsidP="00EE1442">
      <w:pPr>
        <w:spacing w:after="0" w:line="240" w:lineRule="auto"/>
      </w:pPr>
      <w:r>
        <w:separator/>
      </w:r>
    </w:p>
  </w:footnote>
  <w:footnote w:type="continuationSeparator" w:id="0">
    <w:p w14:paraId="1342BD3B" w14:textId="77777777" w:rsidR="004669CE" w:rsidRDefault="004669CE"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363463">
    <w:abstractNumId w:val="11"/>
  </w:num>
  <w:num w:numId="2" w16cid:durableId="1689793455">
    <w:abstractNumId w:val="3"/>
  </w:num>
  <w:num w:numId="3" w16cid:durableId="1683312367">
    <w:abstractNumId w:val="4"/>
  </w:num>
  <w:num w:numId="4" w16cid:durableId="517044335">
    <w:abstractNumId w:val="2"/>
  </w:num>
  <w:num w:numId="5" w16cid:durableId="731582447">
    <w:abstractNumId w:val="14"/>
  </w:num>
  <w:num w:numId="6" w16cid:durableId="1198927645">
    <w:abstractNumId w:val="12"/>
  </w:num>
  <w:num w:numId="7" w16cid:durableId="483352459">
    <w:abstractNumId w:val="6"/>
  </w:num>
  <w:num w:numId="8" w16cid:durableId="1236669076">
    <w:abstractNumId w:val="0"/>
  </w:num>
  <w:num w:numId="9" w16cid:durableId="1880316996">
    <w:abstractNumId w:val="9"/>
  </w:num>
  <w:num w:numId="10" w16cid:durableId="667246361">
    <w:abstractNumId w:val="7"/>
  </w:num>
  <w:num w:numId="11" w16cid:durableId="881668913">
    <w:abstractNumId w:val="1"/>
  </w:num>
  <w:num w:numId="12" w16cid:durableId="1202135381">
    <w:abstractNumId w:val="5"/>
  </w:num>
  <w:num w:numId="13" w16cid:durableId="937175021">
    <w:abstractNumId w:val="10"/>
  </w:num>
  <w:num w:numId="14" w16cid:durableId="410810030">
    <w:abstractNumId w:val="13"/>
  </w:num>
  <w:num w:numId="15" w16cid:durableId="416249027">
    <w:abstractNumId w:val="15"/>
  </w:num>
  <w:num w:numId="16" w16cid:durableId="1172647771">
    <w:abstractNumId w:val="8"/>
  </w:num>
  <w:num w:numId="17" w16cid:durableId="1776515177">
    <w:abstractNumId w:val="17"/>
  </w:num>
  <w:num w:numId="18" w16cid:durableId="13469838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guy">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2045"/>
    <w:rsid w:val="000123B4"/>
    <w:rsid w:val="0001249F"/>
    <w:rsid w:val="00012742"/>
    <w:rsid w:val="000127E1"/>
    <w:rsid w:val="00012D72"/>
    <w:rsid w:val="0001318A"/>
    <w:rsid w:val="00013326"/>
    <w:rsid w:val="00013B1D"/>
    <w:rsid w:val="00014183"/>
    <w:rsid w:val="00014407"/>
    <w:rsid w:val="0001461E"/>
    <w:rsid w:val="00014E9F"/>
    <w:rsid w:val="00015474"/>
    <w:rsid w:val="00015630"/>
    <w:rsid w:val="00015635"/>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37F"/>
    <w:rsid w:val="00044A13"/>
    <w:rsid w:val="00044B45"/>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607ED"/>
    <w:rsid w:val="00060941"/>
    <w:rsid w:val="00060CB5"/>
    <w:rsid w:val="00060F0A"/>
    <w:rsid w:val="0006115D"/>
    <w:rsid w:val="0006170B"/>
    <w:rsid w:val="0006187D"/>
    <w:rsid w:val="00061FFB"/>
    <w:rsid w:val="0006265C"/>
    <w:rsid w:val="0006344D"/>
    <w:rsid w:val="00063D00"/>
    <w:rsid w:val="00063E5F"/>
    <w:rsid w:val="00064334"/>
    <w:rsid w:val="0006470F"/>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1D"/>
    <w:rsid w:val="000A40B6"/>
    <w:rsid w:val="000A53B5"/>
    <w:rsid w:val="000A65D5"/>
    <w:rsid w:val="000A6E88"/>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343"/>
    <w:rsid w:val="000B5ACB"/>
    <w:rsid w:val="000B6C5F"/>
    <w:rsid w:val="000B6F6F"/>
    <w:rsid w:val="000B74AD"/>
    <w:rsid w:val="000B7730"/>
    <w:rsid w:val="000B7BCD"/>
    <w:rsid w:val="000C05A1"/>
    <w:rsid w:val="000C05DB"/>
    <w:rsid w:val="000C073A"/>
    <w:rsid w:val="000C1246"/>
    <w:rsid w:val="000C1ABE"/>
    <w:rsid w:val="000C1F55"/>
    <w:rsid w:val="000C3071"/>
    <w:rsid w:val="000C39C6"/>
    <w:rsid w:val="000C3D81"/>
    <w:rsid w:val="000C472C"/>
    <w:rsid w:val="000C4C17"/>
    <w:rsid w:val="000C4E55"/>
    <w:rsid w:val="000C5294"/>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513D"/>
    <w:rsid w:val="000D5146"/>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510"/>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EBA"/>
    <w:rsid w:val="00121B1F"/>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9C"/>
    <w:rsid w:val="001344E6"/>
    <w:rsid w:val="00134671"/>
    <w:rsid w:val="001358B6"/>
    <w:rsid w:val="00135A97"/>
    <w:rsid w:val="00136A11"/>
    <w:rsid w:val="00137441"/>
    <w:rsid w:val="00140F95"/>
    <w:rsid w:val="00140FF4"/>
    <w:rsid w:val="001416C0"/>
    <w:rsid w:val="001418A3"/>
    <w:rsid w:val="00142732"/>
    <w:rsid w:val="001428DD"/>
    <w:rsid w:val="00142C6C"/>
    <w:rsid w:val="0014327A"/>
    <w:rsid w:val="001432CE"/>
    <w:rsid w:val="00143402"/>
    <w:rsid w:val="001436EC"/>
    <w:rsid w:val="00143BB3"/>
    <w:rsid w:val="00145083"/>
    <w:rsid w:val="00145F2A"/>
    <w:rsid w:val="0014639D"/>
    <w:rsid w:val="00146853"/>
    <w:rsid w:val="00147434"/>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A46"/>
    <w:rsid w:val="00184D2C"/>
    <w:rsid w:val="00186293"/>
    <w:rsid w:val="001867AA"/>
    <w:rsid w:val="00186CC0"/>
    <w:rsid w:val="00187E59"/>
    <w:rsid w:val="00187E61"/>
    <w:rsid w:val="00190135"/>
    <w:rsid w:val="00190E11"/>
    <w:rsid w:val="00191C41"/>
    <w:rsid w:val="00191E67"/>
    <w:rsid w:val="00191F65"/>
    <w:rsid w:val="001928B6"/>
    <w:rsid w:val="0019392A"/>
    <w:rsid w:val="00193969"/>
    <w:rsid w:val="00193C52"/>
    <w:rsid w:val="0019459F"/>
    <w:rsid w:val="00195058"/>
    <w:rsid w:val="00195850"/>
    <w:rsid w:val="00196EFA"/>
    <w:rsid w:val="0019713D"/>
    <w:rsid w:val="00197917"/>
    <w:rsid w:val="00197ACC"/>
    <w:rsid w:val="001A00A1"/>
    <w:rsid w:val="001A031F"/>
    <w:rsid w:val="001A0325"/>
    <w:rsid w:val="001A0410"/>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AF7"/>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285B"/>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B39"/>
    <w:rsid w:val="001F245D"/>
    <w:rsid w:val="001F3064"/>
    <w:rsid w:val="001F33BD"/>
    <w:rsid w:val="001F3C6E"/>
    <w:rsid w:val="001F4B9D"/>
    <w:rsid w:val="001F4BC4"/>
    <w:rsid w:val="001F4D03"/>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F9"/>
    <w:rsid w:val="002207CC"/>
    <w:rsid w:val="00220B2D"/>
    <w:rsid w:val="002214FA"/>
    <w:rsid w:val="002219E2"/>
    <w:rsid w:val="0022213D"/>
    <w:rsid w:val="002224CD"/>
    <w:rsid w:val="002227AE"/>
    <w:rsid w:val="002229EC"/>
    <w:rsid w:val="00222ADB"/>
    <w:rsid w:val="00222B23"/>
    <w:rsid w:val="002234B6"/>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136F"/>
    <w:rsid w:val="002514FC"/>
    <w:rsid w:val="0025186C"/>
    <w:rsid w:val="00251DDE"/>
    <w:rsid w:val="00252C43"/>
    <w:rsid w:val="00253385"/>
    <w:rsid w:val="002537AC"/>
    <w:rsid w:val="00254DBA"/>
    <w:rsid w:val="002551A8"/>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725"/>
    <w:rsid w:val="0026392B"/>
    <w:rsid w:val="00263B36"/>
    <w:rsid w:val="00263CA4"/>
    <w:rsid w:val="00263E66"/>
    <w:rsid w:val="00264558"/>
    <w:rsid w:val="00264808"/>
    <w:rsid w:val="002649DA"/>
    <w:rsid w:val="00264AA5"/>
    <w:rsid w:val="00264CED"/>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B14"/>
    <w:rsid w:val="002779BF"/>
    <w:rsid w:val="00281641"/>
    <w:rsid w:val="0028294C"/>
    <w:rsid w:val="00282C93"/>
    <w:rsid w:val="0028353D"/>
    <w:rsid w:val="002838CE"/>
    <w:rsid w:val="002843DF"/>
    <w:rsid w:val="00284EF1"/>
    <w:rsid w:val="00284F95"/>
    <w:rsid w:val="00285CF5"/>
    <w:rsid w:val="0028640E"/>
    <w:rsid w:val="00286AA6"/>
    <w:rsid w:val="00287250"/>
    <w:rsid w:val="002873A2"/>
    <w:rsid w:val="002877AF"/>
    <w:rsid w:val="00290482"/>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096A"/>
    <w:rsid w:val="002B1EB4"/>
    <w:rsid w:val="002B2657"/>
    <w:rsid w:val="002B2D07"/>
    <w:rsid w:val="002B2DEF"/>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598"/>
    <w:rsid w:val="002C68AB"/>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E3E"/>
    <w:rsid w:val="002D6170"/>
    <w:rsid w:val="002D660D"/>
    <w:rsid w:val="002D6CD9"/>
    <w:rsid w:val="002D71F1"/>
    <w:rsid w:val="002D767F"/>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63D4"/>
    <w:rsid w:val="002E671E"/>
    <w:rsid w:val="002E678E"/>
    <w:rsid w:val="002E6D8E"/>
    <w:rsid w:val="002E73BD"/>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21D8"/>
    <w:rsid w:val="003129EB"/>
    <w:rsid w:val="00312F64"/>
    <w:rsid w:val="003131BA"/>
    <w:rsid w:val="00313B11"/>
    <w:rsid w:val="00313FFB"/>
    <w:rsid w:val="00314338"/>
    <w:rsid w:val="003146E3"/>
    <w:rsid w:val="00314726"/>
    <w:rsid w:val="0031497D"/>
    <w:rsid w:val="00314A07"/>
    <w:rsid w:val="00314A99"/>
    <w:rsid w:val="003169DE"/>
    <w:rsid w:val="00316A90"/>
    <w:rsid w:val="00316CFE"/>
    <w:rsid w:val="0031760A"/>
    <w:rsid w:val="003179CF"/>
    <w:rsid w:val="00317A68"/>
    <w:rsid w:val="00317DAD"/>
    <w:rsid w:val="003201C2"/>
    <w:rsid w:val="00320895"/>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518D"/>
    <w:rsid w:val="00375CD0"/>
    <w:rsid w:val="003760E9"/>
    <w:rsid w:val="003769D4"/>
    <w:rsid w:val="00376B01"/>
    <w:rsid w:val="00376C8E"/>
    <w:rsid w:val="00377881"/>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FBB"/>
    <w:rsid w:val="003E1115"/>
    <w:rsid w:val="003E12C1"/>
    <w:rsid w:val="003E12F7"/>
    <w:rsid w:val="003E18FF"/>
    <w:rsid w:val="003E1AF0"/>
    <w:rsid w:val="003E2069"/>
    <w:rsid w:val="003E2088"/>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F08B2"/>
    <w:rsid w:val="003F09B6"/>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6E83"/>
    <w:rsid w:val="003F75FE"/>
    <w:rsid w:val="003F7A41"/>
    <w:rsid w:val="00401460"/>
    <w:rsid w:val="00401470"/>
    <w:rsid w:val="00401EA9"/>
    <w:rsid w:val="00402A9A"/>
    <w:rsid w:val="00402DAB"/>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CE3"/>
    <w:rsid w:val="004451B5"/>
    <w:rsid w:val="00445313"/>
    <w:rsid w:val="00445876"/>
    <w:rsid w:val="00445C75"/>
    <w:rsid w:val="004464F2"/>
    <w:rsid w:val="00446918"/>
    <w:rsid w:val="00446CBD"/>
    <w:rsid w:val="00447214"/>
    <w:rsid w:val="00447B64"/>
    <w:rsid w:val="00447E69"/>
    <w:rsid w:val="004504AC"/>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11F0"/>
    <w:rsid w:val="00471842"/>
    <w:rsid w:val="00471F2E"/>
    <w:rsid w:val="004720FF"/>
    <w:rsid w:val="004723CC"/>
    <w:rsid w:val="004729BE"/>
    <w:rsid w:val="00472E5D"/>
    <w:rsid w:val="00472F77"/>
    <w:rsid w:val="004730BA"/>
    <w:rsid w:val="00473C9D"/>
    <w:rsid w:val="00473D6D"/>
    <w:rsid w:val="004749EC"/>
    <w:rsid w:val="0047532E"/>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87D7C"/>
    <w:rsid w:val="004902D4"/>
    <w:rsid w:val="00490807"/>
    <w:rsid w:val="00490B37"/>
    <w:rsid w:val="00490B4D"/>
    <w:rsid w:val="00490D8F"/>
    <w:rsid w:val="00490E71"/>
    <w:rsid w:val="00491717"/>
    <w:rsid w:val="00491C5B"/>
    <w:rsid w:val="00491DC0"/>
    <w:rsid w:val="004921A9"/>
    <w:rsid w:val="00492BD7"/>
    <w:rsid w:val="00493089"/>
    <w:rsid w:val="00493658"/>
    <w:rsid w:val="00493F5D"/>
    <w:rsid w:val="0049469D"/>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B4A"/>
    <w:rsid w:val="004A2BF9"/>
    <w:rsid w:val="004A378F"/>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0F1"/>
    <w:rsid w:val="004B36FC"/>
    <w:rsid w:val="004B5294"/>
    <w:rsid w:val="004B6824"/>
    <w:rsid w:val="004B7192"/>
    <w:rsid w:val="004B726B"/>
    <w:rsid w:val="004B73A5"/>
    <w:rsid w:val="004B74EB"/>
    <w:rsid w:val="004B758F"/>
    <w:rsid w:val="004B75E5"/>
    <w:rsid w:val="004B7997"/>
    <w:rsid w:val="004C0104"/>
    <w:rsid w:val="004C0912"/>
    <w:rsid w:val="004C0B2E"/>
    <w:rsid w:val="004C0D3F"/>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E7A67"/>
    <w:rsid w:val="004F0119"/>
    <w:rsid w:val="004F02E2"/>
    <w:rsid w:val="004F07EF"/>
    <w:rsid w:val="004F0985"/>
    <w:rsid w:val="004F1404"/>
    <w:rsid w:val="004F2513"/>
    <w:rsid w:val="004F2774"/>
    <w:rsid w:val="004F2A98"/>
    <w:rsid w:val="004F2C2C"/>
    <w:rsid w:val="004F2F5E"/>
    <w:rsid w:val="004F4076"/>
    <w:rsid w:val="004F4908"/>
    <w:rsid w:val="004F5A5E"/>
    <w:rsid w:val="004F5C0C"/>
    <w:rsid w:val="004F6BC0"/>
    <w:rsid w:val="004F712A"/>
    <w:rsid w:val="004F7737"/>
    <w:rsid w:val="004F7F55"/>
    <w:rsid w:val="0050077C"/>
    <w:rsid w:val="005010F2"/>
    <w:rsid w:val="00501386"/>
    <w:rsid w:val="00501C2C"/>
    <w:rsid w:val="00502BA2"/>
    <w:rsid w:val="00502FD0"/>
    <w:rsid w:val="005030F2"/>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ECE"/>
    <w:rsid w:val="00524968"/>
    <w:rsid w:val="00525363"/>
    <w:rsid w:val="00525AEF"/>
    <w:rsid w:val="00525C9D"/>
    <w:rsid w:val="005261B3"/>
    <w:rsid w:val="0052679A"/>
    <w:rsid w:val="0052757D"/>
    <w:rsid w:val="00527867"/>
    <w:rsid w:val="00527995"/>
    <w:rsid w:val="00530480"/>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99A"/>
    <w:rsid w:val="00534A6F"/>
    <w:rsid w:val="00534C22"/>
    <w:rsid w:val="00534E49"/>
    <w:rsid w:val="005356FF"/>
    <w:rsid w:val="00536262"/>
    <w:rsid w:val="005369D1"/>
    <w:rsid w:val="00537111"/>
    <w:rsid w:val="00537A5D"/>
    <w:rsid w:val="00540B7D"/>
    <w:rsid w:val="00540DAA"/>
    <w:rsid w:val="005410E5"/>
    <w:rsid w:val="005412A6"/>
    <w:rsid w:val="005415C4"/>
    <w:rsid w:val="00541875"/>
    <w:rsid w:val="00542171"/>
    <w:rsid w:val="005424C0"/>
    <w:rsid w:val="00543F38"/>
    <w:rsid w:val="0054423F"/>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9A4"/>
    <w:rsid w:val="0055406E"/>
    <w:rsid w:val="00554D9F"/>
    <w:rsid w:val="00555276"/>
    <w:rsid w:val="005554CA"/>
    <w:rsid w:val="0055585E"/>
    <w:rsid w:val="005559B0"/>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252E"/>
    <w:rsid w:val="00573584"/>
    <w:rsid w:val="00573DF4"/>
    <w:rsid w:val="005745BC"/>
    <w:rsid w:val="0057460D"/>
    <w:rsid w:val="005756EF"/>
    <w:rsid w:val="00575940"/>
    <w:rsid w:val="00575EAA"/>
    <w:rsid w:val="00576076"/>
    <w:rsid w:val="00576395"/>
    <w:rsid w:val="0057675B"/>
    <w:rsid w:val="005771DC"/>
    <w:rsid w:val="00577653"/>
    <w:rsid w:val="005801D4"/>
    <w:rsid w:val="00580778"/>
    <w:rsid w:val="005809C4"/>
    <w:rsid w:val="005819B8"/>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7F1"/>
    <w:rsid w:val="005B2846"/>
    <w:rsid w:val="005B2C13"/>
    <w:rsid w:val="005B31DC"/>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4A8"/>
    <w:rsid w:val="005E27AC"/>
    <w:rsid w:val="005E27E0"/>
    <w:rsid w:val="005E367F"/>
    <w:rsid w:val="005E473B"/>
    <w:rsid w:val="005E4FFA"/>
    <w:rsid w:val="005E5F9D"/>
    <w:rsid w:val="005E6484"/>
    <w:rsid w:val="005E71FB"/>
    <w:rsid w:val="005E7673"/>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3DE"/>
    <w:rsid w:val="005F6857"/>
    <w:rsid w:val="005F6B01"/>
    <w:rsid w:val="005F6F37"/>
    <w:rsid w:val="005F7B58"/>
    <w:rsid w:val="006011DF"/>
    <w:rsid w:val="0060168E"/>
    <w:rsid w:val="00601707"/>
    <w:rsid w:val="0060172F"/>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701"/>
    <w:rsid w:val="00616888"/>
    <w:rsid w:val="00616C8A"/>
    <w:rsid w:val="00616DE8"/>
    <w:rsid w:val="00617FC3"/>
    <w:rsid w:val="0062022F"/>
    <w:rsid w:val="00620D87"/>
    <w:rsid w:val="00620E8F"/>
    <w:rsid w:val="006213CE"/>
    <w:rsid w:val="0062160D"/>
    <w:rsid w:val="00621931"/>
    <w:rsid w:val="00622436"/>
    <w:rsid w:val="0062270A"/>
    <w:rsid w:val="00622AB6"/>
    <w:rsid w:val="00622AE7"/>
    <w:rsid w:val="00622C35"/>
    <w:rsid w:val="00622F13"/>
    <w:rsid w:val="00622F27"/>
    <w:rsid w:val="006232DA"/>
    <w:rsid w:val="00623358"/>
    <w:rsid w:val="00623914"/>
    <w:rsid w:val="00623A95"/>
    <w:rsid w:val="00623FE8"/>
    <w:rsid w:val="0062412D"/>
    <w:rsid w:val="0062580C"/>
    <w:rsid w:val="00626DC2"/>
    <w:rsid w:val="00626E94"/>
    <w:rsid w:val="00627FDA"/>
    <w:rsid w:val="006308AA"/>
    <w:rsid w:val="0063272E"/>
    <w:rsid w:val="00633A04"/>
    <w:rsid w:val="0063432D"/>
    <w:rsid w:val="00634A12"/>
    <w:rsid w:val="006352B7"/>
    <w:rsid w:val="0063541D"/>
    <w:rsid w:val="006358AE"/>
    <w:rsid w:val="00635CD4"/>
    <w:rsid w:val="00635EE8"/>
    <w:rsid w:val="00636428"/>
    <w:rsid w:val="00636AE1"/>
    <w:rsid w:val="00637962"/>
    <w:rsid w:val="00637F17"/>
    <w:rsid w:val="006419C0"/>
    <w:rsid w:val="00641A55"/>
    <w:rsid w:val="00641AC9"/>
    <w:rsid w:val="00641BCB"/>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E8"/>
    <w:rsid w:val="006454B1"/>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604AD"/>
    <w:rsid w:val="006608A7"/>
    <w:rsid w:val="006620D7"/>
    <w:rsid w:val="00662509"/>
    <w:rsid w:val="006626DB"/>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EC6"/>
    <w:rsid w:val="00684112"/>
    <w:rsid w:val="0068475D"/>
    <w:rsid w:val="00684815"/>
    <w:rsid w:val="006849BA"/>
    <w:rsid w:val="006857B8"/>
    <w:rsid w:val="00685B6E"/>
    <w:rsid w:val="006867D9"/>
    <w:rsid w:val="00687203"/>
    <w:rsid w:val="0068791B"/>
    <w:rsid w:val="006912F0"/>
    <w:rsid w:val="006915AB"/>
    <w:rsid w:val="006916AD"/>
    <w:rsid w:val="006919F0"/>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69A"/>
    <w:rsid w:val="006B0A78"/>
    <w:rsid w:val="006B1057"/>
    <w:rsid w:val="006B16C3"/>
    <w:rsid w:val="006B1A51"/>
    <w:rsid w:val="006B231E"/>
    <w:rsid w:val="006B29D0"/>
    <w:rsid w:val="006B2AE3"/>
    <w:rsid w:val="006B3B00"/>
    <w:rsid w:val="006B3B90"/>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AEB"/>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27B"/>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34C9"/>
    <w:rsid w:val="00733609"/>
    <w:rsid w:val="0073399F"/>
    <w:rsid w:val="00733E3A"/>
    <w:rsid w:val="007349EB"/>
    <w:rsid w:val="00734EEB"/>
    <w:rsid w:val="00735284"/>
    <w:rsid w:val="00735728"/>
    <w:rsid w:val="00735A9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F21"/>
    <w:rsid w:val="007C28A8"/>
    <w:rsid w:val="007C29B9"/>
    <w:rsid w:val="007C2EDA"/>
    <w:rsid w:val="007C306E"/>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72A7"/>
    <w:rsid w:val="00817581"/>
    <w:rsid w:val="008177A1"/>
    <w:rsid w:val="00817833"/>
    <w:rsid w:val="00817F4D"/>
    <w:rsid w:val="00821294"/>
    <w:rsid w:val="008212B1"/>
    <w:rsid w:val="0082180D"/>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276"/>
    <w:rsid w:val="00866C7F"/>
    <w:rsid w:val="008702F0"/>
    <w:rsid w:val="008709A9"/>
    <w:rsid w:val="008718FA"/>
    <w:rsid w:val="00871EC6"/>
    <w:rsid w:val="008720B2"/>
    <w:rsid w:val="008722C7"/>
    <w:rsid w:val="00872C3E"/>
    <w:rsid w:val="00872DF3"/>
    <w:rsid w:val="008734E8"/>
    <w:rsid w:val="00873A1D"/>
    <w:rsid w:val="00874125"/>
    <w:rsid w:val="00874555"/>
    <w:rsid w:val="00874846"/>
    <w:rsid w:val="008749D8"/>
    <w:rsid w:val="008752B2"/>
    <w:rsid w:val="00875638"/>
    <w:rsid w:val="00875F7C"/>
    <w:rsid w:val="00876613"/>
    <w:rsid w:val="0087666B"/>
    <w:rsid w:val="00876EF2"/>
    <w:rsid w:val="00877011"/>
    <w:rsid w:val="00877196"/>
    <w:rsid w:val="008772D6"/>
    <w:rsid w:val="008772E5"/>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F3A"/>
    <w:rsid w:val="008B1E81"/>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472"/>
    <w:rsid w:val="008D3940"/>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8C"/>
    <w:rsid w:val="008F01CF"/>
    <w:rsid w:val="008F0C37"/>
    <w:rsid w:val="008F0D71"/>
    <w:rsid w:val="008F0E02"/>
    <w:rsid w:val="008F1838"/>
    <w:rsid w:val="008F1C12"/>
    <w:rsid w:val="008F1E77"/>
    <w:rsid w:val="008F1ED4"/>
    <w:rsid w:val="008F22CC"/>
    <w:rsid w:val="008F2301"/>
    <w:rsid w:val="008F2594"/>
    <w:rsid w:val="008F2C60"/>
    <w:rsid w:val="008F3CBD"/>
    <w:rsid w:val="008F3E0C"/>
    <w:rsid w:val="008F3EC0"/>
    <w:rsid w:val="008F3F40"/>
    <w:rsid w:val="008F5341"/>
    <w:rsid w:val="008F5E3D"/>
    <w:rsid w:val="008F64E5"/>
    <w:rsid w:val="008F6865"/>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CD7"/>
    <w:rsid w:val="00914DBE"/>
    <w:rsid w:val="0091504E"/>
    <w:rsid w:val="00915217"/>
    <w:rsid w:val="009156CC"/>
    <w:rsid w:val="00916185"/>
    <w:rsid w:val="0091619D"/>
    <w:rsid w:val="009161B4"/>
    <w:rsid w:val="00916470"/>
    <w:rsid w:val="009172F5"/>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A62"/>
    <w:rsid w:val="00935BA1"/>
    <w:rsid w:val="00935CE9"/>
    <w:rsid w:val="00936459"/>
    <w:rsid w:val="009369AE"/>
    <w:rsid w:val="00936DEA"/>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87D47"/>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295A"/>
    <w:rsid w:val="009B3804"/>
    <w:rsid w:val="009B5BF0"/>
    <w:rsid w:val="009B642F"/>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E00"/>
    <w:rsid w:val="00A23DB8"/>
    <w:rsid w:val="00A24607"/>
    <w:rsid w:val="00A246FF"/>
    <w:rsid w:val="00A24AF8"/>
    <w:rsid w:val="00A25709"/>
    <w:rsid w:val="00A25770"/>
    <w:rsid w:val="00A25C71"/>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88D"/>
    <w:rsid w:val="00A408C0"/>
    <w:rsid w:val="00A40BDC"/>
    <w:rsid w:val="00A40E98"/>
    <w:rsid w:val="00A40FB8"/>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DDD"/>
    <w:rsid w:val="00A511A2"/>
    <w:rsid w:val="00A51464"/>
    <w:rsid w:val="00A51492"/>
    <w:rsid w:val="00A5160C"/>
    <w:rsid w:val="00A5197A"/>
    <w:rsid w:val="00A51BA5"/>
    <w:rsid w:val="00A51BE7"/>
    <w:rsid w:val="00A52228"/>
    <w:rsid w:val="00A53098"/>
    <w:rsid w:val="00A539EA"/>
    <w:rsid w:val="00A53D7D"/>
    <w:rsid w:val="00A541E6"/>
    <w:rsid w:val="00A543FA"/>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0AA3"/>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5FD"/>
    <w:rsid w:val="00A67ED9"/>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8E"/>
    <w:rsid w:val="00A947FA"/>
    <w:rsid w:val="00A94ACA"/>
    <w:rsid w:val="00A960EC"/>
    <w:rsid w:val="00A96BE0"/>
    <w:rsid w:val="00A97FAD"/>
    <w:rsid w:val="00AA0D69"/>
    <w:rsid w:val="00AA1615"/>
    <w:rsid w:val="00AA2016"/>
    <w:rsid w:val="00AA4855"/>
    <w:rsid w:val="00AA4886"/>
    <w:rsid w:val="00AA56C1"/>
    <w:rsid w:val="00AA6419"/>
    <w:rsid w:val="00AA686D"/>
    <w:rsid w:val="00AA71F6"/>
    <w:rsid w:val="00AA7CCE"/>
    <w:rsid w:val="00AB007A"/>
    <w:rsid w:val="00AB0D5D"/>
    <w:rsid w:val="00AB0F3A"/>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64"/>
    <w:rsid w:val="00AD2EAB"/>
    <w:rsid w:val="00AD309F"/>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120B"/>
    <w:rsid w:val="00AE153C"/>
    <w:rsid w:val="00AE1658"/>
    <w:rsid w:val="00AE216A"/>
    <w:rsid w:val="00AE2482"/>
    <w:rsid w:val="00AE2A77"/>
    <w:rsid w:val="00AE2E7C"/>
    <w:rsid w:val="00AE45D9"/>
    <w:rsid w:val="00AE4620"/>
    <w:rsid w:val="00AE531E"/>
    <w:rsid w:val="00AE5603"/>
    <w:rsid w:val="00AE5BFD"/>
    <w:rsid w:val="00AE6765"/>
    <w:rsid w:val="00AE69AA"/>
    <w:rsid w:val="00AE6B39"/>
    <w:rsid w:val="00AE75EA"/>
    <w:rsid w:val="00AE7E6D"/>
    <w:rsid w:val="00AF0305"/>
    <w:rsid w:val="00AF03D7"/>
    <w:rsid w:val="00AF043A"/>
    <w:rsid w:val="00AF05D5"/>
    <w:rsid w:val="00AF0851"/>
    <w:rsid w:val="00AF1031"/>
    <w:rsid w:val="00AF11F1"/>
    <w:rsid w:val="00AF1AEF"/>
    <w:rsid w:val="00AF21E1"/>
    <w:rsid w:val="00AF2942"/>
    <w:rsid w:val="00AF2D17"/>
    <w:rsid w:val="00AF3040"/>
    <w:rsid w:val="00AF3113"/>
    <w:rsid w:val="00AF31C7"/>
    <w:rsid w:val="00AF3560"/>
    <w:rsid w:val="00AF3D76"/>
    <w:rsid w:val="00AF3E46"/>
    <w:rsid w:val="00AF5408"/>
    <w:rsid w:val="00AF5496"/>
    <w:rsid w:val="00AF5FBC"/>
    <w:rsid w:val="00AF607E"/>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8D7"/>
    <w:rsid w:val="00B90995"/>
    <w:rsid w:val="00B90DA0"/>
    <w:rsid w:val="00B9126A"/>
    <w:rsid w:val="00B9134D"/>
    <w:rsid w:val="00B918A4"/>
    <w:rsid w:val="00B92785"/>
    <w:rsid w:val="00B930B7"/>
    <w:rsid w:val="00B93137"/>
    <w:rsid w:val="00B93BDF"/>
    <w:rsid w:val="00B93D04"/>
    <w:rsid w:val="00B9426B"/>
    <w:rsid w:val="00B94F37"/>
    <w:rsid w:val="00B95476"/>
    <w:rsid w:val="00B9552F"/>
    <w:rsid w:val="00B96867"/>
    <w:rsid w:val="00B96B82"/>
    <w:rsid w:val="00B97038"/>
    <w:rsid w:val="00B97384"/>
    <w:rsid w:val="00B97BDE"/>
    <w:rsid w:val="00B97E5E"/>
    <w:rsid w:val="00BA0CEA"/>
    <w:rsid w:val="00BA1064"/>
    <w:rsid w:val="00BA167C"/>
    <w:rsid w:val="00BA1C1D"/>
    <w:rsid w:val="00BA2524"/>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FAD"/>
    <w:rsid w:val="00BB0286"/>
    <w:rsid w:val="00BB03BB"/>
    <w:rsid w:val="00BB054F"/>
    <w:rsid w:val="00BB06D0"/>
    <w:rsid w:val="00BB0732"/>
    <w:rsid w:val="00BB18C1"/>
    <w:rsid w:val="00BB1EF8"/>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33C"/>
    <w:rsid w:val="00BD5623"/>
    <w:rsid w:val="00BD5C04"/>
    <w:rsid w:val="00BD5FB7"/>
    <w:rsid w:val="00BD637F"/>
    <w:rsid w:val="00BD6B30"/>
    <w:rsid w:val="00BD6CB0"/>
    <w:rsid w:val="00BD71C1"/>
    <w:rsid w:val="00BD7B01"/>
    <w:rsid w:val="00BE07CE"/>
    <w:rsid w:val="00BE0CE9"/>
    <w:rsid w:val="00BE0D41"/>
    <w:rsid w:val="00BE1099"/>
    <w:rsid w:val="00BE153D"/>
    <w:rsid w:val="00BE1FE5"/>
    <w:rsid w:val="00BE2709"/>
    <w:rsid w:val="00BE2890"/>
    <w:rsid w:val="00BE37B9"/>
    <w:rsid w:val="00BE38D8"/>
    <w:rsid w:val="00BE4235"/>
    <w:rsid w:val="00BE4E65"/>
    <w:rsid w:val="00BE52A6"/>
    <w:rsid w:val="00BE6DEB"/>
    <w:rsid w:val="00BE70C1"/>
    <w:rsid w:val="00BE73C9"/>
    <w:rsid w:val="00BE7B9F"/>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65C"/>
    <w:rsid w:val="00C30AF1"/>
    <w:rsid w:val="00C313A0"/>
    <w:rsid w:val="00C31CFE"/>
    <w:rsid w:val="00C327B0"/>
    <w:rsid w:val="00C32E42"/>
    <w:rsid w:val="00C33225"/>
    <w:rsid w:val="00C334C2"/>
    <w:rsid w:val="00C33D16"/>
    <w:rsid w:val="00C33EE7"/>
    <w:rsid w:val="00C3409C"/>
    <w:rsid w:val="00C3409D"/>
    <w:rsid w:val="00C3466D"/>
    <w:rsid w:val="00C35E32"/>
    <w:rsid w:val="00C3682E"/>
    <w:rsid w:val="00C36AE1"/>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67FC3"/>
    <w:rsid w:val="00C7038E"/>
    <w:rsid w:val="00C70933"/>
    <w:rsid w:val="00C7294F"/>
    <w:rsid w:val="00C73084"/>
    <w:rsid w:val="00C734B2"/>
    <w:rsid w:val="00C739ED"/>
    <w:rsid w:val="00C73B74"/>
    <w:rsid w:val="00C74221"/>
    <w:rsid w:val="00C750AF"/>
    <w:rsid w:val="00C75D15"/>
    <w:rsid w:val="00C7669F"/>
    <w:rsid w:val="00C76C8B"/>
    <w:rsid w:val="00C77024"/>
    <w:rsid w:val="00C770BB"/>
    <w:rsid w:val="00C775FF"/>
    <w:rsid w:val="00C77A18"/>
    <w:rsid w:val="00C80118"/>
    <w:rsid w:val="00C8078B"/>
    <w:rsid w:val="00C81775"/>
    <w:rsid w:val="00C81C59"/>
    <w:rsid w:val="00C821BA"/>
    <w:rsid w:val="00C824FC"/>
    <w:rsid w:val="00C8260C"/>
    <w:rsid w:val="00C8293A"/>
    <w:rsid w:val="00C82C50"/>
    <w:rsid w:val="00C8313B"/>
    <w:rsid w:val="00C83987"/>
    <w:rsid w:val="00C84070"/>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44F1"/>
    <w:rsid w:val="00C94516"/>
    <w:rsid w:val="00C9584C"/>
    <w:rsid w:val="00C95D59"/>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7197"/>
    <w:rsid w:val="00CA7279"/>
    <w:rsid w:val="00CA7297"/>
    <w:rsid w:val="00CA73EF"/>
    <w:rsid w:val="00CA7F95"/>
    <w:rsid w:val="00CB055D"/>
    <w:rsid w:val="00CB082E"/>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5A1"/>
    <w:rsid w:val="00CD0763"/>
    <w:rsid w:val="00CD0E46"/>
    <w:rsid w:val="00CD0EFA"/>
    <w:rsid w:val="00CD1260"/>
    <w:rsid w:val="00CD1595"/>
    <w:rsid w:val="00CD1681"/>
    <w:rsid w:val="00CD1F95"/>
    <w:rsid w:val="00CD25BE"/>
    <w:rsid w:val="00CD264A"/>
    <w:rsid w:val="00CD2B87"/>
    <w:rsid w:val="00CD2F6F"/>
    <w:rsid w:val="00CD302E"/>
    <w:rsid w:val="00CD398F"/>
    <w:rsid w:val="00CD474C"/>
    <w:rsid w:val="00CD56F5"/>
    <w:rsid w:val="00CD71F4"/>
    <w:rsid w:val="00CD7BB5"/>
    <w:rsid w:val="00CE052C"/>
    <w:rsid w:val="00CE057B"/>
    <w:rsid w:val="00CE084F"/>
    <w:rsid w:val="00CE0B92"/>
    <w:rsid w:val="00CE0C2A"/>
    <w:rsid w:val="00CE1945"/>
    <w:rsid w:val="00CE21B7"/>
    <w:rsid w:val="00CE249E"/>
    <w:rsid w:val="00CE289F"/>
    <w:rsid w:val="00CE335A"/>
    <w:rsid w:val="00CE43EF"/>
    <w:rsid w:val="00CE4720"/>
    <w:rsid w:val="00CE4BB9"/>
    <w:rsid w:val="00CE6B8F"/>
    <w:rsid w:val="00CE78DB"/>
    <w:rsid w:val="00CE7D77"/>
    <w:rsid w:val="00CF09E3"/>
    <w:rsid w:val="00CF0A4D"/>
    <w:rsid w:val="00CF0B67"/>
    <w:rsid w:val="00CF0C69"/>
    <w:rsid w:val="00CF131E"/>
    <w:rsid w:val="00CF26CC"/>
    <w:rsid w:val="00CF2C0D"/>
    <w:rsid w:val="00CF312D"/>
    <w:rsid w:val="00CF33DD"/>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790"/>
    <w:rsid w:val="00D2239A"/>
    <w:rsid w:val="00D22BC1"/>
    <w:rsid w:val="00D22C25"/>
    <w:rsid w:val="00D22D7D"/>
    <w:rsid w:val="00D22FC9"/>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70CD"/>
    <w:rsid w:val="00D275C9"/>
    <w:rsid w:val="00D27AD2"/>
    <w:rsid w:val="00D27D8C"/>
    <w:rsid w:val="00D3013B"/>
    <w:rsid w:val="00D301A2"/>
    <w:rsid w:val="00D30AB2"/>
    <w:rsid w:val="00D3153E"/>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0C7"/>
    <w:rsid w:val="00D571A7"/>
    <w:rsid w:val="00D575AA"/>
    <w:rsid w:val="00D57C5A"/>
    <w:rsid w:val="00D60F7C"/>
    <w:rsid w:val="00D61ADA"/>
    <w:rsid w:val="00D61C97"/>
    <w:rsid w:val="00D621BE"/>
    <w:rsid w:val="00D624C9"/>
    <w:rsid w:val="00D6267E"/>
    <w:rsid w:val="00D63A61"/>
    <w:rsid w:val="00D63E8F"/>
    <w:rsid w:val="00D63F01"/>
    <w:rsid w:val="00D64813"/>
    <w:rsid w:val="00D650C0"/>
    <w:rsid w:val="00D66004"/>
    <w:rsid w:val="00D660F3"/>
    <w:rsid w:val="00D6633E"/>
    <w:rsid w:val="00D678E2"/>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D0"/>
    <w:rsid w:val="00D7774A"/>
    <w:rsid w:val="00D7774C"/>
    <w:rsid w:val="00D777FB"/>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5E7B"/>
    <w:rsid w:val="00DA75EF"/>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EDE"/>
    <w:rsid w:val="00DC4659"/>
    <w:rsid w:val="00DC4B3B"/>
    <w:rsid w:val="00DC4C0D"/>
    <w:rsid w:val="00DC509B"/>
    <w:rsid w:val="00DC56B0"/>
    <w:rsid w:val="00DC58AA"/>
    <w:rsid w:val="00DC6C92"/>
    <w:rsid w:val="00DC6D13"/>
    <w:rsid w:val="00DC6EC2"/>
    <w:rsid w:val="00DC6FB6"/>
    <w:rsid w:val="00DC7167"/>
    <w:rsid w:val="00DD0126"/>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BC"/>
    <w:rsid w:val="00DE6C27"/>
    <w:rsid w:val="00DE71AC"/>
    <w:rsid w:val="00DE71C1"/>
    <w:rsid w:val="00DE78CF"/>
    <w:rsid w:val="00DE79E6"/>
    <w:rsid w:val="00DE7C2D"/>
    <w:rsid w:val="00DF0428"/>
    <w:rsid w:val="00DF111D"/>
    <w:rsid w:val="00DF129C"/>
    <w:rsid w:val="00DF12B2"/>
    <w:rsid w:val="00DF15C7"/>
    <w:rsid w:val="00DF16FA"/>
    <w:rsid w:val="00DF1C03"/>
    <w:rsid w:val="00DF222A"/>
    <w:rsid w:val="00DF22BD"/>
    <w:rsid w:val="00DF2381"/>
    <w:rsid w:val="00DF242C"/>
    <w:rsid w:val="00DF24E5"/>
    <w:rsid w:val="00DF251B"/>
    <w:rsid w:val="00DF2C89"/>
    <w:rsid w:val="00DF2E21"/>
    <w:rsid w:val="00DF2F00"/>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892"/>
    <w:rsid w:val="00E05128"/>
    <w:rsid w:val="00E05994"/>
    <w:rsid w:val="00E063B3"/>
    <w:rsid w:val="00E071EF"/>
    <w:rsid w:val="00E10CB1"/>
    <w:rsid w:val="00E10CCA"/>
    <w:rsid w:val="00E112BD"/>
    <w:rsid w:val="00E1159D"/>
    <w:rsid w:val="00E11946"/>
    <w:rsid w:val="00E12239"/>
    <w:rsid w:val="00E12534"/>
    <w:rsid w:val="00E12566"/>
    <w:rsid w:val="00E145F6"/>
    <w:rsid w:val="00E155F6"/>
    <w:rsid w:val="00E15720"/>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2025"/>
    <w:rsid w:val="00E422F6"/>
    <w:rsid w:val="00E4238E"/>
    <w:rsid w:val="00E4292B"/>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6EE"/>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FB2"/>
    <w:rsid w:val="00EC34D6"/>
    <w:rsid w:val="00EC3A95"/>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C7A70"/>
    <w:rsid w:val="00ED0040"/>
    <w:rsid w:val="00ED09E7"/>
    <w:rsid w:val="00ED0E8A"/>
    <w:rsid w:val="00ED10F8"/>
    <w:rsid w:val="00ED2F7A"/>
    <w:rsid w:val="00ED3232"/>
    <w:rsid w:val="00ED338F"/>
    <w:rsid w:val="00ED3854"/>
    <w:rsid w:val="00ED3D4F"/>
    <w:rsid w:val="00ED3FD5"/>
    <w:rsid w:val="00ED41C5"/>
    <w:rsid w:val="00ED458E"/>
    <w:rsid w:val="00ED4AF6"/>
    <w:rsid w:val="00ED5792"/>
    <w:rsid w:val="00ED5826"/>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EA0"/>
    <w:rsid w:val="00EE25E1"/>
    <w:rsid w:val="00EE2AA1"/>
    <w:rsid w:val="00EE3CCB"/>
    <w:rsid w:val="00EE3CD3"/>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3B9C"/>
    <w:rsid w:val="00F13EE3"/>
    <w:rsid w:val="00F14BBC"/>
    <w:rsid w:val="00F14FA5"/>
    <w:rsid w:val="00F151B0"/>
    <w:rsid w:val="00F152C1"/>
    <w:rsid w:val="00F1595D"/>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946"/>
    <w:rsid w:val="00F30CD4"/>
    <w:rsid w:val="00F31659"/>
    <w:rsid w:val="00F317AA"/>
    <w:rsid w:val="00F31C65"/>
    <w:rsid w:val="00F31E1A"/>
    <w:rsid w:val="00F321DE"/>
    <w:rsid w:val="00F329AA"/>
    <w:rsid w:val="00F32EA1"/>
    <w:rsid w:val="00F334E5"/>
    <w:rsid w:val="00F3356C"/>
    <w:rsid w:val="00F33A77"/>
    <w:rsid w:val="00F3421D"/>
    <w:rsid w:val="00F34F27"/>
    <w:rsid w:val="00F35058"/>
    <w:rsid w:val="00F35BA8"/>
    <w:rsid w:val="00F35FD2"/>
    <w:rsid w:val="00F360DF"/>
    <w:rsid w:val="00F36499"/>
    <w:rsid w:val="00F36BF8"/>
    <w:rsid w:val="00F36E00"/>
    <w:rsid w:val="00F36F46"/>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5F81"/>
    <w:rsid w:val="00F46733"/>
    <w:rsid w:val="00F47F7F"/>
    <w:rsid w:val="00F50036"/>
    <w:rsid w:val="00F50D51"/>
    <w:rsid w:val="00F50FA9"/>
    <w:rsid w:val="00F5101E"/>
    <w:rsid w:val="00F5146E"/>
    <w:rsid w:val="00F51765"/>
    <w:rsid w:val="00F51BDB"/>
    <w:rsid w:val="00F52392"/>
    <w:rsid w:val="00F52C6A"/>
    <w:rsid w:val="00F53E0B"/>
    <w:rsid w:val="00F54272"/>
    <w:rsid w:val="00F543AE"/>
    <w:rsid w:val="00F54BC6"/>
    <w:rsid w:val="00F55112"/>
    <w:rsid w:val="00F5574B"/>
    <w:rsid w:val="00F55CAA"/>
    <w:rsid w:val="00F55CD0"/>
    <w:rsid w:val="00F561DE"/>
    <w:rsid w:val="00F56AB2"/>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612F"/>
    <w:rsid w:val="00F76D56"/>
    <w:rsid w:val="00F773E8"/>
    <w:rsid w:val="00F8005D"/>
    <w:rsid w:val="00F801FC"/>
    <w:rsid w:val="00F802AF"/>
    <w:rsid w:val="00F813E4"/>
    <w:rsid w:val="00F816D9"/>
    <w:rsid w:val="00F82089"/>
    <w:rsid w:val="00F822F7"/>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315"/>
    <w:rsid w:val="00FD1AA1"/>
    <w:rsid w:val="00FD2342"/>
    <w:rsid w:val="00FD32B4"/>
    <w:rsid w:val="00FD3AF3"/>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9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18B8-39FE-46FE-91F3-DE7EA081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27</Pages>
  <Words>20835</Words>
  <Characters>118761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53</cp:revision>
  <dcterms:created xsi:type="dcterms:W3CDTF">2024-11-14T01:55:00Z</dcterms:created>
  <dcterms:modified xsi:type="dcterms:W3CDTF">2024-11-17T00:21:00Z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id="bTTvhtTC"/&gt;&lt;style id="http://www.zotero.org/styles/nature" hasBibliography="1" bibliographyStyleHasBeenSet="1"/&gt;&lt;prefs&gt;&lt;pref name="fieldType" value="Field"/&gt;&lt;/prefs&gt;&lt;/data&gt;</vt:lpwstr>
  </property>
</Properties>
</file>