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53D6C" w14:textId="77777777" w:rsidR="0032003E" w:rsidRDefault="0032003E" w:rsidP="0032003E">
      <w:pPr>
        <w:rPr>
          <w:rFonts w:ascii="Calibri" w:hAnsi="Calibri" w:cs="Calibri"/>
          <w:iCs/>
          <w:szCs w:val="22"/>
        </w:rPr>
      </w:pPr>
    </w:p>
    <w:p w14:paraId="6692403C" w14:textId="77777777" w:rsidR="0032003E" w:rsidRDefault="0032003E" w:rsidP="0032003E">
      <w:pPr>
        <w:rPr>
          <w:rFonts w:ascii="Calibri" w:hAnsi="Calibri" w:cs="Calibri"/>
          <w:iCs/>
          <w:szCs w:val="22"/>
        </w:rPr>
      </w:pPr>
    </w:p>
    <w:p w14:paraId="13B73323" w14:textId="77777777" w:rsidR="0032003E" w:rsidRDefault="0032003E" w:rsidP="0032003E">
      <w:pPr>
        <w:jc w:val="left"/>
      </w:pPr>
      <w:r>
        <w:t xml:space="preserve">Following similar steps to the above but truncating </w:t>
      </w:r>
      <m:oMath>
        <m:r>
          <w:rPr>
            <w:rFonts w:ascii="Cambria Math" w:hAnsi="Cambria Math"/>
          </w:rPr>
          <m:t>L</m:t>
        </m:r>
      </m:oMath>
      <w:r>
        <w:t xml:space="preserve"> between 1 and 1500, we get,</w:t>
      </w:r>
    </w:p>
    <w:p w14:paraId="76318A6C" w14:textId="77777777" w:rsidR="0032003E" w:rsidRPr="00073BD7" w:rsidRDefault="0032003E" w:rsidP="0032003E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=l</m:t>
              </m:r>
            </m:e>
          </m:d>
          <m:r>
            <w:rPr>
              <w:rFonts w:ascii="Cambria Math" w:hAnsi="Cambria Math"/>
            </w:rPr>
            <m:t>1≤L≤1500,λ,ψ)=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kern w:val="0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ψ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ψ+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[1-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14:ligatures w14:val="none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kern w:val="0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14:ligatures w14:val="none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1500</m:t>
                          </m:r>
                        </m:sup>
                      </m:sSup>
                      <m: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]</m:t>
                      </m:r>
                    </m:den>
                  </m:f>
                  <m:r>
                    <w:rPr>
                      <w:rFonts w:ascii="Cambria Math" w:hAnsi="Cambria Math"/>
                      <w:kern w:val="0"/>
                      <w14:ligatures w14:val="none"/>
                    </w:rPr>
                    <m:t xml:space="preserve">                                 </m:t>
                  </m:r>
                  <m:r>
                    <m:rPr>
                      <m:nor/>
                    </m:rPr>
                    <w:rPr>
                      <w:rFonts w:ascii="Cambria Math" w:hAnsi="Cambria Math"/>
                      <w:kern w:val="0"/>
                      <w14:ligatures w14:val="none"/>
                    </w:rPr>
                    <m:t>if</m:t>
                  </m:r>
                  <m:r>
                    <w:rPr>
                      <w:rFonts w:ascii="Cambria Math" w:hAnsi="Cambria Math"/>
                      <w:kern w:val="0"/>
                      <w14:ligatures w14:val="none"/>
                    </w:rPr>
                    <m:t xml:space="preserve">  </m:t>
                  </m:r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Cambria Math" w:hAnsi="Cambria Math"/>
                      <w:kern w:val="0"/>
                      <w14:ligatures w14:val="none"/>
                    </w:rPr>
                    <m:t>=1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kern w:val="0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14:ligatures w14:val="none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kern w:val="0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14:ligatures w14:val="none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l-</m:t>
                          </m:r>
                          <m: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ψ+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[1-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14:ligatures w14:val="none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kern w:val="0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14:ligatures w14:val="none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1500</m:t>
                          </m:r>
                        </m:sup>
                      </m:sSup>
                      <m: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]</m:t>
                      </m:r>
                    </m:den>
                  </m:f>
                  <m:r>
                    <w:rPr>
                      <w:rFonts w:ascii="Cambria Math" w:hAnsi="Cambria Math"/>
                      <w:kern w:val="0"/>
                      <w14:ligatures w14:val="none"/>
                    </w:rPr>
                    <m:t xml:space="preserve">                                  </m:t>
                  </m:r>
                  <m:r>
                    <m:rPr>
                      <m:nor/>
                    </m:rPr>
                    <w:rPr>
                      <w:rFonts w:ascii="Cambria Math" w:hAnsi="Cambria Math"/>
                      <w:kern w:val="0"/>
                      <w14:ligatures w14:val="none"/>
                    </w:rPr>
                    <m:t>if</m:t>
                  </m:r>
                  <m:r>
                    <w:rPr>
                      <w:rFonts w:ascii="Cambria Math" w:hAnsi="Cambria Math"/>
                      <w:kern w:val="0"/>
                      <w14:ligatures w14:val="none"/>
                    </w:rPr>
                    <m:t xml:space="preserve">  </m:t>
                  </m:r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Cambria Math" w:hAnsi="Cambria Math"/>
                      <w:kern w:val="0"/>
                      <w14:ligatures w14:val="none"/>
                    </w:rPr>
                    <m:t>≥2</m:t>
                  </m:r>
                  <m:r>
                    <m:rPr>
                      <m:nor/>
                    </m:rPr>
                    <w:rPr>
                      <w:rFonts w:ascii="Cambria Math" w:hAnsi="Cambria Math"/>
                      <w:kern w:val="0"/>
                      <w14:ligatures w14:val="none"/>
                    </w:rPr>
                    <m:t xml:space="preserve"> </m:t>
                  </m:r>
                </m:e>
              </m:eqArr>
              <m:r>
                <w:rPr>
                  <w:rFonts w:ascii="Cambria Math" w:hAnsi="Cambria Math" w:cs="Times New Roman"/>
                </w:rPr>
                <m:t>.</m:t>
              </m:r>
            </m:e>
          </m:d>
        </m:oMath>
      </m:oMathPara>
    </w:p>
    <w:p w14:paraId="659840BA" w14:textId="77777777" w:rsidR="0032003E" w:rsidRDefault="0032003E" w:rsidP="0032003E">
      <w:pPr>
        <w:jc w:val="left"/>
      </w:pPr>
      <w:r>
        <w:t xml:space="preserve">Conditioning on </w:t>
      </w:r>
      <m:oMath>
        <m:r>
          <w:rPr>
            <w:rFonts w:ascii="Cambria Math" w:hAnsi="Cambria Math"/>
          </w:rPr>
          <m:t>1≤L≤1500</m:t>
        </m:r>
      </m:oMath>
      <w:r>
        <w:t xml:space="preserve"> does not have the same effect of removing the variable </w:t>
      </w:r>
      <m:oMath>
        <m:r>
          <w:rPr>
            <w:rFonts w:ascii="Cambria Math" w:hAnsi="Cambria Math"/>
            <w:kern w:val="0"/>
            <w14:ligatures w14:val="none"/>
          </w:rPr>
          <m:t>ψ</m:t>
        </m:r>
      </m:oMath>
      <w:r>
        <w:rPr>
          <w:kern w:val="0"/>
          <w14:ligatures w14:val="none"/>
        </w:rPr>
        <w:t xml:space="preserve"> from the model. This means that when </w:t>
      </w:r>
      <m:oMath>
        <m:r>
          <w:rPr>
            <w:rFonts w:ascii="Cambria Math" w:hAnsi="Cambria Math"/>
          </w:rPr>
          <m:t>N</m:t>
        </m:r>
      </m:oMath>
      <w:r>
        <w:t xml:space="preserve"> is geometric, </w:t>
      </w:r>
      <w:r>
        <w:rPr>
          <w:kern w:val="0"/>
          <w14:ligatures w14:val="none"/>
        </w:rPr>
        <w:t xml:space="preserve">the relative densities of </w:t>
      </w:r>
      <m:oMath>
        <m:r>
          <w:rPr>
            <w:rFonts w:ascii="Cambria Math" w:hAnsi="Cambria Math"/>
            <w:kern w:val="0"/>
            <w14:ligatures w14:val="none"/>
          </w:rPr>
          <m:t>L</m:t>
        </m:r>
      </m:oMath>
      <w:r>
        <w:rPr>
          <w:kern w:val="0"/>
          <w14:ligatures w14:val="none"/>
        </w:rPr>
        <w:t xml:space="preserve"> between 2 and 1500 are independent of </w:t>
      </w:r>
      <m:oMath>
        <m:r>
          <w:rPr>
            <w:rFonts w:ascii="Cambria Math" w:hAnsi="Cambria Math"/>
            <w:kern w:val="0"/>
            <w14:ligatures w14:val="none"/>
          </w:rPr>
          <m:t>ψ</m:t>
        </m:r>
      </m:oMath>
      <w:r>
        <w:rPr>
          <w:kern w:val="0"/>
          <w14:ligatures w14:val="none"/>
        </w:rPr>
        <w:t xml:space="preserve">, but the density of </w:t>
      </w:r>
      <m:oMath>
        <m:r>
          <w:rPr>
            <w:rFonts w:ascii="Cambria Math" w:hAnsi="Cambria Math"/>
            <w:kern w:val="0"/>
            <w14:ligatures w14:val="none"/>
          </w:rPr>
          <m:t>L</m:t>
        </m:r>
      </m:oMath>
      <w:r>
        <w:rPr>
          <w:kern w:val="0"/>
          <w14:ligatures w14:val="none"/>
        </w:rPr>
        <w:t xml:space="preserve"> at 1 relative to </w:t>
      </w:r>
      <m:oMath>
        <m:r>
          <w:rPr>
            <w:rFonts w:ascii="Cambria Math" w:hAnsi="Cambria Math"/>
            <w:kern w:val="0"/>
            <w14:ligatures w14:val="none"/>
          </w:rPr>
          <m:t>P(2≤L≤1500)</m:t>
        </m:r>
      </m:oMath>
      <w:r>
        <w:rPr>
          <w:kern w:val="0"/>
          <w14:ligatures w14:val="none"/>
        </w:rPr>
        <w:t xml:space="preserve"> still depends on </w:t>
      </w:r>
      <m:oMath>
        <m:r>
          <w:rPr>
            <w:rFonts w:ascii="Cambria Math" w:hAnsi="Cambria Math"/>
            <w:kern w:val="0"/>
            <w14:ligatures w14:val="none"/>
          </w:rPr>
          <m:t>ψ</m:t>
        </m:r>
      </m:oMath>
      <w:r>
        <w:rPr>
          <w:kern w:val="0"/>
          <w14:ligatures w14:val="none"/>
        </w:rPr>
        <w:t xml:space="preserve">. We again </w:t>
      </w:r>
      <w:r>
        <w:t xml:space="preserve">index our random variable </w:t>
      </w:r>
      <m:oMath>
        <m:r>
          <w:rPr>
            <w:rFonts w:ascii="Cambria Math" w:hAnsi="Cambria Math"/>
          </w:rPr>
          <m:t>L</m:t>
        </m:r>
      </m:oMath>
      <w:r>
        <w:t xml:space="preserve"> with </w:t>
      </w:r>
      <m:oMath>
        <m:r>
          <w:rPr>
            <w:rFonts w:ascii="Cambria Math" w:hAnsi="Cambria Math"/>
          </w:rPr>
          <m:t>j</m:t>
        </m:r>
      </m:oMath>
      <w:r>
        <w:t xml:space="preserve">, but this time, we also define </w:t>
      </w:r>
      <m:oMath>
        <m:sSub>
          <m:sSubPr>
            <m:ctrlPr>
              <w:rPr>
                <w:rFonts w:ascii="Cambria Math" w:hAnsi="Cambria Math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hAnsi="Cambria Math"/>
                <w:kern w:val="0"/>
                <w14:ligatures w14:val="none"/>
              </w:rPr>
              <m:t>ψ</m:t>
            </m:r>
          </m:e>
          <m:sub>
            <m:r>
              <w:rPr>
                <w:rFonts w:ascii="Cambria Math" w:hAnsi="Cambria Math"/>
                <w:kern w:val="0"/>
                <w14:ligatures w14:val="none"/>
              </w:rPr>
              <m:t>j</m:t>
            </m:r>
          </m:sub>
        </m:sSub>
      </m:oMath>
      <w:r>
        <w:rPr>
          <w:kern w:val="0"/>
          <w14:ligatures w14:val="none"/>
        </w:rPr>
        <w:t xml:space="preserve"> as the probability of allele conversion at positions within tract </w:t>
      </w:r>
      <m:oMath>
        <m:r>
          <w:rPr>
            <w:rFonts w:ascii="Cambria Math" w:hAnsi="Cambria Math"/>
            <w:kern w:val="0"/>
            <w14:ligatures w14:val="none"/>
          </w:rPr>
          <m:t>j</m:t>
        </m:r>
      </m:oMath>
      <w:r>
        <w:rPr>
          <w:kern w:val="0"/>
          <w14:ligatures w14:val="none"/>
        </w:rPr>
        <w:t xml:space="preserve">. Then, </w:t>
      </w:r>
    </w:p>
    <w:p w14:paraId="1CF80434" w14:textId="77777777" w:rsidR="0032003E" w:rsidRPr="00073BD7" w:rsidRDefault="0032003E" w:rsidP="0032003E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1≤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≤1500,λ,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kern w:val="0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14:ligatures w14:val="non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[1-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14:ligatures w14:val="none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kern w:val="0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14:ligatures w14:val="none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1500</m:t>
                          </m:r>
                        </m:sup>
                      </m:sSup>
                      <m: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]</m:t>
                      </m:r>
                    </m:den>
                  </m:f>
                  <m:r>
                    <w:rPr>
                      <w:rFonts w:ascii="Cambria Math" w:hAnsi="Cambria Math"/>
                      <w:kern w:val="0"/>
                      <w14:ligatures w14:val="none"/>
                    </w:rPr>
                    <m:t xml:space="preserve">                                 </m:t>
                  </m:r>
                  <m:r>
                    <m:rPr>
                      <m:nor/>
                    </m:rPr>
                    <w:rPr>
                      <w:rFonts w:ascii="Cambria Math" w:hAnsi="Cambria Math"/>
                      <w:kern w:val="0"/>
                      <w14:ligatures w14:val="none"/>
                    </w:rPr>
                    <m:t>if</m:t>
                  </m:r>
                  <m:r>
                    <w:rPr>
                      <w:rFonts w:ascii="Cambria Math" w:hAnsi="Cambria Math"/>
                      <w:kern w:val="0"/>
                      <w14:ligatures w14:val="none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kern w:val="0"/>
                          <w14:ligatures w14:val="none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14:ligatures w14:val="none"/>
                    </w:rPr>
                    <m:t>=1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kern w:val="0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14:ligatures w14:val="none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kern w:val="0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14:ligatures w14:val="none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kern w:val="0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kern w:val="0"/>
                                  <w14:ligatures w14:val="none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14:ligatures w14:val="none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-1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14:ligatures w14:val="non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14:ligatures w14:val="non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[1-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14:ligatures w14:val="none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kern w:val="0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14:ligatures w14:val="none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1500</m:t>
                          </m:r>
                        </m:sup>
                      </m:sSup>
                      <m: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]</m:t>
                      </m:r>
                    </m:den>
                  </m:f>
                  <m:r>
                    <w:rPr>
                      <w:rFonts w:ascii="Cambria Math" w:hAnsi="Cambria Math"/>
                      <w:kern w:val="0"/>
                      <w14:ligatures w14:val="none"/>
                    </w:rPr>
                    <m:t xml:space="preserve">                                  </m:t>
                  </m:r>
                  <m:r>
                    <m:rPr>
                      <m:nor/>
                    </m:rPr>
                    <w:rPr>
                      <w:rFonts w:ascii="Cambria Math" w:hAnsi="Cambria Math"/>
                      <w:kern w:val="0"/>
                      <w14:ligatures w14:val="none"/>
                    </w:rPr>
                    <m:t>if</m:t>
                  </m:r>
                  <m:r>
                    <w:rPr>
                      <w:rFonts w:ascii="Cambria Math" w:hAnsi="Cambria Math"/>
                      <w:kern w:val="0"/>
                      <w14:ligatures w14:val="none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kern w:val="0"/>
                          <w14:ligatures w14:val="none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14:ligatures w14:val="none"/>
                    </w:rPr>
                    <m:t>≥2</m:t>
                  </m:r>
                  <m:r>
                    <m:rPr>
                      <m:nor/>
                    </m:rPr>
                    <w:rPr>
                      <w:rFonts w:ascii="Cambria Math" w:hAnsi="Cambria Math"/>
                      <w:kern w:val="0"/>
                      <w14:ligatures w14:val="none"/>
                    </w:rPr>
                    <m:t xml:space="preserve"> </m:t>
                  </m:r>
                </m:e>
              </m:eqArr>
              <m:r>
                <w:rPr>
                  <w:rFonts w:ascii="Cambria Math" w:hAnsi="Cambria Math" w:cs="Times New Roman"/>
                </w:rPr>
                <m:t>.</m:t>
              </m:r>
            </m:e>
          </m:d>
        </m:oMath>
      </m:oMathPara>
    </w:p>
    <w:p w14:paraId="71C5F031" w14:textId="77777777" w:rsidR="0032003E" w:rsidRDefault="0032003E" w:rsidP="0032003E">
      <w:pPr>
        <w:jc w:val="left"/>
      </w:pPr>
      <w:r>
        <w:t xml:space="preserve">When estimating </w:t>
      </w:r>
      <m:oMath>
        <m:r>
          <w:rPr>
            <w:rFonts w:ascii="Cambria Math" w:hAnsi="Cambria Math"/>
          </w:rPr>
          <m:t>ϕ</m:t>
        </m:r>
      </m:oMath>
      <w:r>
        <w:t xml:space="preserve">, the mean gene conversion tract length, we remove all observed tract lengths that are 1 bp long and use the distribution of </w:t>
      </w:r>
      <m:oMath>
        <m:r>
          <w:rPr>
            <w:rFonts w:ascii="Cambria Math" w:hAnsi="Cambria Math"/>
            <w:kern w:val="0"/>
            <w14:ligatures w14:val="none"/>
          </w:rPr>
          <m:t>L</m:t>
        </m:r>
      </m:oMath>
      <w:r>
        <w:rPr>
          <w:kern w:val="0"/>
          <w14:ligatures w14:val="none"/>
        </w:rPr>
        <w:t xml:space="preserve"> truncated between 2 and 1500</w:t>
      </w:r>
      <w:r>
        <w:t xml:space="preserve">. Thus, when </w:t>
      </w:r>
      <m:oMath>
        <m:r>
          <w:rPr>
            <w:rFonts w:ascii="Cambria Math" w:hAnsi="Cambria Math"/>
          </w:rPr>
          <m:t>N</m:t>
        </m:r>
      </m:oMath>
      <w:r>
        <w:t xml:space="preserve"> is geometric, we need not estimate </w:t>
      </w:r>
      <m:oMath>
        <m:sSub>
          <m:sSubPr>
            <m:ctrlPr>
              <w:rPr>
                <w:rFonts w:ascii="Cambria Math" w:hAnsi="Cambria Math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hAnsi="Cambria Math"/>
                <w:kern w:val="0"/>
                <w14:ligatures w14:val="none"/>
              </w:rPr>
              <m:t>ψ</m:t>
            </m:r>
          </m:e>
          <m:sub>
            <m:r>
              <w:rPr>
                <w:rFonts w:ascii="Cambria Math" w:hAnsi="Cambria Math"/>
                <w:kern w:val="0"/>
                <w14:ligatures w14:val="none"/>
              </w:rPr>
              <m:t>j</m:t>
            </m:r>
          </m:sub>
        </m:sSub>
      </m:oMath>
      <w:r>
        <w:rPr>
          <w:kern w:val="0"/>
          <w14:ligatures w14:val="none"/>
        </w:rPr>
        <w:t xml:space="preserve"> for any tract </w:t>
      </w:r>
      <m:oMath>
        <m:r>
          <w:rPr>
            <w:rFonts w:ascii="Cambria Math" w:hAnsi="Cambria Math"/>
            <w:kern w:val="0"/>
            <w14:ligatures w14:val="none"/>
          </w:rPr>
          <m:t>j</m:t>
        </m:r>
      </m:oMath>
      <w:r>
        <w:rPr>
          <w:kern w:val="0"/>
          <w14:ligatures w14:val="none"/>
        </w:rPr>
        <w:t xml:space="preserve"> for estimating </w:t>
      </w:r>
      <m:oMath>
        <m:r>
          <w:rPr>
            <w:rFonts w:ascii="Cambria Math" w:hAnsi="Cambria Math"/>
          </w:rPr>
          <m:t>ϕ</m:t>
        </m:r>
      </m:oMath>
      <w:r>
        <w:t xml:space="preserve">. In the Supplementary Materials, we use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≤1500,λ,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to obtain the proportion of observed tract lengths that are 1 bp long under the model.</w:t>
      </w:r>
    </w:p>
    <w:p w14:paraId="68958116" w14:textId="77777777" w:rsidR="0038402A" w:rsidRDefault="0038402A"/>
    <w:sectPr w:rsidR="00384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2A"/>
    <w:rsid w:val="0013449C"/>
    <w:rsid w:val="0032003E"/>
    <w:rsid w:val="0038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1AFCB"/>
  <w15:chartTrackingRefBased/>
  <w15:docId w15:val="{1E750EEF-7F19-2C46-8250-EA9E533B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03E"/>
    <w:pPr>
      <w:spacing w:line="480" w:lineRule="auto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02A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02A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02A"/>
    <w:pPr>
      <w:keepNext/>
      <w:keepLines/>
      <w:spacing w:before="160" w:after="80" w:line="278" w:lineRule="auto"/>
      <w:jc w:val="lef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02A"/>
    <w:pPr>
      <w:keepNext/>
      <w:keepLines/>
      <w:spacing w:before="80" w:after="40" w:line="278" w:lineRule="auto"/>
      <w:jc w:val="left"/>
      <w:outlineLvl w:val="3"/>
    </w:pPr>
    <w:rPr>
      <w:rFonts w:eastAsiaTheme="majorEastAsia" w:cstheme="majorBidi"/>
      <w:i/>
      <w:iCs/>
      <w:color w:val="0F476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02A"/>
    <w:pPr>
      <w:keepNext/>
      <w:keepLines/>
      <w:spacing w:before="80" w:after="40" w:line="278" w:lineRule="auto"/>
      <w:jc w:val="left"/>
      <w:outlineLvl w:val="4"/>
    </w:pPr>
    <w:rPr>
      <w:rFonts w:eastAsiaTheme="majorEastAsia"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02A"/>
    <w:pPr>
      <w:keepNext/>
      <w:keepLines/>
      <w:spacing w:before="40" w:after="0" w:line="278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02A"/>
    <w:pPr>
      <w:keepNext/>
      <w:keepLines/>
      <w:spacing w:before="40" w:after="0" w:line="278" w:lineRule="auto"/>
      <w:jc w:val="left"/>
      <w:outlineLvl w:val="6"/>
    </w:pPr>
    <w:rPr>
      <w:rFonts w:eastAsiaTheme="majorEastAsia" w:cstheme="majorBidi"/>
      <w:color w:val="595959" w:themeColor="text1" w:themeTint="A6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02A"/>
    <w:pPr>
      <w:keepNext/>
      <w:keepLines/>
      <w:spacing w:after="0" w:line="278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02A"/>
    <w:pPr>
      <w:keepNext/>
      <w:keepLines/>
      <w:spacing w:after="0" w:line="278" w:lineRule="auto"/>
      <w:jc w:val="left"/>
      <w:outlineLvl w:val="8"/>
    </w:pPr>
    <w:rPr>
      <w:rFonts w:eastAsiaTheme="majorEastAsia" w:cstheme="majorBidi"/>
      <w:color w:val="272727" w:themeColor="text1" w:themeTint="D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0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02A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02A"/>
    <w:pPr>
      <w:numPr>
        <w:ilvl w:val="1"/>
      </w:numPr>
      <w:spacing w:line="278" w:lineRule="auto"/>
      <w:jc w:val="left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02A"/>
    <w:pPr>
      <w:spacing w:before="160" w:line="278" w:lineRule="auto"/>
      <w:jc w:val="center"/>
    </w:pPr>
    <w:rPr>
      <w:i/>
      <w:iCs/>
      <w:color w:val="404040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384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02A"/>
    <w:pPr>
      <w:spacing w:line="278" w:lineRule="auto"/>
      <w:ind w:left="720"/>
      <w:contextualSpacing/>
      <w:jc w:val="left"/>
    </w:pPr>
    <w:rPr>
      <w:sz w:val="24"/>
    </w:rPr>
  </w:style>
  <w:style w:type="character" w:styleId="IntenseEmphasis">
    <w:name w:val="Intense Emphasis"/>
    <w:basedOn w:val="DefaultParagraphFont"/>
    <w:uiPriority w:val="21"/>
    <w:qFormat/>
    <w:rsid w:val="00384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0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0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 Masaki</dc:creator>
  <cp:keywords/>
  <dc:description/>
  <cp:lastModifiedBy>Nobu Masaki</cp:lastModifiedBy>
  <cp:revision>2</cp:revision>
  <dcterms:created xsi:type="dcterms:W3CDTF">2024-11-20T04:20:00Z</dcterms:created>
  <dcterms:modified xsi:type="dcterms:W3CDTF">2024-11-20T04:20:00Z</dcterms:modified>
</cp:coreProperties>
</file>