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340"/>
      </w:pPr>
      <w:r>
        <w:rPr>
          <w:rFonts w:ascii="游明朝" w:cs="游明朝" w:eastAsia="游明朝" w:hAnsi="游明朝"/>
          <w:b/>
          <w:bCs/>
          <w:sz w:val="30"/>
          <w:szCs w:val="30"/>
        </w:rPr>
        <w:t xml:space="preserve">光電容積脈波から得た血管指標は、術中の後負荷指標となりうるか</w:t>
      </w:r>
    </w:p>
    <w:p>
      <w:pPr>
        <w:spacing w:after="160"/>
      </w:pPr>
      <w:r>
        <w:rPr>
          <w:rFonts w:ascii="游明朝" w:cs="游明朝" w:eastAsia="游明朝" w:hAnsi="游明朝"/>
          <w:color w:val="44546A"/>
          <w:sz w:val="24"/>
          <w:szCs w:val="24"/>
        </w:rPr>
        <w:t xml:space="preserve">研究0・研究1b の結果と、指標の変更</w:t>
      </w:r>
    </w:p>
    <w:p>
      <w:pPr>
        <w:spacing w:after="240"/>
      </w:pPr>
      <w:r>
        <w:rPr>
          <w:rFonts w:ascii="游明朝" w:cs="游明朝" w:eastAsia="游明朝" w:hAnsi="游明朝"/>
          <w:sz w:val="20"/>
          <w:szCs w:val="20"/>
        </w:rPr>
        <w:t xml:space="preserve">長崎県五島中央病院麻酔科　川副靖晃　　2026年9月7日</w:t>
      </w:r>
    </w:p>
    <w:p>
      <w:pPr>
        <w:pStyle w:val="Heading1"/>
        <w:spacing w:after="160" w:before="320"/>
      </w:pPr>
      <w:r>
        <w:rPr>
          <w:rFonts w:ascii="游明朝" w:cs="游明朝" w:eastAsia="游明朝" w:hAnsi="游明朝"/>
          <w:b/>
          <w:bCs/>
          <w:color w:val="2E74B5"/>
          <w:sz w:val="26"/>
          <w:szCs w:val="26"/>
        </w:rPr>
        <w:t xml:space="preserve">1.　明らかにしたいこと</w:t>
      </w:r>
    </w:p>
    <w:p>
      <w:pPr>
        <w:spacing w:after="120" w:line="300"/>
      </w:pPr>
      <w:r>
        <w:rPr>
          <w:rFonts w:ascii="游明朝" w:cs="游明朝" w:eastAsia="游明朝" w:hAnsi="游明朝"/>
          <w:b w:val="false"/>
          <w:bCs w:val="false"/>
        </w:rPr>
        <w:t xml:space="preserve">周術期に後負荷を評価しようとすると、動脈ラインと心拍出量モニタが要り、侵襲と費用が伴う。一方で光電容積脈波（photoplethysmography：PPG）は全身麻酔症例のほぼ全例で既に連続記録されている。麻酔中にこの波形が刻々と形を変えることに着目した。ここから血管の情報を取り出せれば、非侵襲かつ追加装置なしで後負荷を連続的に監視でき、さらに脈波伝播時間（pulse wave transit time：PWTT）法による心拍出量推定、すなわち esCCO の改善にもつながりうる。これが大きな狙いである。</w:t>
      </w:r>
    </w:p>
    <w:p>
      <w:pPr>
        <w:spacing w:after="120" w:line="300"/>
      </w:pPr>
      <w:r>
        <w:rPr>
          <w:rFonts w:ascii="游明朝" w:cs="游明朝" w:eastAsia="游明朝" w:hAnsi="游明朝"/>
          <w:b w:val="false"/>
          <w:bCs w:val="false"/>
        </w:rPr>
        <w:t xml:space="preserve">明らかにしたいことは三段階ある。第一に、指標が実機の波形で安定して測れるか。第二に、それが術中の血管状態を反映するか。第三に、その情報で心拍出量推定が改善するか。この三段階を、公開データベースによる後ろ向き検討から前向き検証へと順に進める計画である。</w:t>
      </w:r>
    </w:p>
    <w:p>
      <w:pPr>
        <w:spacing w:after="120" w:line="300"/>
      </w:pPr>
      <w:r>
        <w:rPr>
          <w:rFonts w:ascii="游明朝" w:cs="游明朝" w:eastAsia="游明朝" w:hAnsi="游明朝"/>
          <w:b/>
          <w:bCs/>
        </w:rPr>
        <w:t xml:space="preserve">8月30日の報告からの変更点は、第一段階と第二段階で用いる指標を変えたことである。</w:t>
      </w:r>
      <w:r>
        <w:rPr>
          <w:rFonts w:ascii="游明朝" w:cs="游明朝" w:eastAsia="游明朝" w:hAnsi="游明朝"/>
          <w:b w:val="false"/>
          <w:bCs w:val="false"/>
        </w:rPr>
        <w:t xml:space="preserve">当時は脈波分解（pulse decomposition analysis：PDA）― 一拍を前進波と反射波の重ね合わせとしてモデル化し、スティフネス指標（SI）と反射指標（RI）を得る方法 ― を用いていた。これを、波形上の特徴点（fiducial point）から直接測る方法に変えた。根拠は第2節と第3節に述べる。</w:t>
      </w:r>
    </w:p>
    <w:p>
      <w:pPr>
        <w:spacing w:after="80" w:before="180"/>
      </w:pPr>
      <w:r>
        <w:rPr>
          <w:rFonts w:ascii="游明朝" w:cs="游明朝" w:eastAsia="游明朝" w:hAnsi="游明朝"/>
          <w:b/>
          <w:bCs/>
          <w:sz w:val="19"/>
          <w:szCs w:val="19"/>
        </w:rPr>
        <w:t xml:space="preserve">表1　研究の全体像</w:t>
      </w:r>
    </w:p>
    <w:tbl>
      <w:tblPr>
        <w:tblW w:type="dxa" w:w="9638"/>
        <w:tblBorders>
          <w:top w:val="single" w:color="B7C3CE" w:sz="4"/>
          <w:left w:val="single" w:color="B7C3CE" w:sz="4"/>
          <w:bottom w:val="single" w:color="B7C3CE" w:sz="4"/>
          <w:right w:val="single" w:color="B7C3CE" w:sz="4"/>
          <w:insideH w:val="single" w:color="D6DEE6" w:sz="2"/>
          <w:insideV w:val="single" w:color="D6DEE6" w:sz="2"/>
        </w:tblBorders>
      </w:tblPr>
      <w:tblGrid>
        <w:gridCol w:w="1100"/>
        <w:gridCol w:w="3300"/>
        <w:gridCol w:w="2100"/>
        <w:gridCol w:w="3138"/>
      </w:tblGrid>
      <w:tr>
        <w:trPr>
          <w:tblHeader/>
        </w:trPr>
        <w:tc>
          <w:tcPr>
            <w:tcW w:type="dxa" w:w="1100"/>
            <w:shd w:fill="EDF2F7" w:val="clear"/>
            <w:tcMar>
              <w:top w:type="dxa" w:w="60"/>
              <w:left w:type="dxa" w:w="90"/>
              <w:bottom w:type="dxa" w:w="60"/>
              <w:right w:type="dxa" w:w="90"/>
            </w:tcMar>
            <w:vAlign w:val="top"/>
          </w:tcPr>
          <w:p>
            <w:pPr>
              <w:spacing w:after="0" w:line="260"/>
            </w:pPr>
          </w:p>
        </w:tc>
        <w:tc>
          <w:tcPr>
            <w:tcW w:type="dxa" w:w="3300"/>
            <w:shd w:fill="EDF2F7" w:val="clear"/>
            <w:tcMar>
              <w:top w:type="dxa" w:w="60"/>
              <w:left w:type="dxa" w:w="90"/>
              <w:bottom w:type="dxa" w:w="60"/>
              <w:right w:type="dxa" w:w="90"/>
            </w:tcMar>
            <w:vAlign w:val="top"/>
          </w:tcPr>
          <w:p>
            <w:pPr>
              <w:spacing w:after="0" w:line="260"/>
            </w:pPr>
            <w:r>
              <w:rPr>
                <w:rFonts w:ascii="游明朝" w:cs="游明朝" w:eastAsia="游明朝" w:hAnsi="游明朝"/>
                <w:b/>
                <w:bCs/>
                <w:sz w:val="19"/>
                <w:szCs w:val="19"/>
              </w:rPr>
              <w:t xml:space="preserve">問い</w:t>
            </w:r>
          </w:p>
        </w:tc>
        <w:tc>
          <w:tcPr>
            <w:tcW w:type="dxa" w:w="2100"/>
            <w:shd w:fill="EDF2F7" w:val="clear"/>
            <w:tcMar>
              <w:top w:type="dxa" w:w="60"/>
              <w:left w:type="dxa" w:w="90"/>
              <w:bottom w:type="dxa" w:w="60"/>
              <w:right w:type="dxa" w:w="90"/>
            </w:tcMar>
            <w:vAlign w:val="top"/>
          </w:tcPr>
          <w:p>
            <w:pPr>
              <w:spacing w:after="0" w:line="260"/>
            </w:pPr>
            <w:r>
              <w:rPr>
                <w:rFonts w:ascii="游明朝" w:cs="游明朝" w:eastAsia="游明朝" w:hAnsi="游明朝"/>
                <w:b/>
                <w:bCs/>
                <w:sz w:val="19"/>
                <w:szCs w:val="19"/>
              </w:rPr>
              <w:t xml:space="preserve">対象</w:t>
            </w:r>
          </w:p>
        </w:tc>
        <w:tc>
          <w:tcPr>
            <w:tcW w:type="dxa" w:w="3138"/>
            <w:shd w:fill="EDF2F7" w:val="clear"/>
            <w:tcMar>
              <w:top w:type="dxa" w:w="60"/>
              <w:left w:type="dxa" w:w="90"/>
              <w:bottom w:type="dxa" w:w="60"/>
              <w:right w:type="dxa" w:w="90"/>
            </w:tcMar>
            <w:vAlign w:val="top"/>
          </w:tcPr>
          <w:p>
            <w:pPr>
              <w:spacing w:after="0" w:line="260"/>
            </w:pPr>
            <w:r>
              <w:rPr>
                <w:rFonts w:ascii="游明朝" w:cs="游明朝" w:eastAsia="游明朝" w:hAnsi="游明朝"/>
                <w:b/>
                <w:bCs/>
                <w:sz w:val="19"/>
                <w:szCs w:val="19"/>
              </w:rPr>
              <w:t xml:space="preserve">状況</w:t>
            </w:r>
          </w:p>
        </w:tc>
      </w:tr>
      <w:tr>
        <w:trPr>
          <w:tblHeader w:val="false"/>
        </w:trPr>
        <w:tc>
          <w:tcPr>
            <w:tcW w:type="dxa" w:w="11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研究1</w:t>
            </w:r>
          </w:p>
        </w:tc>
        <w:tc>
          <w:tcPr>
            <w:tcW w:type="dxa" w:w="33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血管指標は PWTT の変化を説明するか</w:t>
            </w:r>
          </w:p>
        </w:tc>
        <w:tc>
          <w:tcPr>
            <w:tcW w:type="dxa" w:w="21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VitalDB 862例</w:t>
            </w:r>
          </w:p>
        </w:tc>
        <w:tc>
          <w:tcPr>
            <w:tcW w:type="dxa" w:w="313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完了。投稿準備中</w:t>
            </w:r>
          </w:p>
        </w:tc>
      </w:tr>
      <w:tr>
        <w:trPr>
          <w:tblHeader w:val="false"/>
        </w:trPr>
        <w:tc>
          <w:tcPr>
            <w:tcW w:type="dxa" w:w="11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研究1b</w:t>
            </w:r>
          </w:p>
        </w:tc>
        <w:tc>
          <w:tcPr>
            <w:tcW w:type="dxa" w:w="33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その陰性は前駆出期に隠されていないか</w:t>
            </w:r>
          </w:p>
        </w:tc>
        <w:tc>
          <w:tcPr>
            <w:tcW w:type="dxa" w:w="21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VitalDB・動脈圧波形</w:t>
            </w:r>
          </w:p>
        </w:tc>
        <w:tc>
          <w:tcPr>
            <w:tcW w:type="dxa" w:w="313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完了。隠されていなかった</w:t>
            </w:r>
          </w:p>
        </w:tc>
      </w:tr>
      <w:tr>
        <w:trPr>
          <w:tblHeader w:val="false"/>
        </w:trPr>
        <w:tc>
          <w:tcPr>
            <w:tcW w:type="dxa" w:w="11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研究0</w:t>
            </w:r>
          </w:p>
        </w:tc>
        <w:tc>
          <w:tcPr>
            <w:tcW w:type="dxa" w:w="33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指標は測りたい量を測れているか</w:t>
            </w:r>
          </w:p>
        </w:tc>
        <w:tc>
          <w:tcPr>
            <w:tcW w:type="dxa" w:w="21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仮想被験者 4,374名</w:t>
            </w:r>
          </w:p>
        </w:tc>
        <w:tc>
          <w:tcPr>
            <w:tcW w:type="dxa" w:w="313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完了。分解法は測れておらず、特徴点法は測れていた</w:t>
            </w:r>
          </w:p>
        </w:tc>
      </w:tr>
      <w:tr>
        <w:trPr>
          <w:tblHeader w:val="false"/>
        </w:trPr>
        <w:tc>
          <w:tcPr>
            <w:tcW w:type="dxa" w:w="11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研究1c</w:t>
            </w:r>
          </w:p>
        </w:tc>
        <w:tc>
          <w:tcPr>
            <w:tcW w:type="dxa" w:w="33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指標は急性の血管トーヌス変化を捉えるか</w:t>
            </w:r>
          </w:p>
        </w:tc>
        <w:tc>
          <w:tcPr>
            <w:tcW w:type="dxa" w:w="21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VitalDB・昇圧薬159例</w:t>
            </w:r>
          </w:p>
        </w:tc>
        <w:tc>
          <w:tcPr>
            <w:tcW w:type="dxa" w:w="313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C-2 完了。C-1 は事前指定の凍結後</w:t>
            </w:r>
          </w:p>
        </w:tc>
      </w:tr>
      <w:tr>
        <w:trPr>
          <w:tblHeader w:val="false"/>
        </w:trPr>
        <w:tc>
          <w:tcPr>
            <w:tcW w:type="dxa" w:w="11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研究2</w:t>
            </w:r>
          </w:p>
        </w:tc>
        <w:tc>
          <w:tcPr>
            <w:tcW w:type="dxa" w:w="33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生波形なら特徴点は同定できるか</w:t>
            </w:r>
          </w:p>
        </w:tc>
        <w:tc>
          <w:tcPr>
            <w:tcW w:type="dxa" w:w="21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自施設10例</w:t>
            </w:r>
          </w:p>
        </w:tc>
        <w:tc>
          <w:tcPr>
            <w:tcW w:type="dxa" w:w="313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着手条件を満たした。計画段階</w:t>
            </w:r>
          </w:p>
        </w:tc>
      </w:tr>
      <w:tr>
        <w:trPr>
          <w:tblHeader w:val="false"/>
        </w:trPr>
        <w:tc>
          <w:tcPr>
            <w:tcW w:type="dxa" w:w="11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研究3</w:t>
            </w:r>
          </w:p>
        </w:tc>
        <w:tc>
          <w:tcPr>
            <w:tcW w:type="dxa" w:w="33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心拍出量推定は改善するか</w:t>
            </w:r>
          </w:p>
        </w:tc>
        <w:tc>
          <w:tcPr>
            <w:tcW w:type="dxa" w:w="21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多施設・熱希釈参照</w:t>
            </w:r>
          </w:p>
        </w:tc>
        <w:tc>
          <w:tcPr>
            <w:tcW w:type="dxa" w:w="313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最終段階</w:t>
            </w:r>
          </w:p>
        </w:tc>
      </w:tr>
    </w:tbl>
    <w:p>
      <w:pPr>
        <w:spacing w:after="120"/>
      </w:pPr>
    </w:p>
    <w:p>
      <w:pPr>
        <w:pStyle w:val="Heading1"/>
        <w:spacing w:after="160" w:before="320"/>
      </w:pPr>
      <w:r>
        <w:rPr>
          <w:rFonts w:ascii="游明朝" w:cs="游明朝" w:eastAsia="游明朝" w:hAnsi="游明朝"/>
          <w:b/>
          <w:bCs/>
          <w:color w:val="2E74B5"/>
          <w:sz w:val="26"/>
          <w:szCs w:val="26"/>
        </w:rPr>
        <w:t xml:space="preserve">2.　前回の報告以降に確定したこと</w:t>
      </w:r>
    </w:p>
    <w:p>
      <w:pPr>
        <w:spacing w:after="120" w:line="300"/>
      </w:pPr>
      <w:r>
        <w:rPr>
          <w:rFonts w:ascii="游明朝" w:cs="游明朝" w:eastAsia="游明朝" w:hAnsi="游明朝"/>
          <w:b w:val="false"/>
          <w:bCs w:val="false"/>
        </w:rPr>
        <w:t xml:space="preserve">三つある。いずれも参照心拍出量を用いない解析である。</w:t>
      </w:r>
    </w:p>
    <w:p>
      <w:pPr>
        <w:pStyle w:val="Heading2"/>
        <w:spacing w:after="110" w:before="220"/>
      </w:pPr>
      <w:r>
        <w:rPr>
          <w:rFonts w:ascii="游明朝" w:cs="游明朝" w:eastAsia="游明朝" w:hAnsi="游明朝"/>
          <w:b/>
          <w:bCs/>
          <w:sz w:val="22"/>
          <w:szCs w:val="22"/>
        </w:rPr>
        <w:t xml:space="preserve">(1)　前回「最優先」とした問いは決着した ― 前駆出期には隠されていなかった</w:t>
      </w:r>
    </w:p>
    <w:p>
      <w:pPr>
        <w:spacing w:after="120" w:line="300"/>
      </w:pPr>
      <w:r>
        <w:rPr>
          <w:rFonts w:ascii="游明朝" w:cs="游明朝" w:eastAsia="游明朝" w:hAnsi="游明朝"/>
          <w:b w:val="false"/>
          <w:bCs w:val="false"/>
        </w:rPr>
        <w:t xml:space="preserve">8月30日の報告では、研究1の陰性が前駆出期（pre-ejection period：PEP）によって隠されている可能性を最優先の問いとした。PWTT は前駆出期と動脈伝播時間の和であり、両者が逆向きに動けば互いを打ち消してしまうからである。VitalDB には橈骨動脈圧が同時記録されているので、そこから前駆出期を含まない末梢動脈区間（橈骨から指尖まで）を取り出し、直接確かめた。</w:t>
      </w:r>
    </w:p>
    <w:p>
      <w:pPr>
        <w:spacing w:after="80" w:before="180"/>
      </w:pPr>
      <w:r>
        <w:rPr>
          <w:rFonts w:ascii="游明朝" w:cs="游明朝" w:eastAsia="游明朝" w:hAnsi="游明朝"/>
          <w:b/>
          <w:bCs/>
          <w:sz w:val="19"/>
          <w:szCs w:val="19"/>
        </w:rPr>
        <w:t xml:space="preserve">表2　症例内の相対変化どうしの回帰（862例・161,737ウィンドウ）</w:t>
      </w:r>
    </w:p>
    <w:tbl>
      <w:tblPr>
        <w:tblW w:type="dxa" w:w="9638"/>
        <w:tblBorders>
          <w:top w:val="single" w:color="B7C3CE" w:sz="4"/>
          <w:left w:val="single" w:color="B7C3CE" w:sz="4"/>
          <w:bottom w:val="single" w:color="B7C3CE" w:sz="4"/>
          <w:right w:val="single" w:color="B7C3CE" w:sz="4"/>
          <w:insideH w:val="single" w:color="D6DEE6" w:sz="2"/>
          <w:insideV w:val="single" w:color="D6DEE6" w:sz="2"/>
        </w:tblBorders>
      </w:tblPr>
      <w:tblGrid>
        <w:gridCol w:w="4300"/>
        <w:gridCol w:w="3300"/>
        <w:gridCol w:w="2038"/>
      </w:tblGrid>
      <w:tr>
        <w:trPr>
          <w:tblHeader/>
        </w:trPr>
        <w:tc>
          <w:tcPr>
            <w:tcW w:type="dxa" w:w="4300"/>
            <w:shd w:fill="EDF2F7" w:val="clear"/>
            <w:tcMar>
              <w:top w:type="dxa" w:w="60"/>
              <w:left w:type="dxa" w:w="90"/>
              <w:bottom w:type="dxa" w:w="60"/>
              <w:right w:type="dxa" w:w="90"/>
            </w:tcMar>
            <w:vAlign w:val="top"/>
          </w:tcPr>
          <w:p>
            <w:pPr>
              <w:spacing w:after="0" w:line="260"/>
            </w:pPr>
            <w:r>
              <w:rPr>
                <w:rFonts w:ascii="游明朝" w:cs="游明朝" w:eastAsia="游明朝" w:hAnsi="游明朝"/>
                <w:b/>
                <w:bCs/>
                <w:sz w:val="19"/>
                <w:szCs w:val="19"/>
              </w:rPr>
              <w:t xml:space="preserve">被説明変数</w:t>
            </w:r>
          </w:p>
        </w:tc>
        <w:tc>
          <w:tcPr>
            <w:tcW w:type="dxa" w:w="3300"/>
            <w:shd w:fill="EDF2F7" w:val="clear"/>
            <w:tcMar>
              <w:top w:type="dxa" w:w="60"/>
              <w:left w:type="dxa" w:w="90"/>
              <w:bottom w:type="dxa" w:w="60"/>
              <w:right w:type="dxa" w:w="90"/>
            </w:tcMar>
            <w:vAlign w:val="top"/>
          </w:tcPr>
          <w:p>
            <w:pPr>
              <w:spacing w:after="0" w:line="260"/>
            </w:pPr>
            <w:r>
              <w:rPr>
                <w:rFonts w:ascii="游明朝" w:cs="游明朝" w:eastAsia="游明朝" w:hAnsi="游明朝"/>
                <w:b/>
                <w:bCs/>
                <w:sz w:val="19"/>
                <w:szCs w:val="19"/>
              </w:rPr>
              <w:t xml:space="preserve">説明変数</w:t>
            </w:r>
          </w:p>
        </w:tc>
        <w:tc>
          <w:tcPr>
            <w:tcW w:type="dxa" w:w="2038"/>
            <w:shd w:fill="EDF2F7" w:val="clear"/>
            <w:tcMar>
              <w:top w:type="dxa" w:w="60"/>
              <w:left w:type="dxa" w:w="90"/>
              <w:bottom w:type="dxa" w:w="60"/>
              <w:right w:type="dxa" w:w="90"/>
            </w:tcMar>
            <w:vAlign w:val="top"/>
          </w:tcPr>
          <w:p>
            <w:pPr>
              <w:spacing w:after="0" w:line="260"/>
            </w:pPr>
            <w:r>
              <w:rPr>
                <w:rFonts w:ascii="游明朝" w:cs="游明朝" w:eastAsia="游明朝" w:hAnsi="游明朝"/>
                <w:b/>
                <w:bCs/>
                <w:sz w:val="19"/>
                <w:szCs w:val="19"/>
              </w:rPr>
              <w:t xml:space="preserve">決定係数 r²</w:t>
            </w:r>
          </w:p>
        </w:tc>
      </w:tr>
      <w:tr>
        <w:trPr>
          <w:tblHeader w:val="false"/>
        </w:trPr>
        <w:tc>
          <w:tcPr>
            <w:tcW w:type="dxa" w:w="43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Δ(T2−T1)%（橈骨→指尖。前駆出期を含まない）</w:t>
            </w:r>
          </w:p>
        </w:tc>
        <w:tc>
          <w:tcPr>
            <w:tcW w:type="dxa" w:w="33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ΔT%（分解由来の血管指標）</w:t>
            </w:r>
          </w:p>
        </w:tc>
        <w:tc>
          <w:tcPr>
            <w:tcW w:type="dxa" w:w="2038"/>
            <w:tcMar>
              <w:top w:type="dxa" w:w="60"/>
              <w:left w:type="dxa" w:w="90"/>
              <w:bottom w:type="dxa" w:w="60"/>
              <w:right w:type="dxa" w:w="90"/>
            </w:tcMar>
            <w:vAlign w:val="top"/>
          </w:tcPr>
          <w:p>
            <w:pPr>
              <w:spacing w:after="0" w:line="260"/>
              <w:jc w:val="right"/>
            </w:pPr>
            <w:r>
              <w:rPr>
                <w:rFonts w:ascii="游明朝" w:cs="游明朝" w:eastAsia="游明朝" w:hAnsi="游明朝"/>
                <w:sz w:val="19"/>
                <w:szCs w:val="19"/>
              </w:rPr>
              <w:t xml:space="preserve">0.008</w:t>
            </w:r>
          </w:p>
        </w:tc>
      </w:tr>
      <w:tr>
        <w:trPr>
          <w:tblHeader w:val="false"/>
        </w:trPr>
        <w:tc>
          <w:tcPr>
            <w:tcW w:type="dxa" w:w="43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ΔPWTT%（比較）</w:t>
            </w:r>
          </w:p>
        </w:tc>
        <w:tc>
          <w:tcPr>
            <w:tcW w:type="dxa" w:w="33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ΔT%</w:t>
            </w:r>
          </w:p>
        </w:tc>
        <w:tc>
          <w:tcPr>
            <w:tcW w:type="dxa" w:w="2038"/>
            <w:tcMar>
              <w:top w:type="dxa" w:w="60"/>
              <w:left w:type="dxa" w:w="90"/>
              <w:bottom w:type="dxa" w:w="60"/>
              <w:right w:type="dxa" w:w="90"/>
            </w:tcMar>
            <w:vAlign w:val="top"/>
          </w:tcPr>
          <w:p>
            <w:pPr>
              <w:spacing w:after="0" w:line="260"/>
              <w:jc w:val="right"/>
            </w:pPr>
            <w:r>
              <w:rPr>
                <w:rFonts w:ascii="游明朝" w:cs="游明朝" w:eastAsia="游明朝" w:hAnsi="游明朝"/>
                <w:sz w:val="19"/>
                <w:szCs w:val="19"/>
              </w:rPr>
              <w:t xml:space="preserve">−0.053</w:t>
            </w:r>
          </w:p>
        </w:tc>
      </w:tr>
    </w:tbl>
    <w:p>
      <w:pPr>
        <w:spacing w:after="80"/>
      </w:pPr>
    </w:p>
    <w:p>
      <w:pPr>
        <w:spacing w:after="120" w:line="300"/>
      </w:pPr>
      <w:r>
        <w:rPr>
          <w:rFonts w:ascii="游明朝" w:cs="游明朝" w:eastAsia="游明朝" w:hAnsi="游明朝"/>
          <w:b/>
          <w:bCs/>
        </w:rPr>
        <w:t xml:space="preserve">前者は後者より大きくない。むしろ小さい。</w:t>
      </w:r>
      <w:r>
        <w:rPr>
          <w:rFonts w:ascii="游明朝" w:cs="游明朝" w:eastAsia="游明朝" w:hAnsi="游明朝"/>
          <w:b w:val="false"/>
          <w:bCs w:val="false"/>
        </w:rPr>
        <w:t xml:space="preserve">前駆出期を完全に除いた純粋な末梢動脈区間でも、血管指標は説明しなかった。研究1の陰性は前駆出期による見かけのものではない。動脈圧波形から作った指標（拡張期下降の時定数と最大上昇速度）で説明しても r² = 0.015 で、PPG の測定限界ではなく、その手前の問題であることが分かった。</w:t>
      </w:r>
    </w:p>
    <w:p>
      <w:pPr>
        <w:pStyle w:val="Heading2"/>
        <w:spacing w:after="110" w:before="220"/>
      </w:pPr>
      <w:r>
        <w:rPr>
          <w:rFonts w:ascii="游明朝" w:cs="游明朝" w:eastAsia="游明朝" w:hAnsi="游明朝"/>
          <w:b/>
          <w:bCs/>
          <w:sz w:val="22"/>
          <w:szCs w:val="22"/>
        </w:rPr>
        <w:t xml:space="preserve">(2)　指標そのものが、測りたい量を測れていなかった（研究0）</w:t>
      </w:r>
    </w:p>
    <w:p>
      <w:pPr>
        <w:spacing w:after="120" w:line="300"/>
      </w:pPr>
      <w:r>
        <w:rPr>
          <w:rFonts w:ascii="游明朝" w:cs="游明朝" w:eastAsia="游明朝" w:hAnsi="游明朝"/>
          <w:b w:val="false"/>
          <w:bCs w:val="false"/>
        </w:rPr>
        <w:t xml:space="preserve">これは前回の報告後に新しく行った検討である。Charlton らが公開している動脈網の数値モデルの出力（仮想被験者 4,374名。補足B）を用いた。仮想被験者なので、大動脈脈波伝播速度も末梢血管抵抗も</w:t>
      </w:r>
      <w:r>
        <w:rPr>
          <w:rFonts w:ascii="游明朝" w:cs="游明朝" w:eastAsia="游明朝" w:hAnsi="游明朝"/>
          <w:b/>
          <w:bCs/>
        </w:rPr>
        <w:t xml:space="preserve">真値が既知</w:t>
      </w:r>
      <w:r>
        <w:rPr>
          <w:rFonts w:ascii="游明朝" w:cs="游明朝" w:eastAsia="游明朝" w:hAnsi="游明朝"/>
          <w:b w:val="false"/>
          <w:bCs w:val="false"/>
        </w:rPr>
        <w:t xml:space="preserve">である。年齢層ごとの順位相関で、6層すべてが予測の向きかつ中央値 |ρ| ≥ 0.30 を満たせば成立と、</w:t>
      </w:r>
      <w:r>
        <w:rPr>
          <w:rFonts w:ascii="游明朝" w:cs="游明朝" w:eastAsia="游明朝" w:hAnsi="游明朝"/>
          <w:b/>
          <w:bCs/>
        </w:rPr>
        <w:t xml:space="preserve">解析前に決めて凍結した</w:t>
      </w:r>
      <w:r>
        <w:rPr>
          <w:rFonts w:ascii="游明朝" w:cs="游明朝" w:eastAsia="游明朝" w:hAnsi="游明朝"/>
          <w:b w:val="false"/>
          <w:bCs w:val="false"/>
        </w:rPr>
        <w:t xml:space="preserve">。</w:t>
      </w:r>
    </w:p>
    <w:p>
      <w:pPr>
        <w:spacing w:after="80" w:before="180"/>
      </w:pPr>
      <w:r>
        <w:rPr>
          <w:rFonts w:ascii="游明朝" w:cs="游明朝" w:eastAsia="游明朝" w:hAnsi="游明朝"/>
          <w:b/>
          <w:bCs/>
          <w:sz w:val="19"/>
          <w:szCs w:val="19"/>
        </w:rPr>
        <w:t xml:space="preserve">表3　年齢層内 Spearman 順位相関の中央値</w:t>
      </w:r>
    </w:p>
    <w:tbl>
      <w:tblPr>
        <w:tblW w:type="dxa" w:w="9638"/>
        <w:tblBorders>
          <w:top w:val="single" w:color="B7C3CE" w:sz="4"/>
          <w:left w:val="single" w:color="B7C3CE" w:sz="4"/>
          <w:bottom w:val="single" w:color="B7C3CE" w:sz="4"/>
          <w:right w:val="single" w:color="B7C3CE" w:sz="4"/>
          <w:insideH w:val="single" w:color="D6DEE6" w:sz="2"/>
          <w:insideV w:val="single" w:color="D6DEE6" w:sz="2"/>
        </w:tblBorders>
      </w:tblPr>
      <w:tblGrid>
        <w:gridCol w:w="3600"/>
        <w:gridCol w:w="2400"/>
        <w:gridCol w:w="2400"/>
        <w:gridCol w:w="1238"/>
      </w:tblGrid>
      <w:tr>
        <w:trPr>
          <w:tblHeader/>
        </w:trPr>
        <w:tc>
          <w:tcPr>
            <w:tcW w:type="dxa" w:w="3600"/>
            <w:shd w:fill="EDF2F7" w:val="clear"/>
            <w:tcMar>
              <w:top w:type="dxa" w:w="60"/>
              <w:left w:type="dxa" w:w="90"/>
              <w:bottom w:type="dxa" w:w="60"/>
              <w:right w:type="dxa" w:w="90"/>
            </w:tcMar>
            <w:vAlign w:val="top"/>
          </w:tcPr>
          <w:p>
            <w:pPr>
              <w:spacing w:after="0" w:line="260"/>
            </w:pPr>
            <w:r>
              <w:rPr>
                <w:rFonts w:ascii="游明朝" w:cs="游明朝" w:eastAsia="游明朝" w:hAnsi="游明朝"/>
                <w:b/>
                <w:bCs/>
                <w:sz w:val="19"/>
                <w:szCs w:val="19"/>
              </w:rPr>
              <w:t xml:space="preserve">指標の作り方</w:t>
            </w:r>
          </w:p>
        </w:tc>
        <w:tc>
          <w:tcPr>
            <w:tcW w:type="dxa" w:w="2400"/>
            <w:shd w:fill="EDF2F7" w:val="clear"/>
            <w:tcMar>
              <w:top w:type="dxa" w:w="60"/>
              <w:left w:type="dxa" w:w="90"/>
              <w:bottom w:type="dxa" w:w="60"/>
              <w:right w:type="dxa" w:w="90"/>
            </w:tcMar>
            <w:vAlign w:val="top"/>
          </w:tcPr>
          <w:p>
            <w:pPr>
              <w:spacing w:after="0" w:line="260"/>
            </w:pPr>
            <w:r>
              <w:rPr>
                <w:rFonts w:ascii="游明朝" w:cs="游明朝" w:eastAsia="游明朝" w:hAnsi="游明朝"/>
                <w:b/>
                <w:bCs/>
                <w:sz w:val="19"/>
                <w:szCs w:val="19"/>
              </w:rPr>
              <w:t xml:space="preserve">ΔT × 大動脈脈波伝播速度</w:t>
            </w:r>
          </w:p>
        </w:tc>
        <w:tc>
          <w:tcPr>
            <w:tcW w:type="dxa" w:w="2400"/>
            <w:shd w:fill="EDF2F7" w:val="clear"/>
            <w:tcMar>
              <w:top w:type="dxa" w:w="60"/>
              <w:left w:type="dxa" w:w="90"/>
              <w:bottom w:type="dxa" w:w="60"/>
              <w:right w:type="dxa" w:w="90"/>
            </w:tcMar>
            <w:vAlign w:val="top"/>
          </w:tcPr>
          <w:p>
            <w:pPr>
              <w:spacing w:after="0" w:line="260"/>
            </w:pPr>
            <w:r>
              <w:rPr>
                <w:rFonts w:ascii="游明朝" w:cs="游明朝" w:eastAsia="游明朝" w:hAnsi="游明朝"/>
                <w:b/>
                <w:bCs/>
                <w:sz w:val="19"/>
                <w:szCs w:val="19"/>
              </w:rPr>
              <w:t xml:space="preserve">RI × 末梢血管抵抗</w:t>
            </w:r>
          </w:p>
        </w:tc>
        <w:tc>
          <w:tcPr>
            <w:tcW w:type="dxa" w:w="1238"/>
            <w:shd w:fill="EDF2F7" w:val="clear"/>
            <w:tcMar>
              <w:top w:type="dxa" w:w="60"/>
              <w:left w:type="dxa" w:w="90"/>
              <w:bottom w:type="dxa" w:w="60"/>
              <w:right w:type="dxa" w:w="90"/>
            </w:tcMar>
            <w:vAlign w:val="top"/>
          </w:tcPr>
          <w:p>
            <w:pPr>
              <w:spacing w:after="0" w:line="260"/>
            </w:pPr>
            <w:r>
              <w:rPr>
                <w:rFonts w:ascii="游明朝" w:cs="游明朝" w:eastAsia="游明朝" w:hAnsi="游明朝"/>
                <w:b/>
                <w:bCs/>
                <w:sz w:val="19"/>
                <w:szCs w:val="19"/>
              </w:rPr>
              <w:t xml:space="preserve">判定</w:t>
            </w:r>
          </w:p>
        </w:tc>
      </w:tr>
      <w:tr>
        <w:trPr>
          <w:tblHeader w:val="false"/>
        </w:trPr>
        <w:tc>
          <w:tcPr>
            <w:tcW w:type="dxa" w:w="36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分解法（PDA）</w:t>
            </w:r>
          </w:p>
        </w:tc>
        <w:tc>
          <w:tcPr>
            <w:tcW w:type="dxa" w:w="2400"/>
            <w:tcMar>
              <w:top w:type="dxa" w:w="60"/>
              <w:left w:type="dxa" w:w="90"/>
              <w:bottom w:type="dxa" w:w="60"/>
              <w:right w:type="dxa" w:w="90"/>
            </w:tcMar>
            <w:vAlign w:val="top"/>
          </w:tcPr>
          <w:p>
            <w:pPr>
              <w:spacing w:after="0" w:line="260"/>
              <w:jc w:val="right"/>
            </w:pPr>
            <w:r>
              <w:rPr>
                <w:rFonts w:ascii="游明朝" w:cs="游明朝" w:eastAsia="游明朝" w:hAnsi="游明朝"/>
                <w:sz w:val="19"/>
                <w:szCs w:val="19"/>
              </w:rPr>
              <w:t xml:space="preserve">0.167</w:t>
            </w:r>
          </w:p>
        </w:tc>
        <w:tc>
          <w:tcPr>
            <w:tcW w:type="dxa" w:w="2400"/>
            <w:tcMar>
              <w:top w:type="dxa" w:w="60"/>
              <w:left w:type="dxa" w:w="90"/>
              <w:bottom w:type="dxa" w:w="60"/>
              <w:right w:type="dxa" w:w="90"/>
            </w:tcMar>
            <w:vAlign w:val="top"/>
          </w:tcPr>
          <w:p>
            <w:pPr>
              <w:spacing w:after="0" w:line="260"/>
              <w:jc w:val="right"/>
            </w:pPr>
            <w:r>
              <w:rPr>
                <w:rFonts w:ascii="游明朝" w:cs="游明朝" w:eastAsia="游明朝" w:hAnsi="游明朝"/>
                <w:sz w:val="19"/>
                <w:szCs w:val="19"/>
              </w:rPr>
              <w:t xml:space="preserve">0.354</w:t>
            </w:r>
          </w:p>
        </w:tc>
        <w:tc>
          <w:tcPr>
            <w:tcW w:type="dxa" w:w="123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不成立</w:t>
            </w:r>
          </w:p>
        </w:tc>
      </w:tr>
      <w:tr>
        <w:trPr>
          <w:tblHeader w:val="false"/>
        </w:trPr>
        <w:tc>
          <w:tcPr>
            <w:tcW w:type="dxa" w:w="36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特徴点法（同じ波形）</w:t>
            </w:r>
          </w:p>
        </w:tc>
        <w:tc>
          <w:tcPr>
            <w:tcW w:type="dxa" w:w="24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0.710</w:t>
            </w:r>
          </w:p>
        </w:tc>
        <w:tc>
          <w:tcPr>
            <w:tcW w:type="dxa" w:w="24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0.504</w:t>
            </w:r>
          </w:p>
        </w:tc>
        <w:tc>
          <w:tcPr>
            <w:tcW w:type="dxa" w:w="123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成立</w:t>
            </w:r>
          </w:p>
        </w:tc>
      </w:tr>
      <w:tr>
        <w:trPr>
          <w:tblHeader w:val="false"/>
        </w:trPr>
        <w:tc>
          <w:tcPr>
            <w:tcW w:type="dxa" w:w="36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早期振幅比 Am_b/Am_p1</w:t>
            </w:r>
          </w:p>
        </w:tc>
        <w:tc>
          <w:tcPr>
            <w:tcW w:type="dxa" w:w="24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0.836</w:t>
            </w:r>
          </w:p>
        </w:tc>
        <w:tc>
          <w:tcPr>
            <w:tcW w:type="dxa" w:w="2400"/>
            <w:tcMar>
              <w:top w:type="dxa" w:w="60"/>
              <w:left w:type="dxa" w:w="90"/>
              <w:bottom w:type="dxa" w:w="60"/>
              <w:right w:type="dxa" w:w="90"/>
            </w:tcMar>
            <w:vAlign w:val="top"/>
          </w:tcPr>
          <w:p>
            <w:pPr>
              <w:spacing w:after="0" w:line="260"/>
              <w:jc w:val="right"/>
            </w:pPr>
            <w:r>
              <w:rPr>
                <w:rFonts w:ascii="游明朝" w:cs="游明朝" w:eastAsia="游明朝" w:hAnsi="游明朝"/>
                <w:sz w:val="19"/>
                <w:szCs w:val="19"/>
              </w:rPr>
              <w:t xml:space="preserve">—</w:t>
            </w:r>
          </w:p>
        </w:tc>
        <w:tc>
          <w:tcPr>
            <w:tcW w:type="dxa" w:w="123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成立</w:t>
            </w:r>
          </w:p>
        </w:tc>
      </w:tr>
      <w:tr>
        <w:trPr>
          <w:tblHeader w:val="false"/>
        </w:trPr>
        <w:tc>
          <w:tcPr>
            <w:tcW w:type="dxa" w:w="36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モデル出力の脈波伝播時間（陽性対照）</w:t>
            </w:r>
          </w:p>
        </w:tc>
        <w:tc>
          <w:tcPr>
            <w:tcW w:type="dxa" w:w="2400"/>
            <w:tcMar>
              <w:top w:type="dxa" w:w="60"/>
              <w:left w:type="dxa" w:w="90"/>
              <w:bottom w:type="dxa" w:w="60"/>
              <w:right w:type="dxa" w:w="90"/>
            </w:tcMar>
            <w:vAlign w:val="top"/>
          </w:tcPr>
          <w:p>
            <w:pPr>
              <w:spacing w:after="0" w:line="260"/>
              <w:jc w:val="right"/>
            </w:pPr>
            <w:r>
              <w:rPr>
                <w:rFonts w:ascii="游明朝" w:cs="游明朝" w:eastAsia="游明朝" w:hAnsi="游明朝"/>
                <w:sz w:val="19"/>
                <w:szCs w:val="19"/>
              </w:rPr>
              <w:t xml:space="preserve">0.571</w:t>
            </w:r>
          </w:p>
        </w:tc>
        <w:tc>
          <w:tcPr>
            <w:tcW w:type="dxa" w:w="2400"/>
            <w:tcMar>
              <w:top w:type="dxa" w:w="60"/>
              <w:left w:type="dxa" w:w="90"/>
              <w:bottom w:type="dxa" w:w="60"/>
              <w:right w:type="dxa" w:w="90"/>
            </w:tcMar>
            <w:vAlign w:val="top"/>
          </w:tcPr>
          <w:p>
            <w:pPr>
              <w:spacing w:after="0" w:line="260"/>
              <w:jc w:val="right"/>
            </w:pPr>
            <w:r>
              <w:rPr>
                <w:rFonts w:ascii="游明朝" w:cs="游明朝" w:eastAsia="游明朝" w:hAnsi="游明朝"/>
                <w:sz w:val="19"/>
                <w:szCs w:val="19"/>
              </w:rPr>
              <w:t xml:space="preserve">—</w:t>
            </w:r>
          </w:p>
        </w:tc>
        <w:tc>
          <w:tcPr>
            <w:tcW w:type="dxa" w:w="123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合格</w:t>
            </w:r>
          </w:p>
        </w:tc>
      </w:tr>
    </w:tbl>
    <w:p>
      <w:pPr>
        <w:spacing w:after="80"/>
      </w:pPr>
    </w:p>
    <w:p>
      <w:pPr>
        <w:spacing w:after="120" w:line="300"/>
      </w:pPr>
      <w:r>
        <w:rPr>
          <w:rFonts w:ascii="游明朝" w:cs="游明朝" w:eastAsia="游明朝" w:hAnsi="游明朝"/>
          <w:b/>
          <w:bCs/>
        </w:rPr>
        <w:t xml:space="preserve">同じ被験者・同じ波形・同じ判定基準で、測り方を変えるだけで相関が4倍以上になる。</w:t>
      </w:r>
      <w:r>
        <w:rPr>
          <w:rFonts w:ascii="游明朝" w:cs="游明朝" w:eastAsia="游明朝" w:hAnsi="游明朝"/>
          <w:b w:val="false"/>
          <w:bCs w:val="false"/>
        </w:rPr>
        <w:t xml:space="preserve">問題は波形の側ではなく、波形から量を取り出す方法の側にあった。三通りに確かめている。実装の問題ではないこと（文献5本を精読して作り直しても同じ）、基底関数の選び方の問題ではないこと（12通りの総当たりでも最良 0.56）、文献の条件そのままでも同じであること（6本の初期値・境界・制約・目的関数を全文から起こして再現しても ΔT は最良 0.578）。</w:t>
      </w:r>
    </w:p>
    <w:p>
      <w:pPr>
        <w:pStyle w:val="Heading2"/>
        <w:spacing w:after="110" w:before="220"/>
      </w:pPr>
      <w:r>
        <w:rPr>
          <w:rFonts w:ascii="游明朝" w:cs="游明朝" w:eastAsia="游明朝" w:hAnsi="游明朝"/>
          <w:b/>
          <w:bCs/>
          <w:sz w:val="22"/>
          <w:szCs w:val="22"/>
        </w:rPr>
        <w:t xml:space="preserve">(3)　実機の波形で同定できるのは、早期振幅比だけだった</w:t>
      </w:r>
    </w:p>
    <w:p>
      <w:pPr>
        <w:spacing w:after="120" w:line="300"/>
      </w:pPr>
      <w:r>
        <w:rPr>
          <w:rFonts w:ascii="游明朝" w:cs="游明朝" w:eastAsia="游明朝" w:hAnsi="游明朝"/>
          <w:b w:val="false"/>
          <w:bCs w:val="false"/>
        </w:rPr>
        <w:t xml:space="preserve">理想波形で成立しても実機で通用するとは限らない。VitalDB の麻酔中モニタ波形20例・5,655ウィンドウで確かめた。基準（指標が計算できた割合が症例中央値で 0.70 以上、かつ隣のウィンドウとの再現性が 0.30 以上）も先に固定した。</w:t>
      </w:r>
    </w:p>
    <w:p>
      <w:pPr>
        <w:spacing w:after="80" w:before="180"/>
      </w:pPr>
      <w:r>
        <w:rPr>
          <w:rFonts w:ascii="游明朝" w:cs="游明朝" w:eastAsia="游明朝" w:hAnsi="游明朝"/>
          <w:b/>
          <w:bCs/>
          <w:sz w:val="19"/>
          <w:szCs w:val="19"/>
        </w:rPr>
        <w:t xml:space="preserve">表4　実機のモニタ波形での同定性（症例中央値）</w:t>
      </w:r>
    </w:p>
    <w:tbl>
      <w:tblPr>
        <w:tblW w:type="dxa" w:w="9638"/>
        <w:tblBorders>
          <w:top w:val="single" w:color="B7C3CE" w:sz="4"/>
          <w:left w:val="single" w:color="B7C3CE" w:sz="4"/>
          <w:bottom w:val="single" w:color="B7C3CE" w:sz="4"/>
          <w:right w:val="single" w:color="B7C3CE" w:sz="4"/>
          <w:insideH w:val="single" w:color="D6DEE6" w:sz="2"/>
          <w:insideV w:val="single" w:color="D6DEE6" w:sz="2"/>
        </w:tblBorders>
      </w:tblPr>
      <w:tblGrid>
        <w:gridCol w:w="3400"/>
        <w:gridCol w:w="2100"/>
        <w:gridCol w:w="2600"/>
        <w:gridCol w:w="1538"/>
      </w:tblGrid>
      <w:tr>
        <w:trPr>
          <w:tblHeader/>
        </w:trPr>
        <w:tc>
          <w:tcPr>
            <w:tcW w:type="dxa" w:w="3400"/>
            <w:shd w:fill="EDF2F7" w:val="clear"/>
            <w:tcMar>
              <w:top w:type="dxa" w:w="60"/>
              <w:left w:type="dxa" w:w="90"/>
              <w:bottom w:type="dxa" w:w="60"/>
              <w:right w:type="dxa" w:w="90"/>
            </w:tcMar>
            <w:vAlign w:val="top"/>
          </w:tcPr>
          <w:p>
            <w:pPr>
              <w:spacing w:after="0" w:line="260"/>
            </w:pPr>
            <w:r>
              <w:rPr>
                <w:rFonts w:ascii="游明朝" w:cs="游明朝" w:eastAsia="游明朝" w:hAnsi="游明朝"/>
                <w:b/>
                <w:bCs/>
                <w:sz w:val="19"/>
                <w:szCs w:val="19"/>
              </w:rPr>
              <w:t xml:space="preserve">指標</w:t>
            </w:r>
          </w:p>
        </w:tc>
        <w:tc>
          <w:tcPr>
            <w:tcW w:type="dxa" w:w="2100"/>
            <w:shd w:fill="EDF2F7" w:val="clear"/>
            <w:tcMar>
              <w:top w:type="dxa" w:w="60"/>
              <w:left w:type="dxa" w:w="90"/>
              <w:bottom w:type="dxa" w:w="60"/>
              <w:right w:type="dxa" w:w="90"/>
            </w:tcMar>
            <w:vAlign w:val="top"/>
          </w:tcPr>
          <w:p>
            <w:pPr>
              <w:spacing w:after="0" w:line="260"/>
            </w:pPr>
            <w:r>
              <w:rPr>
                <w:rFonts w:ascii="游明朝" w:cs="游明朝" w:eastAsia="游明朝" w:hAnsi="游明朝"/>
                <w:b/>
                <w:bCs/>
                <w:sz w:val="19"/>
                <w:szCs w:val="19"/>
              </w:rPr>
              <w:t xml:space="preserve">同定率</w:t>
            </w:r>
          </w:p>
        </w:tc>
        <w:tc>
          <w:tcPr>
            <w:tcW w:type="dxa" w:w="2600"/>
            <w:shd w:fill="EDF2F7" w:val="clear"/>
            <w:tcMar>
              <w:top w:type="dxa" w:w="60"/>
              <w:left w:type="dxa" w:w="90"/>
              <w:bottom w:type="dxa" w:w="60"/>
              <w:right w:type="dxa" w:w="90"/>
            </w:tcMar>
            <w:vAlign w:val="top"/>
          </w:tcPr>
          <w:p>
            <w:pPr>
              <w:spacing w:after="0" w:line="260"/>
            </w:pPr>
            <w:r>
              <w:rPr>
                <w:rFonts w:ascii="游明朝" w:cs="游明朝" w:eastAsia="游明朝" w:hAnsi="游明朝"/>
                <w:b/>
                <w:bCs/>
                <w:sz w:val="19"/>
                <w:szCs w:val="19"/>
              </w:rPr>
              <w:t xml:space="preserve">ウィンドウ間の再現性</w:t>
            </w:r>
          </w:p>
        </w:tc>
        <w:tc>
          <w:tcPr>
            <w:tcW w:type="dxa" w:w="1538"/>
            <w:shd w:fill="EDF2F7" w:val="clear"/>
            <w:tcMar>
              <w:top w:type="dxa" w:w="60"/>
              <w:left w:type="dxa" w:w="90"/>
              <w:bottom w:type="dxa" w:w="60"/>
              <w:right w:type="dxa" w:w="90"/>
            </w:tcMar>
            <w:vAlign w:val="top"/>
          </w:tcPr>
          <w:p>
            <w:pPr>
              <w:spacing w:after="0" w:line="260"/>
            </w:pPr>
            <w:r>
              <w:rPr>
                <w:rFonts w:ascii="游明朝" w:cs="游明朝" w:eastAsia="游明朝" w:hAnsi="游明朝"/>
                <w:b/>
                <w:bCs/>
                <w:sz w:val="19"/>
                <w:szCs w:val="19"/>
              </w:rPr>
              <w:t xml:space="preserve">判定</w:t>
            </w:r>
          </w:p>
        </w:tc>
      </w:tr>
      <w:tr>
        <w:trPr>
          <w:tblHeader w:val="false"/>
        </w:trPr>
        <w:tc>
          <w:tcPr>
            <w:tcW w:type="dxa" w:w="34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特徴点法の ΔT</w:t>
            </w:r>
          </w:p>
        </w:tc>
        <w:tc>
          <w:tcPr>
            <w:tcW w:type="dxa" w:w="2100"/>
            <w:tcMar>
              <w:top w:type="dxa" w:w="60"/>
              <w:left w:type="dxa" w:w="90"/>
              <w:bottom w:type="dxa" w:w="60"/>
              <w:right w:type="dxa" w:w="90"/>
            </w:tcMar>
            <w:vAlign w:val="top"/>
          </w:tcPr>
          <w:p>
            <w:pPr>
              <w:spacing w:after="0" w:line="260"/>
              <w:jc w:val="right"/>
            </w:pPr>
            <w:r>
              <w:rPr>
                <w:rFonts w:ascii="游明朝" w:cs="游明朝" w:eastAsia="游明朝" w:hAnsi="游明朝"/>
                <w:sz w:val="19"/>
                <w:szCs w:val="19"/>
              </w:rPr>
              <w:t xml:space="preserve">0.67</w:t>
            </w:r>
          </w:p>
        </w:tc>
        <w:tc>
          <w:tcPr>
            <w:tcW w:type="dxa" w:w="2600"/>
            <w:tcMar>
              <w:top w:type="dxa" w:w="60"/>
              <w:left w:type="dxa" w:w="90"/>
              <w:bottom w:type="dxa" w:w="60"/>
              <w:right w:type="dxa" w:w="90"/>
            </w:tcMar>
            <w:vAlign w:val="top"/>
          </w:tcPr>
          <w:p>
            <w:pPr>
              <w:spacing w:after="0" w:line="260"/>
              <w:jc w:val="right"/>
            </w:pPr>
            <w:r>
              <w:rPr>
                <w:rFonts w:ascii="游明朝" w:cs="游明朝" w:eastAsia="游明朝" w:hAnsi="游明朝"/>
                <w:sz w:val="19"/>
                <w:szCs w:val="19"/>
              </w:rPr>
              <w:t xml:space="preserve">0.64</w:t>
            </w:r>
          </w:p>
        </w:tc>
        <w:tc>
          <w:tcPr>
            <w:tcW w:type="dxa" w:w="153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同定できない</w:t>
            </w:r>
          </w:p>
        </w:tc>
      </w:tr>
      <w:tr>
        <w:trPr>
          <w:tblHeader w:val="false"/>
        </w:trPr>
        <w:tc>
          <w:tcPr>
            <w:tcW w:type="dxa" w:w="34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早期振幅比 Am_b/Am_p1</w:t>
            </w:r>
          </w:p>
        </w:tc>
        <w:tc>
          <w:tcPr>
            <w:tcW w:type="dxa" w:w="21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0.95</w:t>
            </w:r>
          </w:p>
        </w:tc>
        <w:tc>
          <w:tcPr>
            <w:tcW w:type="dxa" w:w="2600"/>
            <w:tcMar>
              <w:top w:type="dxa" w:w="60"/>
              <w:left w:type="dxa" w:w="90"/>
              <w:bottom w:type="dxa" w:w="60"/>
              <w:right w:type="dxa" w:w="90"/>
            </w:tcMar>
            <w:vAlign w:val="top"/>
          </w:tcPr>
          <w:p>
            <w:pPr>
              <w:spacing w:after="0" w:line="260"/>
              <w:jc w:val="right"/>
            </w:pPr>
            <w:r>
              <w:rPr>
                <w:rFonts w:ascii="游明朝" w:cs="游明朝" w:eastAsia="游明朝" w:hAnsi="游明朝"/>
                <w:sz w:val="19"/>
                <w:szCs w:val="19"/>
              </w:rPr>
              <w:t xml:space="preserve">0.36</w:t>
            </w:r>
          </w:p>
        </w:tc>
        <w:tc>
          <w:tcPr>
            <w:tcW w:type="dxa" w:w="153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同定できる</w:t>
            </w:r>
          </w:p>
        </w:tc>
      </w:tr>
      <w:tr>
        <w:trPr>
          <w:tblHeader w:val="false"/>
        </w:trPr>
        <w:tc>
          <w:tcPr>
            <w:tcW w:type="dxa" w:w="34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PWTT（陽性対照）</w:t>
            </w:r>
          </w:p>
        </w:tc>
        <w:tc>
          <w:tcPr>
            <w:tcW w:type="dxa" w:w="2100"/>
            <w:tcMar>
              <w:top w:type="dxa" w:w="60"/>
              <w:left w:type="dxa" w:w="90"/>
              <w:bottom w:type="dxa" w:w="60"/>
              <w:right w:type="dxa" w:w="90"/>
            </w:tcMar>
            <w:vAlign w:val="top"/>
          </w:tcPr>
          <w:p>
            <w:pPr>
              <w:spacing w:after="0" w:line="260"/>
              <w:jc w:val="right"/>
            </w:pPr>
            <w:r>
              <w:rPr>
                <w:rFonts w:ascii="游明朝" w:cs="游明朝" w:eastAsia="游明朝" w:hAnsi="游明朝"/>
                <w:sz w:val="19"/>
                <w:szCs w:val="19"/>
              </w:rPr>
              <w:t xml:space="preserve">—</w:t>
            </w:r>
          </w:p>
        </w:tc>
        <w:tc>
          <w:tcPr>
            <w:tcW w:type="dxa" w:w="2600"/>
            <w:tcMar>
              <w:top w:type="dxa" w:w="60"/>
              <w:left w:type="dxa" w:w="90"/>
              <w:bottom w:type="dxa" w:w="60"/>
              <w:right w:type="dxa" w:w="90"/>
            </w:tcMar>
            <w:vAlign w:val="top"/>
          </w:tcPr>
          <w:p>
            <w:pPr>
              <w:spacing w:after="0" w:line="260"/>
              <w:jc w:val="right"/>
            </w:pPr>
            <w:r>
              <w:rPr>
                <w:rFonts w:ascii="游明朝" w:cs="游明朝" w:eastAsia="游明朝" w:hAnsi="游明朝"/>
                <w:sz w:val="19"/>
                <w:szCs w:val="19"/>
              </w:rPr>
              <w:t xml:space="preserve">0.80</w:t>
            </w:r>
          </w:p>
        </w:tc>
        <w:tc>
          <w:tcPr>
            <w:tcW w:type="dxa" w:w="153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合格</w:t>
            </w:r>
          </w:p>
        </w:tc>
      </w:tr>
    </w:tbl>
    <w:p>
      <w:pPr>
        <w:spacing w:after="80"/>
      </w:pPr>
    </w:p>
    <w:p>
      <w:pPr>
        <w:spacing w:after="120" w:line="300"/>
      </w:pPr>
      <w:r>
        <w:rPr>
          <w:rFonts w:ascii="游明朝" w:cs="游明朝" w:eastAsia="游明朝" w:hAnsi="游明朝"/>
          <w:b w:val="false"/>
          <w:bCs w:val="false"/>
        </w:rPr>
        <w:t xml:space="preserve">特徴点法の ΔT が基準を満たさなかった理由は明快で、</w:t>
      </w:r>
      <w:r>
        <w:rPr>
          <w:rFonts w:ascii="游明朝" w:cs="游明朝" w:eastAsia="游明朝" w:hAnsi="游明朝"/>
          <w:b/>
          <w:bCs/>
        </w:rPr>
        <w:t xml:space="preserve">平均拍の34%で拡張期ピークが定義できなかった</w:t>
      </w:r>
      <w:r>
        <w:rPr>
          <w:rFonts w:ascii="游明朝" w:cs="游明朝" w:eastAsia="游明朝" w:hAnsi="游明朝"/>
          <w:b w:val="false"/>
          <w:bCs w:val="false"/>
        </w:rPr>
        <w:t xml:space="preserve">からである（重複切痕も下降脚の変曲点も無い波形）。麻酔中は血管が拡張して切痕が消えやすく、モニタの帯域制限も効く。</w:t>
      </w:r>
      <w:r>
        <w:rPr>
          <w:rFonts w:ascii="游明朝" w:cs="游明朝" w:eastAsia="游明朝" w:hAnsi="游明朝"/>
          <w:b/>
          <w:bCs/>
        </w:rPr>
        <w:t xml:space="preserve">どちらが主因かは、この検討では分けられない。</w:t>
      </w:r>
      <w:r>
        <w:rPr>
          <w:rFonts w:ascii="游明朝" w:cs="游明朝" w:eastAsia="游明朝" w:hAnsi="游明朝"/>
          <w:b w:val="false"/>
          <w:bCs w:val="false"/>
        </w:rPr>
        <w:t xml:space="preserve">早期振幅比は拍の上昇脚だけを使うので、切痕が無くても計算できる（補足C）。</w:t>
      </w:r>
    </w:p>
    <w:p>
      <w:pPr>
        <w:spacing w:after="120"/>
      </w:pPr>
    </w:p>
    <w:p>
      <w:pPr>
        <w:pStyle w:val="Heading1"/>
        <w:spacing w:after="160" w:before="320"/>
      </w:pPr>
      <w:r>
        <w:rPr>
          <w:rFonts w:ascii="游明朝" w:cs="游明朝" w:eastAsia="游明朝" w:hAnsi="游明朝"/>
          <w:b/>
          <w:bCs/>
          <w:color w:val="2E74B5"/>
          <w:sz w:val="26"/>
          <w:szCs w:val="26"/>
        </w:rPr>
        <w:t xml:space="preserve">3.　わかったこと</w:t>
      </w:r>
    </w:p>
    <w:p>
      <w:pPr>
        <w:spacing w:after="120" w:line="300"/>
      </w:pPr>
      <w:r>
        <w:rPr>
          <w:rFonts w:ascii="游明朝" w:cs="游明朝" w:eastAsia="游明朝" w:hAnsi="游明朝"/>
          <w:b/>
          <w:bCs/>
        </w:rPr>
        <w:t xml:space="preserve">(1)　研究1の陰性は、測定の失敗でも前駆出期による見かけでもなく、指標の作り方に由来していた。</w:t>
      </w:r>
      <w:r>
        <w:rPr>
          <w:rFonts w:ascii="游明朝" w:cs="游明朝" w:eastAsia="游明朝" w:hAnsi="游明朝"/>
          <w:b w:val="false"/>
          <w:bCs w:val="false"/>
        </w:rPr>
        <w:t xml:space="preserve">分解法が返す量は、真値が既知のデータで血管の量を追わなかった。同じ波形から特徴点で測れば追った。</w:t>
      </w:r>
    </w:p>
    <w:p>
      <w:pPr>
        <w:spacing w:after="120" w:line="300"/>
      </w:pPr>
      <w:r>
        <w:rPr>
          <w:rFonts w:ascii="游明朝" w:cs="游明朝" w:eastAsia="游明朝" w:hAnsi="游明朝"/>
          <w:b/>
          <w:bCs/>
        </w:rPr>
        <w:t xml:space="preserve">(2)　ただし文献の報告と矛盾はしない。</w:t>
      </w:r>
      <w:r>
        <w:rPr>
          <w:rFonts w:ascii="游明朝" w:cs="游明朝" w:eastAsia="游明朝" w:hAnsi="游明朝"/>
          <w:b w:val="false"/>
          <w:bCs w:val="false"/>
        </w:rPr>
        <w:t xml:space="preserve">文献が分解法について評価していたのは、当てはまりの良さ・雑音や体動への頑健性・切痕が無くても値が返ること、の三点である。</w:t>
      </w:r>
      <w:r>
        <w:rPr>
          <w:rFonts w:ascii="游明朝" w:cs="游明朝" w:eastAsia="游明朝" w:hAnsi="游明朝"/>
          <w:b/>
          <w:bCs/>
        </w:rPr>
        <w:t xml:space="preserve">この三点は我々のデータでも再現した</w:t>
      </w:r>
      <w:r>
        <w:rPr>
          <w:rFonts w:ascii="游明朝" w:cs="游明朝" w:eastAsia="游明朝" w:hAnsi="游明朝"/>
          <w:b w:val="false"/>
          <w:bCs w:val="false"/>
        </w:rPr>
        <w:t xml:space="preserve">（実機で分解由来の値は同定率がほぼ 1.00 に対し特徴点法は 0.61。拡張期ピークが定義できないウィンドウでも隣のウィンドウと再現する）。我々が落としたのは「年齢層内で真値と順位が一致するか」という、これらの論文がそのままの形では評価していない項目である。当てはまりの良さは、この種の失敗を原理的に検出できない。実際、成分を増やすと当てはめ誤差は下がるのに、真値との相関は下がった。</w:t>
      </w:r>
    </w:p>
    <w:p>
      <w:pPr>
        <w:spacing w:after="120" w:line="300"/>
      </w:pPr>
      <w:r>
        <w:rPr>
          <w:rFonts w:ascii="游明朝" w:cs="游明朝" w:eastAsia="游明朝" w:hAnsi="游明朝"/>
          <w:b/>
          <w:bCs/>
        </w:rPr>
        <w:t xml:space="preserve">(3)　方針を変えた。分解法で血管指標を作る方針は取らない。</w:t>
      </w:r>
      <w:r>
        <w:rPr>
          <w:rFonts w:ascii="游明朝" w:cs="游明朝" w:eastAsia="游明朝" w:hAnsi="游明朝"/>
          <w:b w:val="false"/>
          <w:bCs w:val="false"/>
        </w:rPr>
        <w:t xml:space="preserve">主指標候補を早期振幅比 Am_b/Am_p1（補足C）に切り替えた。真値のあるデータで最も良く（0.836）、実機で同定できる唯一の指標である。論文には「分解法が誤っている」とは書かない。分解由来の量と特徴点由来の量は</w:t>
      </w:r>
      <w:r>
        <w:rPr>
          <w:rFonts w:ascii="游明朝" w:cs="游明朝" w:eastAsia="游明朝" w:hAnsi="游明朝"/>
          <w:b/>
          <w:bCs/>
        </w:rPr>
        <w:t xml:space="preserve">別の量</w:t>
      </w:r>
      <w:r>
        <w:rPr>
          <w:rFonts w:ascii="游明朝" w:cs="游明朝" w:eastAsia="游明朝" w:hAnsi="游明朝"/>
          <w:b w:val="false"/>
          <w:bCs w:val="false"/>
        </w:rPr>
        <w:t xml:space="preserve">であり（Goswami 2010 が数式で示している）、この問いでは後者のみが真値と相関した、と書く。</w:t>
      </w:r>
    </w:p>
    <w:p>
      <w:pPr>
        <w:spacing w:after="120" w:line="300"/>
      </w:pPr>
      <w:r>
        <w:rPr>
          <w:rFonts w:ascii="游明朝" w:cs="游明朝" w:eastAsia="游明朝" w:hAnsi="游明朝"/>
          <w:b/>
          <w:bCs/>
        </w:rPr>
        <w:t xml:space="preserve">(4)　「使えない」の意味は限定して書く。</w:t>
      </w:r>
      <w:r>
        <w:rPr>
          <w:rFonts w:ascii="游明朝" w:cs="游明朝" w:eastAsia="游明朝" w:hAnsi="游明朝"/>
          <w:b w:val="false"/>
          <w:bCs w:val="false"/>
        </w:rPr>
        <w:t xml:space="preserve">分解由来の ΔT は何も測っていないのではない。脈波伝播速度に対する感度はある（振った6因子のうち主効果が最大で、6層すべてが予測の向き）。できないのは</w:t>
      </w:r>
      <w:r>
        <w:rPr>
          <w:rFonts w:ascii="游明朝" w:cs="游明朝" w:eastAsia="游明朝" w:hAnsi="游明朝"/>
          <w:b/>
          <w:bCs/>
        </w:rPr>
        <w:t xml:space="preserve">同じ年齢の2人を血管の硬さで順序づけること</w:t>
      </w:r>
      <w:r>
        <w:rPr>
          <w:rFonts w:ascii="游明朝" w:cs="游明朝" w:eastAsia="游明朝" w:hAnsi="游明朝"/>
          <w:b w:val="false"/>
          <w:bCs w:val="false"/>
        </w:rPr>
        <w:t xml:space="preserve">である。これは esCCO の較正定数の補正が必要とすることそのもので、較正定数には既に年齢と体格が入っているため、年齢で説明できる情報を足しても補正にはならない。</w:t>
      </w:r>
    </w:p>
    <w:p>
      <w:pPr>
        <w:spacing w:after="120"/>
      </w:pPr>
    </w:p>
    <w:p>
      <w:pPr>
        <w:pStyle w:val="Heading1"/>
        <w:spacing w:after="160" w:before="320"/>
      </w:pPr>
      <w:r>
        <w:rPr>
          <w:rFonts w:ascii="游明朝" w:cs="游明朝" w:eastAsia="游明朝" w:hAnsi="游明朝"/>
          <w:b/>
          <w:bCs/>
          <w:color w:val="2E74B5"/>
          <w:sz w:val="26"/>
          <w:szCs w:val="26"/>
        </w:rPr>
        <w:t xml:space="preserve">4.　次の一手</w:t>
      </w:r>
    </w:p>
    <w:tbl>
      <w:tblPr>
        <w:tblW w:type="dxa" w:w="9638"/>
        <w:tblBorders>
          <w:top w:val="single" w:color="B7C3CE" w:sz="4"/>
          <w:left w:val="single" w:color="B7C3CE" w:sz="4"/>
          <w:bottom w:val="single" w:color="B7C3CE" w:sz="4"/>
          <w:right w:val="single" w:color="B7C3CE" w:sz="4"/>
          <w:insideH w:val="single" w:color="D6DEE6" w:sz="2"/>
          <w:insideV w:val="single" w:color="D6DEE6" w:sz="2"/>
        </w:tblBorders>
      </w:tblPr>
      <w:tblGrid>
        <w:gridCol w:w="420"/>
        <w:gridCol w:w="2900"/>
        <w:gridCol w:w="4600"/>
        <w:gridCol w:w="1718"/>
      </w:tblGrid>
      <w:tr>
        <w:trPr>
          <w:tblHeader/>
        </w:trPr>
        <w:tc>
          <w:tcPr>
            <w:tcW w:type="dxa" w:w="420"/>
            <w:shd w:fill="EDF2F7" w:val="clear"/>
            <w:tcMar>
              <w:top w:type="dxa" w:w="60"/>
              <w:left w:type="dxa" w:w="90"/>
              <w:bottom w:type="dxa" w:w="60"/>
              <w:right w:type="dxa" w:w="90"/>
            </w:tcMar>
            <w:vAlign w:val="top"/>
          </w:tcPr>
          <w:p>
            <w:pPr>
              <w:spacing w:after="0" w:line="260"/>
            </w:pPr>
          </w:p>
        </w:tc>
        <w:tc>
          <w:tcPr>
            <w:tcW w:type="dxa" w:w="2900"/>
            <w:shd w:fill="EDF2F7" w:val="clear"/>
            <w:tcMar>
              <w:top w:type="dxa" w:w="60"/>
              <w:left w:type="dxa" w:w="90"/>
              <w:bottom w:type="dxa" w:w="60"/>
              <w:right w:type="dxa" w:w="90"/>
            </w:tcMar>
            <w:vAlign w:val="top"/>
          </w:tcPr>
          <w:p>
            <w:pPr>
              <w:spacing w:after="0" w:line="260"/>
            </w:pPr>
            <w:r>
              <w:rPr>
                <w:rFonts w:ascii="游明朝" w:cs="游明朝" w:eastAsia="游明朝" w:hAnsi="游明朝"/>
                <w:b/>
                <w:bCs/>
                <w:sz w:val="19"/>
                <w:szCs w:val="19"/>
              </w:rPr>
              <w:t xml:space="preserve">やること</w:t>
            </w:r>
          </w:p>
        </w:tc>
        <w:tc>
          <w:tcPr>
            <w:tcW w:type="dxa" w:w="4600"/>
            <w:shd w:fill="EDF2F7" w:val="clear"/>
            <w:tcMar>
              <w:top w:type="dxa" w:w="60"/>
              <w:left w:type="dxa" w:w="90"/>
              <w:bottom w:type="dxa" w:w="60"/>
              <w:right w:type="dxa" w:w="90"/>
            </w:tcMar>
            <w:vAlign w:val="top"/>
          </w:tcPr>
          <w:p>
            <w:pPr>
              <w:spacing w:after="0" w:line="260"/>
            </w:pPr>
            <w:r>
              <w:rPr>
                <w:rFonts w:ascii="游明朝" w:cs="游明朝" w:eastAsia="游明朝" w:hAnsi="游明朝"/>
                <w:b/>
                <w:bCs/>
                <w:sz w:val="19"/>
                <w:szCs w:val="19"/>
              </w:rPr>
              <w:t xml:space="preserve">内容</w:t>
            </w:r>
          </w:p>
        </w:tc>
        <w:tc>
          <w:tcPr>
            <w:tcW w:type="dxa" w:w="1718"/>
            <w:shd w:fill="EDF2F7" w:val="clear"/>
            <w:tcMar>
              <w:top w:type="dxa" w:w="60"/>
              <w:left w:type="dxa" w:w="90"/>
              <w:bottom w:type="dxa" w:w="60"/>
              <w:right w:type="dxa" w:w="90"/>
            </w:tcMar>
            <w:vAlign w:val="top"/>
          </w:tcPr>
          <w:p>
            <w:pPr>
              <w:spacing w:after="0" w:line="260"/>
            </w:pPr>
            <w:r>
              <w:rPr>
                <w:rFonts w:ascii="游明朝" w:cs="游明朝" w:eastAsia="游明朝" w:hAnsi="游明朝"/>
                <w:b/>
                <w:bCs/>
                <w:sz w:val="19"/>
                <w:szCs w:val="19"/>
              </w:rPr>
              <w:t xml:space="preserve">時期</w:t>
            </w:r>
          </w:p>
        </w:tc>
      </w:tr>
      <w:tr>
        <w:trPr>
          <w:tblHeader w:val="false"/>
        </w:trPr>
        <w:tc>
          <w:tcPr>
            <w:tcW w:type="dxa" w:w="42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1</w:t>
            </w:r>
          </w:p>
        </w:tc>
        <w:tc>
          <w:tcPr>
            <w:tcW w:type="dxa" w:w="29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研究1の原稿を仕上げて投稿する</w:t>
            </w:r>
          </w:p>
        </w:tc>
        <w:tc>
          <w:tcPr>
            <w:tcW w:type="dxa" w:w="46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解析はすべて終わっている。残りは投稿体裁・英文校正・利益相反申告</w:t>
            </w:r>
          </w:p>
        </w:tc>
        <w:tc>
          <w:tcPr>
            <w:tcW w:type="dxa" w:w="171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〜2026年10月</w:t>
            </w:r>
          </w:p>
        </w:tc>
      </w:tr>
      <w:tr>
        <w:trPr>
          <w:tblHeader w:val="false"/>
        </w:trPr>
        <w:tc>
          <w:tcPr>
            <w:tcW w:type="dxa" w:w="42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2</w:t>
            </w:r>
          </w:p>
        </w:tc>
        <w:tc>
          <w:tcPr>
            <w:tcW w:type="dxa" w:w="29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早期振幅比で前提検証をやり直す</w:t>
            </w:r>
            <w:r>
              <w:rPr>
                <w:rFonts w:ascii="游明朝" w:cs="游明朝" w:eastAsia="游明朝" w:hAnsi="游明朝"/>
                <w:sz w:val="19"/>
                <w:szCs w:val="19"/>
              </w:rPr>
              <w:t xml:space="preserve">（探索的）</w:t>
            </w:r>
          </w:p>
        </w:tc>
        <w:tc>
          <w:tcPr>
            <w:tcW w:type="dxa" w:w="46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実機で基準を満たしたのはこの指標だけである。設計は結果を見る前に凍結済み。研究1と同一の862例・同一のウィンドウを使うので、追加のデータ取得は要らない</w:t>
            </w:r>
          </w:p>
        </w:tc>
        <w:tc>
          <w:tcPr>
            <w:tcW w:type="dxa" w:w="171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1と並行</w:t>
            </w:r>
          </w:p>
        </w:tc>
      </w:tr>
      <w:tr>
        <w:trPr>
          <w:tblHeader w:val="false"/>
        </w:trPr>
        <w:tc>
          <w:tcPr>
            <w:tcW w:type="dxa" w:w="42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3</w:t>
            </w:r>
          </w:p>
        </w:tc>
        <w:tc>
          <w:tcPr>
            <w:tcW w:type="dxa" w:w="29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研究1c C-1（昇圧薬の用量ステップ）</w:t>
            </w:r>
          </w:p>
        </w:tc>
        <w:tc>
          <w:tcPr>
            <w:tcW w:type="dxa" w:w="46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フェニレフリンの用量変更を自然実験として使う。事前指定を凍結してから実施する</w:t>
            </w:r>
          </w:p>
        </w:tc>
        <w:tc>
          <w:tcPr>
            <w:tcW w:type="dxa" w:w="171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2026年10〜12月</w:t>
            </w:r>
          </w:p>
        </w:tc>
      </w:tr>
      <w:tr>
        <w:trPr>
          <w:tblHeader w:val="false"/>
        </w:trPr>
        <w:tc>
          <w:tcPr>
            <w:tcW w:type="dxa" w:w="42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4</w:t>
            </w:r>
          </w:p>
        </w:tc>
        <w:tc>
          <w:tcPr>
            <w:tcW w:type="dxa" w:w="29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研究2（生波形）の計画と倫理申請</w:t>
            </w:r>
          </w:p>
        </w:tc>
        <w:tc>
          <w:tcPr>
            <w:tcW w:type="dxa" w:w="46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モニタの信号処理を経ていない波形で特徴点が同定できるかを自施設10例で見る。設計に「同じ患者の生波形とモニタ波形で波形型の分布を比べる」を入れ、信号処理の影響と麻酔下の生理を分ける</w:t>
            </w:r>
          </w:p>
        </w:tc>
        <w:tc>
          <w:tcPr>
            <w:tcW w:type="dxa" w:w="171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2027年〜</w:t>
            </w:r>
          </w:p>
        </w:tc>
      </w:tr>
    </w:tbl>
    <w:p>
      <w:pPr>
        <w:spacing w:after="80"/>
      </w:pPr>
    </w:p>
    <w:p>
      <w:pPr>
        <w:spacing w:after="120" w:line="300"/>
      </w:pPr>
      <w:r>
        <w:rPr>
          <w:rFonts w:ascii="游明朝" w:cs="游明朝" w:eastAsia="游明朝" w:hAnsi="游明朝"/>
          <w:b w:val="false"/>
          <w:bCs w:val="false"/>
        </w:rPr>
        <w:t xml:space="preserve">研究3の一次仮説は、研究1c C-1 の結果を見てから決める。</w:t>
      </w:r>
    </w:p>
    <w:p>
      <w:pPr>
        <w:spacing w:after="120"/>
      </w:pPr>
    </w:p>
    <w:p>
      <w:pPr>
        <w:pStyle w:val="Heading1"/>
        <w:spacing w:after="160" w:before="320"/>
      </w:pPr>
      <w:r>
        <w:rPr>
          <w:rFonts w:ascii="游明朝" w:cs="游明朝" w:eastAsia="游明朝" w:hAnsi="游明朝"/>
          <w:b/>
          <w:bCs/>
          <w:color w:val="2E74B5"/>
          <w:sz w:val="26"/>
          <w:szCs w:val="26"/>
        </w:rPr>
        <w:t xml:space="preserve">5.　ご相談したい点</w:t>
      </w:r>
    </w:p>
    <w:p>
      <w:pPr>
        <w:spacing w:after="120" w:line="300"/>
      </w:pPr>
      <w:r>
        <w:rPr>
          <w:rFonts w:ascii="游明朝" w:cs="游明朝" w:eastAsia="游明朝" w:hAnsi="游明朝"/>
          <w:b/>
          <w:bCs/>
        </w:rPr>
        <w:t xml:space="preserve">1点目は、研究2（自施設10例・生波形の取得）の倫理申請を進めてよいかについて。</w:t>
      </w:r>
      <w:r>
        <w:rPr>
          <w:rFonts w:ascii="游明朝" w:cs="游明朝" w:eastAsia="游明朝" w:hAnsi="游明朝"/>
          <w:b w:val="false"/>
          <w:bCs w:val="false"/>
        </w:rPr>
        <w:t xml:space="preserve">第2節(3)のとおり、麻酔中のモニタ波形では平均拍の34%で拡張期ピークが失われている。これが信号処理によるのか麻酔下の血管拡張によるのかは、</w:t>
      </w:r>
      <w:r>
        <w:rPr>
          <w:rFonts w:ascii="游明朝" w:cs="游明朝" w:eastAsia="游明朝" w:hAnsi="游明朝"/>
          <w:b/>
          <w:bCs/>
        </w:rPr>
        <w:t xml:space="preserve">同じ患者で生波形とモニタ波形の両方を記録しない限り分けられない</w:t>
      </w:r>
      <w:r>
        <w:rPr>
          <w:rFonts w:ascii="游明朝" w:cs="游明朝" w:eastAsia="游明朝" w:hAnsi="游明朝"/>
          <w:b w:val="false"/>
          <w:bCs w:val="false"/>
        </w:rPr>
        <w:t xml:space="preserve">。公開されている生波形データベースを調べたが、いずれも健常成人の安静時または運動後で、この問いには使えない。</w:t>
      </w:r>
    </w:p>
    <w:p>
      <w:pPr>
        <w:spacing w:after="120" w:line="300"/>
      </w:pPr>
      <w:r>
        <w:rPr>
          <w:rFonts w:ascii="游明朝" w:cs="游明朝" w:eastAsia="游明朝" w:hAnsi="游明朝"/>
          <w:b/>
          <w:bCs/>
        </w:rPr>
        <w:t xml:space="preserve">2点目は、研究1の投稿先について。</w:t>
      </w:r>
      <w:r>
        <w:rPr>
          <w:rFonts w:ascii="游明朝" w:cs="游明朝" w:eastAsia="游明朝" w:hAnsi="游明朝"/>
          <w:b w:val="false"/>
          <w:bCs w:val="false"/>
        </w:rPr>
        <w:t xml:space="preserve">掲載料が発生しない誌を優先して Physiological Measurement を第一候補としているが、麻酔科領域の誌に出すべきかご意見を伺いたい。</w:t>
      </w:r>
    </w:p>
    <w:p>
      <w:pPr>
        <w:spacing w:after="120" w:line="300"/>
      </w:pPr>
      <w:r>
        <w:rPr>
          <w:rFonts w:ascii="游明朝" w:cs="游明朝" w:eastAsia="游明朝" w:hAnsi="游明朝"/>
          <w:b/>
          <w:bCs/>
        </w:rPr>
        <w:t xml:space="preserve">3点目は、研究3を前向き多施設で立てる場合の連携先について。</w:t>
      </w:r>
      <w:r>
        <w:rPr>
          <w:rFonts w:ascii="游明朝" w:cs="游明朝" w:eastAsia="游明朝" w:hAnsi="游明朝"/>
          <w:b w:val="false"/>
          <w:bCs w:val="false"/>
        </w:rPr>
        <w:t xml:space="preserve">熱希釈心拍出量を参照とする必要があるが、当院ではその機会がない。ただし一次仮説は C-1 の結果を見てから決めるため、当面は連携先の当たりをつける段階にとどまる。</w:t>
      </w:r>
    </w:p>
    <w:p>
      <w:pPr>
        <w:spacing w:after="160" w:before="400"/>
      </w:pPr>
      <w:r>
        <w:rPr>
          <w:rFonts w:ascii="游明朝" w:cs="游明朝" w:eastAsia="游明朝" w:hAnsi="游明朝"/>
          <w:b/>
          <w:bCs/>
          <w:sz w:val="24"/>
          <w:szCs w:val="24"/>
        </w:rPr>
        <w:t xml:space="preserve">補　足</w:t>
      </w:r>
    </w:p>
    <w:p>
      <w:pPr>
        <w:pStyle w:val="Heading1"/>
        <w:spacing w:after="160" w:before="320"/>
      </w:pPr>
      <w:r>
        <w:rPr>
          <w:rFonts w:ascii="游明朝" w:cs="游明朝" w:eastAsia="游明朝" w:hAnsi="游明朝"/>
          <w:b/>
          <w:bCs/>
          <w:color w:val="2E74B5"/>
          <w:sz w:val="26"/>
          <w:szCs w:val="26"/>
        </w:rPr>
        <w:t xml:space="preserve">A.　VitalDB とは</w:t>
      </w:r>
    </w:p>
    <w:p>
      <w:pPr>
        <w:spacing w:after="120" w:line="300"/>
      </w:pPr>
      <w:r>
        <w:rPr>
          <w:rFonts w:ascii="游明朝" w:cs="游明朝" w:eastAsia="游明朝" w:hAnsi="游明朝"/>
          <w:b w:val="false"/>
          <w:bCs w:val="false"/>
        </w:rPr>
        <w:t xml:space="preserve">ソウル大学校病院で手術を受けた患者の周術期生体信号を匿名化して公開したデータベース。2022年に Scientific Data 誌で公表され、登録すれば無償で使える。周術期の高分解能波形が大規模に公開されている、事実上唯一の資源である。</w:t>
      </w:r>
    </w:p>
    <w:p>
      <w:pPr>
        <w:spacing w:after="120" w:line="300"/>
      </w:pPr>
      <w:r>
        <w:rPr>
          <w:rFonts w:ascii="游明朝" w:cs="游明朝" w:eastAsia="游明朝" w:hAnsi="游明朝"/>
          <w:b w:val="false"/>
          <w:bCs w:val="false"/>
        </w:rPr>
        <w:t xml:space="preserve">6,388症例、486,449トラック、196種類の信号。心電図・PPG・観血動脈圧を同一の変換器から 500 Hz で同期記録しており、拍単位の時間解析ができる。麻酔器・輸液ポンプ・心拍出量モニタの記録と、臨床情報74項目が併存する。</w:t>
      </w:r>
    </w:p>
    <w:p>
      <w:pPr>
        <w:spacing w:after="120" w:line="300"/>
      </w:pPr>
      <w:r>
        <w:rPr>
          <w:rFonts w:ascii="游明朝" w:cs="游明朝" w:eastAsia="游明朝" w:hAnsi="游明朝"/>
          <w:b w:val="false"/>
          <w:bCs w:val="false"/>
        </w:rPr>
        <w:t xml:space="preserve">制約が二つある。第一に、PPG はベッドサイドモニタの表示用出力であり、フィルタ仕様は非公開で、直流成分は復元できない（0〜100 の表示スケール）。第二に、心拍出量の参照値は解析コホート862例中846例が FloTrac 系で、</w:t>
      </w:r>
      <w:r>
        <w:rPr>
          <w:rFonts w:ascii="游明朝" w:cs="游明朝" w:eastAsia="游明朝" w:hAnsi="游明朝"/>
          <w:b/>
          <w:bCs/>
        </w:rPr>
        <w:t xml:space="preserve">動脈圧波形から算出されるため血管に関わる仮説に対して独立でない</w:t>
      </w:r>
      <w:r>
        <w:rPr>
          <w:rFonts w:ascii="游明朝" w:cs="游明朝" w:eastAsia="游明朝" w:hAnsi="游明朝"/>
          <w:b w:val="false"/>
          <w:bCs w:val="false"/>
        </w:rPr>
        <w:t xml:space="preserve">。肺動脈カテーテルの熱希釈は65症例あるが、PPG を含む波形3点が揃うのは5例のみである。このため本研究では、参照心拍出量を用いない解析を主としている。</w:t>
      </w:r>
    </w:p>
    <w:p>
      <w:pPr>
        <w:pStyle w:val="Heading1"/>
        <w:spacing w:after="160" w:before="320"/>
      </w:pPr>
      <w:r>
        <w:rPr>
          <w:rFonts w:ascii="游明朝" w:cs="游明朝" w:eastAsia="游明朝" w:hAnsi="游明朝"/>
          <w:b/>
          <w:bCs/>
          <w:color w:val="2E74B5"/>
          <w:sz w:val="26"/>
          <w:szCs w:val="26"/>
        </w:rPr>
        <w:t xml:space="preserve">B.　研究0 で用いた仮想被験者データ（PWDB）とは</w:t>
      </w:r>
    </w:p>
    <w:p>
      <w:pPr>
        <w:spacing w:after="120" w:line="300"/>
      </w:pPr>
      <w:r>
        <w:rPr>
          <w:rFonts w:ascii="游明朝" w:cs="游明朝" w:eastAsia="游明朝" w:hAnsi="游明朝"/>
          <w:b w:val="false"/>
          <w:bCs w:val="false"/>
        </w:rPr>
        <w:t xml:space="preserve">Charlton らが 2019年に公表した動脈網の一次元流体モデルの出力である（Am J Physiol Heart Circ Physiol。Zenodo で無償公開）。年齢6段階（25〜75歳・10歳刻み）に対し、大動脈径・心拍数・駆出時間・平均血圧・脈波伝播速度・1回拍出量の6因子を系統的に振った仮想被験者 4,374名分の波形が入っている。大動脈・頸動脈・上腕・橈骨・指尖・大腿の圧・流速・断面積と、</w:t>
      </w:r>
      <w:r>
        <w:rPr>
          <w:rFonts w:ascii="游明朝" w:cs="游明朝" w:eastAsia="游明朝" w:hAnsi="游明朝"/>
          <w:b/>
          <w:bCs/>
        </w:rPr>
        <w:t xml:space="preserve">指尖の光電容積脈波</w:t>
      </w:r>
      <w:r>
        <w:rPr>
          <w:rFonts w:ascii="游明朝" w:cs="游明朝" w:eastAsia="游明朝" w:hAnsi="游明朝"/>
          <w:b w:val="false"/>
          <w:bCs w:val="false"/>
        </w:rPr>
        <w:t xml:space="preserve">が出力される。</w:t>
      </w:r>
    </w:p>
    <w:p>
      <w:pPr>
        <w:spacing w:after="120" w:line="300"/>
      </w:pPr>
      <w:r>
        <w:rPr>
          <w:rFonts w:ascii="游明朝" w:cs="游明朝" w:eastAsia="游明朝" w:hAnsi="游明朝"/>
          <w:b/>
          <w:bCs/>
        </w:rPr>
        <w:t xml:space="preserve">この資源の価値は、指尖の PPG と、その被験者の大動脈脈波伝播速度・末梢血管抵抗の真値が同時に得られることにある。</w:t>
      </w:r>
      <w:r>
        <w:rPr>
          <w:rFonts w:ascii="游明朝" w:cs="游明朝" w:eastAsia="游明朝" w:hAnsi="游明朝"/>
          <w:b w:val="false"/>
          <w:bCs w:val="false"/>
        </w:rPr>
        <w:t xml:space="preserve">実測データでは真値が得られないので、指標が何を測っているかはここでしか確かめられない。</w:t>
      </w:r>
    </w:p>
    <w:p>
      <w:pPr>
        <w:spacing w:after="120" w:line="300"/>
      </w:pPr>
      <w:r>
        <w:rPr>
          <w:rFonts w:ascii="游明朝" w:cs="游明朝" w:eastAsia="游明朝" w:hAnsi="游明朝"/>
          <w:b w:val="false"/>
          <w:bCs w:val="false"/>
        </w:rPr>
        <w:t xml:space="preserve">限界も明確である。一次元流体モデルなので</w:t>
      </w:r>
      <w:r>
        <w:rPr>
          <w:rFonts w:ascii="游明朝" w:cs="游明朝" w:eastAsia="游明朝" w:hAnsi="游明朝"/>
          <w:b/>
          <w:bCs/>
        </w:rPr>
        <w:t xml:space="preserve">光学的な要素</w:t>
      </w:r>
      <w:r>
        <w:rPr>
          <w:rFonts w:ascii="游明朝" w:cs="游明朝" w:eastAsia="游明朝" w:hAnsi="游明朝"/>
          <w:b w:val="false"/>
          <w:bCs w:val="false"/>
        </w:rPr>
        <w:t xml:space="preserve">（組織での光散乱、静脈成分、拍動しない成分）が入っていない。雑音がなく、1拍のみで、体動もない。健常な加齢のモデルであり、疾患・麻酔・血管作動薬は含まれない。したがって</w:t>
      </w:r>
      <w:r>
        <w:rPr>
          <w:rFonts w:ascii="游明朝" w:cs="游明朝" w:eastAsia="游明朝" w:hAnsi="游明朝"/>
          <w:b/>
          <w:bCs/>
        </w:rPr>
        <w:t xml:space="preserve">ここで成立したことが実機で成立するとは限らず、逆も言えない</w:t>
      </w:r>
      <w:r>
        <w:rPr>
          <w:rFonts w:ascii="游明朝" w:cs="游明朝" w:eastAsia="游明朝" w:hAnsi="游明朝"/>
          <w:b w:val="false"/>
          <w:bCs w:val="false"/>
        </w:rPr>
        <w:t xml:space="preserve">。この点は結果の解釈に必ず添えている。</w:t>
      </w:r>
    </w:p>
    <w:p>
      <w:pPr>
        <w:spacing w:after="120" w:line="300"/>
      </w:pPr>
      <w:r>
        <w:rPr>
          <w:rFonts w:ascii="游明朝" w:cs="游明朝" w:eastAsia="游明朝" w:hAnsi="游明朝"/>
          <w:b w:val="false"/>
          <w:bCs w:val="false"/>
        </w:rPr>
        <w:t xml:space="preserve">なお原著は従来の特徴点法由来の指標を大動脈脈波伝播速度と対比しており、</w:t>
      </w:r>
      <w:r>
        <w:rPr>
          <w:rFonts w:ascii="游明朝" w:cs="游明朝" w:eastAsia="游明朝" w:hAnsi="游明朝"/>
          <w:b/>
          <w:bCs/>
        </w:rPr>
        <w:t xml:space="preserve">分解法由来の SI・RI でこれを行った報告は無い。</w:t>
      </w:r>
    </w:p>
    <w:p>
      <w:pPr>
        <w:pStyle w:val="Heading1"/>
        <w:spacing w:after="160" w:before="320"/>
      </w:pPr>
      <w:r>
        <w:rPr>
          <w:rFonts w:ascii="游明朝" w:cs="游明朝" w:eastAsia="游明朝" w:hAnsi="游明朝"/>
          <w:b/>
          <w:bCs/>
          <w:color w:val="2E74B5"/>
          <w:sz w:val="26"/>
          <w:szCs w:val="26"/>
        </w:rPr>
        <w:t xml:space="preserve">C.　早期振幅比 Am_b/Am_p1 とは</w:t>
      </w:r>
    </w:p>
    <w:p>
      <w:pPr>
        <w:spacing w:after="120" w:line="300"/>
      </w:pPr>
      <w:r>
        <w:rPr>
          <w:rFonts w:ascii="游明朝" w:cs="游明朝" w:eastAsia="游明朝" w:hAnsi="游明朝"/>
          <w:b w:val="false"/>
          <w:bCs w:val="false"/>
        </w:rPr>
        <w:t xml:space="preserve">Hellqvist らが 2024年に提案した指標である（Front Cardiovasc Med 11:1350726、33名）。</w:t>
      </w:r>
      <w:r>
        <w:rPr>
          <w:rFonts w:ascii="游明朝" w:cs="游明朝" w:eastAsia="游明朝" w:hAnsi="游明朝"/>
          <w:b/>
          <w:bCs/>
        </w:rPr>
        <w:t xml:space="preserve">拍の上昇脚だけを使い、頂点より後ろ（重複切痕・拡張期ピーク・下降脚）は一切使わない。</w:t>
      </w:r>
    </w:p>
    <w:p>
      <w:pPr>
        <w:spacing w:after="120" w:line="300"/>
        <w:ind w:left="220"/>
      </w:pPr>
      <w:r>
        <w:rPr>
          <w:rFonts w:ascii="游明朝" w:cs="游明朝" w:eastAsia="游明朝" w:hAnsi="游明朝"/>
          <w:b w:val="false"/>
          <w:bCs w:val="false"/>
        </w:rPr>
        <w:t xml:space="preserve">・</w:t>
      </w:r>
      <w:r>
        <w:rPr>
          <w:rFonts w:ascii="游明朝" w:cs="游明朝" w:eastAsia="游明朝" w:hAnsi="游明朝"/>
          <w:b/>
          <w:bCs/>
        </w:rPr>
        <w:t xml:space="preserve">b</w:t>
      </w:r>
      <w:r>
        <w:rPr>
          <w:rFonts w:ascii="游明朝" w:cs="游明朝" w:eastAsia="游明朝" w:hAnsi="游明朝"/>
          <w:b w:val="false"/>
          <w:bCs w:val="false"/>
        </w:rPr>
        <w:t xml:space="preserve"> ― 脈波の2次微分の最初の谷。上昇脚の途中で、上がる勢いに最も強く制動がかかる時刻である。</w:t>
      </w:r>
    </w:p>
    <w:p>
      <w:pPr>
        <w:spacing w:after="120" w:line="300"/>
        <w:ind w:left="220"/>
      </w:pPr>
      <w:r>
        <w:rPr>
          <w:rFonts w:ascii="游明朝" w:cs="游明朝" w:eastAsia="游明朝" w:hAnsi="游明朝"/>
          <w:b w:val="false"/>
          <w:bCs w:val="false"/>
        </w:rPr>
        <w:t xml:space="preserve">・</w:t>
      </w:r>
      <w:r>
        <w:rPr>
          <w:rFonts w:ascii="游明朝" w:cs="游明朝" w:eastAsia="游明朝" w:hAnsi="游明朝"/>
          <w:b/>
          <w:bCs/>
        </w:rPr>
        <w:t xml:space="preserve">p1</w:t>
      </w:r>
      <w:r>
        <w:rPr>
          <w:rFonts w:ascii="游明朝" w:cs="游明朝" w:eastAsia="游明朝" w:hAnsi="游明朝"/>
          <w:b w:val="false"/>
          <w:bCs w:val="false"/>
        </w:rPr>
        <w:t xml:space="preserve"> ― 脈波の1次微分が最初の山をつけた後、下り始める直線部分に接線を引き、その接線が 0 と交わる時刻。収縮期ピークに相当する点で、</w:t>
      </w:r>
      <w:r>
        <w:rPr>
          <w:rFonts w:ascii="游明朝" w:cs="游明朝" w:eastAsia="游明朝" w:hAnsi="游明朝"/>
          <w:b/>
          <w:bCs/>
        </w:rPr>
        <w:t xml:space="preserve">重複切痕の無い波形でも一意に決まる</w:t>
      </w:r>
      <w:r>
        <w:rPr>
          <w:rFonts w:ascii="游明朝" w:cs="游明朝" w:eastAsia="游明朝" w:hAnsi="游明朝"/>
          <w:b w:val="false"/>
          <w:bCs w:val="false"/>
        </w:rPr>
        <w:t xml:space="preserve">。</w:t>
      </w:r>
    </w:p>
    <w:p>
      <w:pPr>
        <w:spacing w:after="120" w:line="300"/>
        <w:ind w:left="220"/>
      </w:pPr>
      <w:r>
        <w:rPr>
          <w:rFonts w:ascii="游明朝" w:cs="游明朝" w:eastAsia="游明朝" w:hAnsi="游明朝"/>
          <w:b w:val="false"/>
          <w:bCs w:val="false"/>
        </w:rPr>
        <w:t xml:space="preserve">・</w:t>
      </w:r>
      <w:r>
        <w:rPr>
          <w:rFonts w:ascii="游明朝" w:cs="游明朝" w:eastAsia="游明朝" w:hAnsi="游明朝"/>
          <w:b/>
          <w:bCs/>
        </w:rPr>
        <w:t xml:space="preserve">早期振幅比</w:t>
      </w:r>
      <w:r>
        <w:rPr>
          <w:rFonts w:ascii="游明朝" w:cs="游明朝" w:eastAsia="游明朝" w:hAnsi="游明朝"/>
          <w:b w:val="false"/>
          <w:bCs w:val="false"/>
        </w:rPr>
        <w:t xml:space="preserve"> ― この2時刻における脈波の高さの比 y(b) ÷ y(p1)。どちらも上昇脚の上の値なので 0 と 1 の間に入る。</w:t>
      </w:r>
    </w:p>
    <w:p>
      <w:pPr>
        <w:spacing w:after="120" w:line="300"/>
      </w:pPr>
      <w:r>
        <w:rPr>
          <w:rFonts w:ascii="游明朝" w:cs="游明朝" w:eastAsia="游明朝" w:hAnsi="游明朝"/>
          <w:b w:val="false"/>
          <w:bCs w:val="false"/>
        </w:rPr>
        <w:t xml:space="preserve">動脈壁が硬いほど上昇脚で早く勢いが落ち、この比は小さくなる。原著の報告では頸大腿脈波伝播速度と r = −0.81、大動脈脈波伝播速度と r = −0.75 で、同論文が比較した既報の硬さ指数（r = 0.58〜0.66）より強い。</w:t>
      </w:r>
    </w:p>
    <w:p>
      <w:pPr>
        <w:spacing w:after="120" w:line="300"/>
      </w:pPr>
      <w:r>
        <w:rPr>
          <w:rFonts w:ascii="游明朝" w:cs="游明朝" w:eastAsia="游明朝" w:hAnsi="游明朝"/>
          <w:b w:val="false"/>
          <w:bCs w:val="false"/>
        </w:rPr>
        <w:t xml:space="preserve">我々にとっての利点は二つある。第一に、</w:t>
      </w:r>
      <w:r>
        <w:rPr>
          <w:rFonts w:ascii="游明朝" w:cs="游明朝" w:eastAsia="游明朝" w:hAnsi="游明朝"/>
          <w:b/>
          <w:bCs/>
        </w:rPr>
        <w:t xml:space="preserve">拡張期ピークを必要としない</w:t>
      </w:r>
      <w:r>
        <w:rPr>
          <w:rFonts w:ascii="游明朝" w:cs="游明朝" w:eastAsia="游明朝" w:hAnsi="游明朝"/>
          <w:b w:val="false"/>
          <w:bCs w:val="false"/>
        </w:rPr>
        <w:t xml:space="preserve">ので、切痕が消えた波形でも計算できる（実機での同定率 0.95）。第二に、</w:t>
      </w:r>
      <w:r>
        <w:rPr>
          <w:rFonts w:ascii="游明朝" w:cs="游明朝" w:eastAsia="游明朝" w:hAnsi="游明朝"/>
          <w:b/>
          <w:bCs/>
        </w:rPr>
        <w:t xml:space="preserve">分解を行わない</w:t>
      </w:r>
      <w:r>
        <w:rPr>
          <w:rFonts w:ascii="游明朝" w:cs="游明朝" w:eastAsia="游明朝" w:hAnsi="游明朝"/>
          <w:b w:val="false"/>
          <w:bCs w:val="false"/>
        </w:rPr>
        <w:t xml:space="preserve">ので、当てはめの不安定性が入らない。</w:t>
      </w:r>
    </w:p>
    <w:p>
      <w:pPr>
        <w:spacing w:after="120" w:line="300"/>
      </w:pPr>
      <w:r>
        <w:rPr>
          <w:rFonts w:ascii="游明朝" w:cs="游明朝" w:eastAsia="游明朝" w:hAnsi="游明朝"/>
          <w:b w:val="false"/>
          <w:bCs w:val="false"/>
        </w:rPr>
        <w:t xml:space="preserve">留保もある。2次微分を使うため帯域制限と雑音に原理的に弱く、実機でのウィンドウ間の再現性 0.36 は我々が事前に決めた基準（0.30）ぎりぎりである。また PWDB の25歳層ではほぼ 0 で、若年層では被験者を弁別できていない。原著は33名の単施設報告であり、独立した追試は多くない。</w:t>
      </w:r>
    </w:p>
    <w:p>
      <w:pPr>
        <w:pStyle w:val="Heading1"/>
        <w:spacing w:after="160" w:before="320"/>
      </w:pPr>
      <w:r>
        <w:rPr>
          <w:rFonts w:ascii="游明朝" w:cs="游明朝" w:eastAsia="游明朝" w:hAnsi="游明朝"/>
          <w:b/>
          <w:bCs/>
          <w:color w:val="2E74B5"/>
          <w:sz w:val="26"/>
          <w:szCs w:val="26"/>
        </w:rPr>
        <w:t xml:space="preserve">D.　前回提案した「並列入力」案の現状</w:t>
      </w:r>
    </w:p>
    <w:p>
      <w:pPr>
        <w:spacing w:after="120" w:line="300"/>
      </w:pPr>
      <w:r>
        <w:rPr>
          <w:rFonts w:ascii="游明朝" w:cs="游明朝" w:eastAsia="游明朝" w:hAnsi="游明朝"/>
          <w:b w:val="false"/>
          <w:bCs w:val="false"/>
        </w:rPr>
        <w:t xml:space="preserve">8月30日の報告では、較正定数を血管指標で補正するのではなく、</w:t>
      </w:r>
      <w:r>
        <w:rPr>
          <w:rFonts w:ascii="游明朝" w:cs="游明朝" w:eastAsia="游明朝" w:hAnsi="游明朝"/>
          <w:b/>
          <w:bCs/>
        </w:rPr>
        <w:t xml:space="preserve">血管指標を PWTT と並列の入力変数として加えるべきである</w:t>
      </w:r>
      <w:r>
        <w:rPr>
          <w:rFonts w:ascii="游明朝" w:cs="游明朝" w:eastAsia="游明朝" w:hAnsi="游明朝"/>
          <w:b w:val="false"/>
          <w:bCs w:val="false"/>
        </w:rPr>
        <w:t xml:space="preserve">と述べた。現時点でこの案は支持されていない。理由は二つある。</w:t>
      </w:r>
    </w:p>
    <w:p>
      <w:pPr>
        <w:spacing w:after="120" w:line="300"/>
      </w:pPr>
      <w:r>
        <w:rPr>
          <w:rFonts w:ascii="游明朝" w:cs="游明朝" w:eastAsia="游明朝" w:hAnsi="游明朝"/>
          <w:b w:val="false"/>
          <w:bCs w:val="false"/>
        </w:rPr>
        <w:t xml:space="preserve">第一に、ΔPWTT の分散が偏っている末梢動脈区間そのものを、血管指標が説明しなかった（第2節(1)。r² = 0.008）。第二に、当時用いていた指標には構成概念妥当性が無かった（第2節(2)）。</w:t>
      </w:r>
    </w:p>
    <w:p>
      <w:pPr>
        <w:spacing w:after="120" w:line="300"/>
      </w:pPr>
      <w:r>
        <w:rPr>
          <w:rFonts w:ascii="游明朝" w:cs="游明朝" w:eastAsia="游明朝" w:hAnsi="游明朝"/>
          <w:b w:val="false"/>
          <w:bCs w:val="false"/>
        </w:rPr>
        <w:t xml:space="preserve">案そのものを否定はしない。ただし</w:t>
      </w:r>
      <w:r>
        <w:rPr>
          <w:rFonts w:ascii="游明朝" w:cs="游明朝" w:eastAsia="游明朝" w:hAnsi="游明朝"/>
          <w:b/>
          <w:bCs/>
        </w:rPr>
        <w:t xml:space="preserve">指標を替えてからでなければ検証できない</w:t>
      </w:r>
      <w:r>
        <w:rPr>
          <w:rFonts w:ascii="游明朝" w:cs="游明朝" w:eastAsia="游明朝" w:hAnsi="游明朝"/>
          <w:b w:val="false"/>
          <w:bCs w:val="false"/>
        </w:rPr>
        <w:t xml:space="preserve">。その第一歩が第4節の2である。</w:t>
      </w:r>
    </w:p>
    <w:p>
      <w:pPr>
        <w:pStyle w:val="Heading1"/>
        <w:spacing w:after="160" w:before="320"/>
      </w:pPr>
      <w:r>
        <w:rPr>
          <w:rFonts w:ascii="游明朝" w:cs="游明朝" w:eastAsia="游明朝" w:hAnsi="游明朝"/>
          <w:b/>
          <w:bCs/>
          <w:color w:val="2E74B5"/>
          <w:sz w:val="26"/>
          <w:szCs w:val="26"/>
        </w:rPr>
        <w:t xml:space="preserve">E.　先行研究との関係</w:t>
      </w:r>
    </w:p>
    <w:tbl>
      <w:tblPr>
        <w:tblW w:type="dxa" w:w="9638"/>
        <w:tblBorders>
          <w:top w:val="single" w:color="B7C3CE" w:sz="4"/>
          <w:left w:val="single" w:color="B7C3CE" w:sz="4"/>
          <w:bottom w:val="single" w:color="B7C3CE" w:sz="4"/>
          <w:right w:val="single" w:color="B7C3CE" w:sz="4"/>
          <w:insideH w:val="single" w:color="D6DEE6" w:sz="2"/>
          <w:insideV w:val="single" w:color="D6DEE6" w:sz="2"/>
        </w:tblBorders>
      </w:tblPr>
      <w:tblGrid>
        <w:gridCol w:w="1700"/>
        <w:gridCol w:w="4400"/>
        <w:gridCol w:w="3538"/>
      </w:tblGrid>
      <w:tr>
        <w:trPr>
          <w:tblHeader/>
        </w:trPr>
        <w:tc>
          <w:tcPr>
            <w:tcW w:type="dxa" w:w="1700"/>
            <w:shd w:fill="EDF2F7" w:val="clear"/>
            <w:tcMar>
              <w:top w:type="dxa" w:w="60"/>
              <w:left w:type="dxa" w:w="90"/>
              <w:bottom w:type="dxa" w:w="60"/>
              <w:right w:type="dxa" w:w="90"/>
            </w:tcMar>
            <w:vAlign w:val="top"/>
          </w:tcPr>
          <w:p>
            <w:pPr>
              <w:spacing w:after="0" w:line="260"/>
            </w:pPr>
            <w:r>
              <w:rPr>
                <w:rFonts w:ascii="游明朝" w:cs="游明朝" w:eastAsia="游明朝" w:hAnsi="游明朝"/>
                <w:b/>
                <w:bCs/>
                <w:sz w:val="19"/>
                <w:szCs w:val="19"/>
              </w:rPr>
              <w:t xml:space="preserve">文献</w:t>
            </w:r>
          </w:p>
        </w:tc>
        <w:tc>
          <w:tcPr>
            <w:tcW w:type="dxa" w:w="4400"/>
            <w:shd w:fill="EDF2F7" w:val="clear"/>
            <w:tcMar>
              <w:top w:type="dxa" w:w="60"/>
              <w:left w:type="dxa" w:w="90"/>
              <w:bottom w:type="dxa" w:w="60"/>
              <w:right w:type="dxa" w:w="90"/>
            </w:tcMar>
            <w:vAlign w:val="top"/>
          </w:tcPr>
          <w:p>
            <w:pPr>
              <w:spacing w:after="0" w:line="260"/>
            </w:pPr>
            <w:r>
              <w:rPr>
                <w:rFonts w:ascii="游明朝" w:cs="游明朝" w:eastAsia="游明朝" w:hAnsi="游明朝"/>
                <w:b/>
                <w:bCs/>
                <w:sz w:val="19"/>
                <w:szCs w:val="19"/>
              </w:rPr>
              <w:t xml:space="preserve">内容</w:t>
            </w:r>
          </w:p>
        </w:tc>
        <w:tc>
          <w:tcPr>
            <w:tcW w:type="dxa" w:w="3538"/>
            <w:shd w:fill="EDF2F7" w:val="clear"/>
            <w:tcMar>
              <w:top w:type="dxa" w:w="60"/>
              <w:left w:type="dxa" w:w="90"/>
              <w:bottom w:type="dxa" w:w="60"/>
              <w:right w:type="dxa" w:w="90"/>
            </w:tcMar>
            <w:vAlign w:val="top"/>
          </w:tcPr>
          <w:p>
            <w:pPr>
              <w:spacing w:after="0" w:line="260"/>
            </w:pPr>
            <w:r>
              <w:rPr>
                <w:rFonts w:ascii="游明朝" w:cs="游明朝" w:eastAsia="游明朝" w:hAnsi="游明朝"/>
                <w:b/>
                <w:bCs/>
                <w:sz w:val="19"/>
                <w:szCs w:val="19"/>
              </w:rPr>
              <w:t xml:space="preserve">本研究との関係</w:t>
            </w:r>
          </w:p>
        </w:tc>
      </w:tr>
      <w:tr>
        <w:trPr>
          <w:tblHeader w:val="false"/>
        </w:trPr>
        <w:tc>
          <w:tcPr>
            <w:tcW w:type="dxa" w:w="17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Hellqvist 2024</w:t>
            </w:r>
          </w:p>
        </w:tc>
        <w:tc>
          <w:tcPr>
            <w:tcW w:type="dxa" w:w="44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指尖 PPG から特徴量149個を作り機械学習で大動脈硬化を推定（33名）。最良は上昇脚の振幅比 Am_b/Am_p1（頸大腿PWV と r = −0.81）</w:t>
            </w:r>
          </w:p>
        </w:tc>
        <w:tc>
          <w:tcPr>
            <w:tcW w:type="dxa" w:w="353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「収縮期ピークと拡張期ピークの間隔に頼る指標ではなく、波形の早期部分に注目すべき」と明記している。我々の ΔT はまさにその間隔であり、主指標候補をこの指標に切り替えた</w:t>
            </w:r>
          </w:p>
        </w:tc>
      </w:tr>
      <w:tr>
        <w:trPr>
          <w:tblHeader w:val="false"/>
        </w:trPr>
        <w:tc>
          <w:tcPr>
            <w:tcW w:type="dxa" w:w="17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Epstein 2014</w:t>
            </w:r>
          </w:p>
        </w:tc>
        <w:tc>
          <w:tcPr>
            <w:tcW w:type="dxa" w:w="44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動脈網モデル。導管スティフネス200%増で SI は60%以上上昇するが、末梢抵抗・末梢コンプライアンスでは2%未満。</w:t>
            </w:r>
            <w:r>
              <w:rPr>
                <w:rFonts w:ascii="游明朝" w:cs="游明朝" w:eastAsia="游明朝" w:hAnsi="游明朝"/>
                <w:sz w:val="19"/>
                <w:szCs w:val="19"/>
              </w:rPr>
              <w:t xml:space="preserve">指尖脈波の第2ピークは末梢反射ではない</w:t>
            </w:r>
            <w:r>
              <w:rPr>
                <w:rFonts w:ascii="游明朝" w:cs="游明朝" w:eastAsia="游明朝" w:hAnsi="游明朝"/>
                <w:sz w:val="19"/>
                <w:szCs w:val="19"/>
              </w:rPr>
              <w:t xml:space="preserve">とも示す</w:t>
            </w:r>
          </w:p>
        </w:tc>
        <w:tc>
          <w:tcPr>
            <w:tcW w:type="dxa" w:w="353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SI は導管スティフネスの指標。また「分解で得た第2成分＝反射波」という前提そのものに疑義があり、我々は「反射波」を慣例上の呼称としてのみ用いる</w:t>
            </w:r>
          </w:p>
        </w:tc>
      </w:tr>
      <w:tr>
        <w:trPr>
          <w:tblHeader w:val="false"/>
        </w:trPr>
        <w:tc>
          <w:tcPr>
            <w:tcW w:type="dxa" w:w="17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Goswami 2010</w:t>
            </w:r>
          </w:p>
        </w:tc>
        <w:tc>
          <w:tcPr>
            <w:tcW w:type="dxa" w:w="44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Rayleigh 関数2本で指尖脈波を分解（113名）。</w:t>
            </w:r>
            <w:r>
              <w:rPr>
                <w:rFonts w:ascii="游明朝" w:cs="游明朝" w:eastAsia="游明朝" w:hAnsi="游明朝"/>
                <w:sz w:val="19"/>
                <w:szCs w:val="19"/>
              </w:rPr>
              <w:t xml:space="preserve">分解由来の指標が特徴点由来の指標と系統的にずれること</w:t>
            </w:r>
            <w:r>
              <w:rPr>
                <w:rFonts w:ascii="游明朝" w:cs="游明朝" w:eastAsia="游明朝" w:hAnsi="游明朝"/>
                <w:sz w:val="19"/>
                <w:szCs w:val="19"/>
              </w:rPr>
              <w:t xml:space="preserve">を数式で説明</w:t>
            </w:r>
          </w:p>
        </w:tc>
        <w:tc>
          <w:tcPr>
            <w:tcW w:type="dxa" w:w="353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両者は別の量である。研究0 の結果を「分解が誤っている」と読まない根拠</w:t>
            </w:r>
          </w:p>
        </w:tc>
      </w:tr>
      <w:tr>
        <w:trPr>
          <w:tblHeader w:val="false"/>
        </w:trPr>
        <w:tc>
          <w:tcPr>
            <w:tcW w:type="dxa" w:w="17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Couceiro 2015</w:t>
            </w:r>
          </w:p>
        </w:tc>
        <w:tc>
          <w:tcPr>
            <w:tcW w:type="dxa" w:w="44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傾斜台試験43例。分解由来の振幅比のみ低相関（0.21–0.27）、従来法の RI は 0.43–0.50 と良好</w:t>
            </w:r>
          </w:p>
        </w:tc>
        <w:tc>
          <w:tcPr>
            <w:tcW w:type="dxa" w:w="353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分解由来の振幅比が弱いことは既知。ただし研究0 では Couceiro の RI 定義だけが特徴点法を上回った（0.585 対 0.501）ので、RI に限れば保留としている</w:t>
            </w:r>
          </w:p>
        </w:tc>
      </w:tr>
      <w:tr>
        <w:trPr>
          <w:tblHeader w:val="false"/>
        </w:trPr>
        <w:tc>
          <w:tcPr>
            <w:tcW w:type="dxa" w:w="17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Smith 2020</w:t>
            </w:r>
          </w:p>
        </w:tc>
        <w:tc>
          <w:tcPr>
            <w:tcW w:type="dxa" w:w="44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3要素 Windkessel の特性インピーダンスを脈波伝播速度で動的に更新しても、1回拍出量の推定は改善しなかった</w:t>
            </w:r>
          </w:p>
        </w:tc>
        <w:tc>
          <w:tcPr>
            <w:tcW w:type="dxa" w:w="353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時間側の指標で血管パラメータを補正する方針は、動脈圧波形の領域でも否定的。本研究の結果と一致する</w:t>
            </w:r>
          </w:p>
        </w:tc>
      </w:tr>
      <w:tr>
        <w:trPr>
          <w:tblHeader w:val="false"/>
        </w:trPr>
        <w:tc>
          <w:tcPr>
            <w:tcW w:type="dxa" w:w="17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Dyson 2010 ／ Ishihara 2014 ほか</w:t>
            </w:r>
          </w:p>
        </w:tc>
        <w:tc>
          <w:tcPr>
            <w:tcW w:type="dxa" w:w="4400"/>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血管抵抗が動く場面で心拍出量推定の一致度が悪化すると報告</w:t>
            </w:r>
          </w:p>
        </w:tc>
        <w:tc>
          <w:tcPr>
            <w:tcW w:type="dxa" w:w="3538"/>
            <w:tcMar>
              <w:top w:type="dxa" w:w="60"/>
              <w:left w:type="dxa" w:w="90"/>
              <w:bottom w:type="dxa" w:w="60"/>
              <w:right w:type="dxa" w:w="90"/>
            </w:tcMar>
            <w:vAlign w:val="top"/>
          </w:tcPr>
          <w:p>
            <w:pPr>
              <w:spacing w:after="0" w:line="260"/>
            </w:pPr>
            <w:r>
              <w:rPr>
                <w:rFonts w:ascii="游明朝" w:cs="游明朝" w:eastAsia="游明朝" w:hAnsi="游明朝"/>
                <w:sz w:val="19"/>
                <w:szCs w:val="19"/>
              </w:rPr>
              <w:t xml:space="preserve">圧波形由来・PWTT 由来を問わず共通の弱点。血管パラメータを人口統計から決めて固定することに起因する</w:t>
            </w:r>
          </w:p>
        </w:tc>
      </w:tr>
    </w:tbl>
    <w:p>
      <w:pPr>
        <w:spacing w:after="120"/>
      </w:pPr>
    </w:p>
    <w:p>
      <w:pPr>
        <w:spacing w:before="200"/>
        <w:jc w:val="right"/>
      </w:pPr>
      <w:r>
        <w:rPr>
          <w:rFonts w:ascii="游明朝" w:cs="游明朝" w:eastAsia="游明朝" w:hAnsi="游明朝"/>
          <w:sz w:val="20"/>
          <w:szCs w:val="20"/>
        </w:rPr>
        <w:t xml:space="preserve">以上</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明朝" w:cs="游明朝" w:eastAsia="游明朝" w:hAnsi="游明朝"/>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2026-09-07T11:46:32.343Z</dcterms:created>
  <dcterms:modified xsi:type="dcterms:W3CDTF">2026-09-07T11:46:32.343Z</dcterms:modified>
</cp:coreProperties>
</file>

<file path=docProps/custom.xml><?xml version="1.0" encoding="utf-8"?>
<Properties xmlns="http://schemas.openxmlformats.org/officeDocument/2006/custom-properties" xmlns:vt="http://schemas.openxmlformats.org/officeDocument/2006/docPropsVTypes"/>
</file>