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2成分の分解法、特徴点法、および上行脚のみを用いる早期振幅比を適用した。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1,2）。</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3,4）。この利点は実在し、繰り返し示されてきた。</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5）、残差平方和と初期値への鈍感さ6））、雑音と体動への頑健性（19種のアルゴリズムにわたる再構成波形の2次微分の正規化平方根平均二乗誤差7））、および当てはめが計測した特徴点の位置を再現するか8）である。最後のものにおいては特徴点の側が基準であって、分解の側ではない。分解由来の指標が生理学的な参照と比べられた場合も、比較は広い年齢幅をまたいだ小標本でのプール解析であった3,9）。</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それらは入力であるから既知である。Pulse Wave Database10）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10）。25歳から75歳までの6段階の年齢層に4,374名の仮想被験者を含む。各層において、大動脈径、心拍数、左室駆出時間、平均血圧、脈波伝播速度、1回拍出量の6因子が、基準値および年齢別分布の±1標準偏差の3水準で1因子ずつ振られている。各仮想被験者について、複数部位の圧、流速、内腔断面積と、指尖光電容積脈波、およびモデルの入力である大動脈脈波伝播速度と末梢血管抵抗が得られる。</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4次の零位相Butterworth低域通過フィルタ、拍の両足を結ぶ直線の除去（足は拍の外側8%の範囲の最小値とした6））、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指標　</w:t>
      </w:r>
      <w:r>
        <w:rPr>
          <w:rFonts w:ascii="游明朝" w:cs="游明朝" w:eastAsia="游明朝" w:hAnsi="游明朝"/>
          <w:color w:val="000000"/>
        </w:rPr>
        <w:t xml:space="preserve">凍結版の分解法は、8点の初期値から非線形最小二乗で当てはめた2つの歪みガウス成分であり、母数が探索範囲の境界にある解、振幅が消失した解、および残差が10%以内で拮抗する別解のΔTが20%以上異なる解を棄却する収束検算を伴う。ΔT_PDAは当てはめた成分のピーク間隔、RI_PDAはその高さの比である。第2版は文献5編を全文で読んだうえで作り直したもので、前述の前処理5,6）、特徴点に重みを置いた重み付き最小二乗、および当てはめの採否をWangの規準8）に従わせる変更を加えた。すなわち、残差の小ささではなく、計測した特徴点の位置を再現したかで採否を決める（特徴点の時刻の絶対誤差の総和6 ms以下、振幅の誤差0.01以下）。基底は歪みガウスとガンマの2系統を併走させた。</w:t>
      </w:r>
    </w:p>
    <w:p>
      <w:pPr>
        <w:spacing w:after="120" w:line="300"/>
        <w:ind w:firstLine="210"/>
      </w:pPr>
      <w:r>
        <w:rPr>
          <w:rFonts w:ascii="游明朝" w:cs="游明朝" w:eastAsia="游明朝" w:hAnsi="游明朝"/>
          <w:color w:val="000000"/>
        </w:rPr>
        <w:t xml:space="preserve">特徴点法では、収縮期ピーク、重複切痕、拡張期ピークを波形上で同定した。ΔT_lmは収縮期ピークから拡張期ピークまでの間隔、RI_lmはその高さの比、スティフネス指標は高さをΔT_lmで除したものである。切痕が無く下降脚に明瞭な傾きの変化がある型11）では、拡張期ピークの代わりに変曲点を用い、代用したことを記録した。</w:t>
      </w:r>
    </w:p>
    <w:p>
      <w:pPr>
        <w:spacing w:after="120" w:line="300"/>
        <w:ind w:firstLine="210"/>
      </w:pPr>
      <w:r>
        <w:rPr>
          <w:rFonts w:ascii="游明朝" w:cs="游明朝" w:eastAsia="游明朝" w:hAnsi="游明朝"/>
          <w:color w:val="000000"/>
        </w:rPr>
        <w:t xml:space="preserve">早期振幅比は、2次微分の最初の谷をb、1次微分の最初の山の後の下降の直線部分に引いた接線の零交点をp1とし、y(t_b)をy(t_p1)で除したものである12）。上行脚のみを用い、拡張期ピークを必要としない。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なお本稿では第2成分を反射波とは呼ばない。指尖におけるこの同定には疑義が呈されており13,12）、本研究の内容はこの同定に依存しないためである。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3,5,6,8,7,9）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11）。</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Python〔版を記入〕、NumPy、SciPy、pandasを用いた。解析コード、事前に固定した判定規準の文書、および結果の表は〔Zenodo DOI〕に登録する。分解モジュールの版識別子を出力の各行に記録した。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6）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13）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3）。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13,12）、当てはめられた第2成分は数学的な部品であって、その位置が血管の性質を追う理由がない。これは本研究で用いたモデルの欠陥ではなく前提の欠陥である。第四に前進波の裾の混入であり3）、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2026-09-07T23:34:27.264Z</dcterms:created>
  <dcterms:modified xsi:type="dcterms:W3CDTF">2026-09-07T23:34:27.264Z</dcterms:modified>
</cp:coreProperties>
</file>

<file path=docProps/custom.xml><?xml version="1.0" encoding="utf-8"?>
<Properties xmlns="http://schemas.openxmlformats.org/officeDocument/2006/custom-properties" xmlns:vt="http://schemas.openxmlformats.org/officeDocument/2006/docPropsVTypes"/>
</file>