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Hzのまま、仮想被験者あたり1拍用いた。前処理はすべての指標系で同一とし、遮断18 Hzの4次の零位相Butterworth低域通過フィルタ（Tigges 2017・Couceiro 2015 に合わせた）、拍の両足を結ぶ直線の除去（足は拍の外側8%の範囲の最小値とした5））、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ms以下、振幅の誤差0.01以下）。ΔTの不確かさが20 msを超える当てはめも採用しない。この20 msは、ΔTの標準誤差、競合解にわたるΔTの広がり、および反射波の候補どうしの僅差の3か所に同じ値を用いる。いずれも同じ量を表しており、まとめて凍結したためであ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9）。</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github.com/nobumitsu-3141/ppg-pda-analysisにあり、Zenodoに登録してある（doi:10.5281/zenodo.22676039、v1.0.0）。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2026-09-10T00:02:11.217Z</dcterms:created>
  <dcterms:modified xsi:type="dcterms:W3CDTF">2026-09-10T00:02:11.217Z</dcterms:modified>
</cp:coreProperties>
</file>

<file path=docProps/custom.xml><?xml version="1.0" encoding="utf-8"?>
<Properties xmlns="http://schemas.openxmlformats.org/officeDocument/2006/custom-properties" xmlns:vt="http://schemas.openxmlformats.org/officeDocument/2006/docPropsVTypes"/>
</file>