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1,2）。</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3,4）。この利点は実在し、繰り返し示されてきた。</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5）、残差平方和と初期値への鈍感さ6））、雑音と体動への頑健性（19種のアルゴリズムにわたる再構成波形の2次微分の正規化平方根平均二乗誤差7））、および当てはめが計測した特徴点の位置を再現するか8）である。最後のものにおいては特徴点の側が基準であって、分解の側ではない。分解由来の指標が生理学的な参照と比べられた場合も、比較は広い年齢幅をまたいだ小標本でのプール解析であった3,9）。</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10）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10）。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6））、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5,6）、特徴点に重みを置いた重み付き最小二乗、および当てはめの採否をWangの規準8）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11）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と定義した12）。t_p1は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なお本稿では第2成分を反射波とは呼ばない。指尖におけるこの同定には疑義が呈されており13,12）、本研究の内容はこの同定に依存しないためである。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3,5,6,8,7,9）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11）。</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Python〔版を記入〕、NumPy、SciPy、pandasを用いた。解析コード、事前に固定した判定規準の文書、および結果の表は〔Zenodo DOI〕に登録する。分解モジュールの版識別子を出力の各行に記録した。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6）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13）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3）。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13,12）、当てはめられた第2成分は数学的な部品であって、その位置が血管の性質を追う理由がない。これは本研究で用いたモデルの欠陥ではなく前提の欠陥である。第四に前進波の裾の混入であり3）、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2026-09-09T11:21:41.360Z</dcterms:created>
  <dcterms:modified xsi:type="dcterms:W3CDTF">2026-09-09T11:21:41.360Z</dcterms:modified>
</cp:coreProperties>
</file>

<file path=docProps/custom.xml><?xml version="1.0" encoding="utf-8"?>
<Properties xmlns="http://schemas.openxmlformats.org/officeDocument/2006/custom-properties" xmlns:vt="http://schemas.openxmlformats.org/officeDocument/2006/docPropsVTypes"/>
</file>