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ソフトウェアソリューションを構成する</w:t>
      </w:r>
    </w:p>
    <w:p>
      <w:pPr>
        <w:pStyle w:val="BodyText"/>
      </w:pPr>
      <w:r>
        <w:t xml:space="preserve">オープンソースへの信頼を確立するために</w:t>
      </w:r>
    </w:p>
    <w:bookmarkStart w:id="20" w:name="section"/>
    <w:p>
      <w:pPr>
        <w:pStyle w:val="31"/>
      </w:pPr>
    </w:p>
    <w:p>
      <w:pPr>
        <w:pStyle w:val="FirstParagraph"/>
      </w:pPr>
      <w:r>
        <w:t xml:space="preserve">目次</w:t>
      </w:r>
    </w:p>
    <w:p>
      <w:pPr>
        <w:pStyle w:val="BodyText"/>
      </w:pPr>
      <w:hyperlink w:anchor="免責事項disclaimer">
        <w:r>
          <w:rPr>
            <w:rStyle w:val="a5"/>
          </w:rPr>
          <w:t xml:space="preserve">免責事項（Disclaimer） 5</w:t>
        </w:r>
      </w:hyperlink>
    </w:p>
    <w:p>
      <w:pPr>
        <w:pStyle w:val="BodyText"/>
      </w:pPr>
      <w:hyperlink w:anchor="著作権ライセンス">
        <w:r>
          <w:rPr>
            <w:rStyle w:val="a5"/>
          </w:rPr>
          <w:t xml:space="preserve">著作権、ライセンス 5</w:t>
        </w:r>
      </w:hyperlink>
    </w:p>
    <w:p>
      <w:pPr>
        <w:pStyle w:val="BodyText"/>
      </w:pPr>
      <w:hyperlink w:anchor="はじめに">
        <w:r>
          <w:rPr>
            <w:rStyle w:val="a5"/>
          </w:rPr>
          <w:t xml:space="preserve">1) はじめに 6</w:t>
        </w:r>
      </w:hyperlink>
    </w:p>
    <w:p>
      <w:pPr>
        <w:pStyle w:val="BodyText"/>
      </w:pPr>
      <w:hyperlink w:anchor="用語の定義">
        <w:r>
          <w:rPr>
            <w:rStyle w:val="a5"/>
          </w:rPr>
          <w:t xml:space="preserve">2) 用語の定義 7</w:t>
        </w:r>
      </w:hyperlink>
    </w:p>
    <w:p>
      <w:pPr>
        <w:pStyle w:val="BodyText"/>
      </w:pPr>
      <w:hyperlink w:anchor="要求事項">
        <w:r>
          <w:rPr>
            <w:rStyle w:val="a5"/>
          </w:rPr>
          <w:t xml:space="preserve">3) 要求事項 9</w:t>
        </w:r>
      </w:hyperlink>
    </w:p>
    <w:p>
      <w:pPr>
        <w:pStyle w:val="BodyText"/>
      </w:pPr>
      <w:hyperlink w:anchor="プログラムの基盤確立">
        <w:r>
          <w:rPr>
            <w:rStyle w:val="a5"/>
          </w:rPr>
          <w:t xml:space="preserve">1.0 プログラムの基盤確立 9</w:t>
        </w:r>
      </w:hyperlink>
    </w:p>
    <w:p>
      <w:pPr>
        <w:pStyle w:val="BodyText"/>
      </w:pPr>
      <w:hyperlink w:anchor="関連タスクの定義と実行支援">
        <w:r>
          <w:rPr>
            <w:rStyle w:val="a5"/>
          </w:rPr>
          <w:t xml:space="preserve">2.0 関連タスクの定義と実行支援 12</w:t>
        </w:r>
      </w:hyperlink>
    </w:p>
    <w:p>
      <w:pPr>
        <w:pStyle w:val="BodyText"/>
      </w:pPr>
      <w:hyperlink w:anchor="オープンソースコンテンツのレビューと承認">
        <w:r>
          <w:rPr>
            <w:rStyle w:val="a5"/>
          </w:rPr>
          <w:t xml:space="preserve">3.0 オープンソースコンテンツのレビューと承認 14</w:t>
        </w:r>
      </w:hyperlink>
    </w:p>
    <w:p>
      <w:pPr>
        <w:pStyle w:val="BodyText"/>
      </w:pPr>
      <w:hyperlink w:anchor="コンプライアンス関連資料の作成と配布">
        <w:r>
          <w:rPr>
            <w:rStyle w:val="a5"/>
          </w:rPr>
          <w:t xml:space="preserve">4.0 コンプライアンス関連資料の作成と配布 16</w:t>
        </w:r>
      </w:hyperlink>
    </w:p>
    <w:p>
      <w:pPr>
        <w:pStyle w:val="BodyText"/>
      </w:pPr>
      <w:hyperlink w:anchor="オープンソースコミュニティ活動への理解">
        <w:r>
          <w:rPr>
            <w:rStyle w:val="a5"/>
          </w:rPr>
          <w:t xml:space="preserve">5.0 オープンソースコミュニティ活動への理解 17</w:t>
        </w:r>
      </w:hyperlink>
    </w:p>
    <w:p>
      <w:pPr>
        <w:pStyle w:val="BodyText"/>
      </w:pPr>
      <w:hyperlink w:anchor="仕様に規定する要求事項の遵守">
        <w:r>
          <w:rPr>
            <w:rStyle w:val="a5"/>
          </w:rPr>
          <w:t xml:space="preserve">6.0 仕様に規定する要求事項の遵守 18</w:t>
        </w:r>
      </w:hyperlink>
    </w:p>
    <w:p>
      <w:pPr>
        <w:pStyle w:val="BodyText"/>
      </w:pPr>
      <w:hyperlink w:anchor="付録-i-本文書の翻訳について">
        <w:r>
          <w:rPr>
            <w:rStyle w:val="a5"/>
          </w:rPr>
          <w:t xml:space="preserve">付録 I: 本文書の翻訳について 20</w:t>
        </w:r>
      </w:hyperlink>
    </w:p>
    <w:bookmarkEnd w:id="20"/>
    <w:bookmarkStart w:id="21" w:name="免責事項disclaimer"/>
    <w:p>
      <w:pPr>
        <w:pStyle w:val="1"/>
      </w:pPr>
      <w:r>
        <w:t xml:space="preserve">免責事項（Disclaimer）</w:t>
      </w:r>
    </w:p>
    <w:p>
      <w:pPr>
        <w:pStyle w:val="FirstParagraph"/>
      </w:pPr>
      <w:r>
        <w:t xml:space="preserve">本文書は、The Linux FoundationにおけるOpenChainプロジェクトの英文ドキュメントから翻訳された公式翻訳版です。ただし、翻訳版と英語版との間で何らかの意味の違いがあった場合には、英語版が優先されます。</w:t>
      </w:r>
    </w:p>
    <w:p>
      <w:pPr>
        <w:pStyle w:val="BodyText"/>
      </w:pPr>
      <w:r>
        <w:t xml:space="preserve">また、OpenChain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pPr>
        <w:pStyle w:val="BodyText"/>
      </w:pPr>
      <w:r>
        <w:t xml:space="preserve">This is an official translation from the OpenChain Project. It has been translated from the original English text. In the event there is confusion between a translation and the English version, The English text shall take precedence.</w:t>
      </w:r>
    </w:p>
    <w:bookmarkEnd w:id="21"/>
    <w:bookmarkStart w:id="23" w:name="著作権ライセンス"/>
    <w:p>
      <w:pPr>
        <w:pStyle w:val="1"/>
      </w:pPr>
      <w:r>
        <w:t xml:space="preserve">著作権、ライセンス</w:t>
      </w:r>
    </w:p>
    <w:p>
      <w:pPr>
        <w:pStyle w:val="FirstParagraph"/>
      </w:pPr>
      <w:r>
        <w:t xml:space="preserve">Copyright© 2016-2019 Linux Foundation®.</w:t>
      </w:r>
    </w:p>
    <w:p>
      <w:pPr>
        <w:pStyle w:val="BodyText"/>
      </w:pPr>
      <w:r>
        <w:t xml:space="preserve">本仕様書の利用は、Creative Commons Attribution 4.0 International (CC-BY 4.0)ライセンスの下で許諾されます。ライセンスの写しは</w:t>
      </w:r>
      <w:r>
        <w:t xml:space="preserve"> </w:t>
      </w:r>
      <w:hyperlink r:id="rId22">
        <w:r>
          <w:rPr>
            <w:rStyle w:val="a5"/>
          </w:rPr>
          <w:t xml:space="preserve">https://creativecommons.org/licenses/by/4.0/</w:t>
        </w:r>
      </w:hyperlink>
      <w:r>
        <w:t xml:space="preserve"> </w:t>
      </w:r>
      <w:r>
        <w:t xml:space="preserve">で確認できます。</w:t>
      </w:r>
    </w:p>
    <w:bookmarkEnd w:id="23"/>
    <w:bookmarkStart w:id="26" w:name="はじめに"/>
    <w:p>
      <w:pPr>
        <w:pStyle w:val="1"/>
      </w:pPr>
      <w:r>
        <w:t xml:space="preserve">はじめに</w:t>
      </w:r>
    </w:p>
    <w:p>
      <w:pPr>
        <w:pStyle w:val="FirstParagraph"/>
      </w:pPr>
      <w:r>
        <w:t xml:space="preserve">この仕様書は、</w:t>
      </w:r>
      <w:r>
        <w:rPr>
          <w:b/>
        </w:rPr>
        <w:t xml:space="preserve">オープンソース</w:t>
      </w:r>
      <w:r>
        <w:t xml:space="preserve">ライセンスに対する質の高いコンプライアンス</w:t>
      </w:r>
      <w:r>
        <w:rPr>
          <w:b/>
        </w:rPr>
        <w:t xml:space="preserve">プログラム</w:t>
      </w:r>
      <w:r>
        <w:t xml:space="preserve">（以下では、</w:t>
      </w:r>
      <w:r>
        <w:rPr>
          <w:b/>
        </w:rPr>
        <w:t xml:space="preserve">プログラム</w:t>
      </w:r>
      <w:r>
        <w:t xml:space="preserve">と略します）の主要な要求事項を定義しています。これにより、</w:t>
      </w:r>
      <w:r>
        <w:rPr>
          <w:b/>
        </w:rPr>
        <w:t xml:space="preserve">オープンソース</w:t>
      </w:r>
      <w:r>
        <w:t xml:space="preserve">ソフトウェアで構成されたソフトウェアソリューションを相互に取り交わす組織（主として、企業として運営される組織を想定しています）の間での信頼構築に至る基準を提供することを目的としています。組織のライセンスコンプライアンス活動を管理する</w:t>
      </w:r>
      <w:r>
        <w:rPr>
          <w:b/>
        </w:rPr>
        <w:t xml:space="preserve">プログラム</w:t>
      </w:r>
      <w:r>
        <w:t xml:space="preserve">が本仕様書に適合していることで、個別のソフトウェアソリューションにそれぞれについて、必要とされる</w:t>
      </w:r>
      <w:r>
        <w:rPr>
          <w:b/>
        </w:rPr>
        <w:t xml:space="preserve">コンプライアンス関連資料</w:t>
      </w:r>
      <w:r>
        <w:t xml:space="preserve">（すなわち、法的通知、ソースコードなどの資料）が確実に生成されることが保証されます。OpenChainの仕様書による</w:t>
      </w:r>
      <w:r>
        <w:rPr>
          <w:b/>
        </w:rPr>
        <w:t xml:space="preserve">プログラム</w:t>
      </w:r>
      <w:r>
        <w:t xml:space="preserve">の要求事項の定義は、「どのようなやり方で（How）」や「どのような時に（When）」という側面ではなく、「何を対象に（What）」と「どのような理由で（Why）」という側面に焦点を当てています。この柔軟性により、さまざまな市場に存在するさまざまな規模の組織それぞれが、この仕様書に基づき、規模、目標、統制範囲に合ったポリシーとプロセスを選択できます。例えば、</w:t>
      </w:r>
      <w:r>
        <w:rPr>
          <w:b/>
        </w:rPr>
        <w:t xml:space="preserve">OpenChain適合プログラム</w:t>
      </w:r>
      <w:r>
        <w:t xml:space="preserve">は、組織の単一の製品ラインを対象とすることも、あるいは、組織全体を対象とすることもできます。</w:t>
      </w:r>
    </w:p>
    <w:p>
      <w:pPr>
        <w:pStyle w:val="BodyText"/>
      </w:pPr>
      <w:r>
        <w:t xml:space="preserve">このセクション（セクション１：はじめに）ではすべてのOpenChainユーザに向けて、仕様書の背景を提供しています。セクション２（用語の定義）では、本仕様書全体で使用される主要な用語を定義しています。セクション３（具体的要求事項）では、本仕様書に適合するために</w:t>
      </w:r>
      <w:r>
        <w:rPr>
          <w:b/>
        </w:rPr>
        <w:t xml:space="preserve">プログラム</w:t>
      </w:r>
      <w:r>
        <w:t xml:space="preserve">が満たすべき要求事項を定義しています。各要件は、当該要求事項を満たすために生成される必要のある１または複数の</w:t>
      </w:r>
      <w:r>
        <w:rPr>
          <w:b/>
        </w:rPr>
        <w:t xml:space="preserve">証跡となる資料</w:t>
      </w:r>
      <w:r>
        <w:t xml:space="preserve">（すなわち、記録として残される書類）で構成されています。</w:t>
      </w:r>
      <w:r>
        <w:rPr>
          <w:b/>
        </w:rPr>
        <w:t xml:space="preserve">証跡となる資料</w:t>
      </w:r>
      <w:r>
        <w:t xml:space="preserve">を一般に公開する必要はありませんが、仮に他者に提供することとなる場合は、機密保持契約（NDA）の下での開示となるでしょう。</w:t>
      </w:r>
    </w:p>
    <w:p>
      <w:pPr>
        <w:pStyle w:val="BodyText"/>
      </w:pPr>
      <w:r>
        <w:t xml:space="preserve">この仕様書は、オープンイニシアティブとして開発され、150人以上の貢献者からフィードバックが寄せられています。開発履歴の詳細は仕様書用の</w:t>
      </w:r>
      <w:hyperlink r:id="rId24">
        <w:r>
          <w:rPr>
            <w:rStyle w:val="a5"/>
          </w:rPr>
          <w:t xml:space="preserve">メーリングリスト</w:t>
        </w:r>
      </w:hyperlink>
      <w:r>
        <w:t xml:space="preserve">、および、</w:t>
      </w:r>
      <w:hyperlink r:id="rId25">
        <w:r>
          <w:rPr>
            <w:rStyle w:val="a5"/>
          </w:rPr>
          <w:t xml:space="preserve">Frequently Asked Questions (FAQ)</w:t>
        </w:r>
      </w:hyperlink>
      <w:r>
        <w:t xml:space="preserve">でご覧いただけます。</w:t>
      </w:r>
    </w:p>
    <w:bookmarkEnd w:id="26"/>
    <w:bookmarkStart w:id="36" w:name="用語の定義"/>
    <w:p>
      <w:pPr>
        <w:pStyle w:val="1"/>
      </w:pPr>
      <w:r>
        <w:t xml:space="preserve">用語の定義</w:t>
      </w:r>
    </w:p>
    <w:p>
      <w:pPr>
        <w:pStyle w:val="FirstParagraph"/>
      </w:pPr>
      <w:r>
        <w:t xml:space="preserve">原文における英語のアルファベット順。本文中では、</w:t>
      </w:r>
      <w:r>
        <w:rPr>
          <w:b/>
        </w:rPr>
        <w:t xml:space="preserve">太字</w:t>
      </w:r>
      <w:r>
        <w:t xml:space="preserve">で表記しています。</w:t>
      </w:r>
    </w:p>
    <w:bookmarkStart w:id="27" w:name="コンプライアンス関連資料compliance-artifact"/>
    <w:p>
      <w:pPr>
        <w:pStyle w:val="31"/>
      </w:pPr>
      <w:r>
        <w:rPr>
          <w:b/>
        </w:rPr>
        <w:t xml:space="preserve">コンプライアンス関連資料（Compliance Artifact）</w:t>
      </w:r>
    </w:p>
    <w:p>
      <w:pPr>
        <w:pStyle w:val="FirstParagraph"/>
      </w:pPr>
      <w:r>
        <w:rPr>
          <w:b/>
        </w:rPr>
        <w:t xml:space="preserve">供給ソフトウェア</w:t>
      </w:r>
      <w:r>
        <w:t xml:space="preserve">に対応して</w:t>
      </w:r>
      <w:r>
        <w:rPr>
          <w:b/>
        </w:rPr>
        <w:t xml:space="preserve">プログラム</w:t>
      </w:r>
      <w:r>
        <w:t xml:space="preserve">が生成する資料の集合。たとえば、ソースコード、帰属告知[1]、著作権表示、ライセンスの写し、改変告知、書面による申し出、</w:t>
      </w:r>
      <w:r>
        <w:rPr>
          <w:b/>
        </w:rPr>
        <w:t xml:space="preserve">オープンソース</w:t>
      </w:r>
      <w:r>
        <w:t xml:space="preserve">コンポーネント部品表、</w:t>
      </w:r>
      <w:r>
        <w:rPr>
          <w:b/>
        </w:rPr>
        <w:t xml:space="preserve">SPDX</w:t>
      </w:r>
      <w:r>
        <w:t xml:space="preserve">ドキュメントなど。（以上は例示であり、これらに限定されるものではない）</w:t>
      </w:r>
    </w:p>
    <w:bookmarkEnd w:id="27"/>
    <w:bookmarkStart w:id="28" w:name="確認ライセンスidentified-license"/>
    <w:p>
      <w:pPr>
        <w:pStyle w:val="31"/>
      </w:pPr>
      <w:r>
        <w:rPr>
          <w:b/>
        </w:rPr>
        <w:t xml:space="preserve">確認ライセンス（Identified License）</w:t>
      </w:r>
    </w:p>
    <w:p>
      <w:pPr>
        <w:pStyle w:val="FirstParagraph"/>
      </w:pPr>
      <w:r>
        <w:rPr>
          <w:b/>
        </w:rPr>
        <w:t xml:space="preserve">供給ソフトウェア</w:t>
      </w:r>
      <w:r>
        <w:t xml:space="preserve">を構成する</w:t>
      </w:r>
      <w:r>
        <w:rPr>
          <w:b/>
        </w:rPr>
        <w:t xml:space="preserve">オープンソース</w:t>
      </w:r>
      <w:r>
        <w:t xml:space="preserve">コンポーネントに、適切なライセンス確認手法を用いることにより存在が確認された</w:t>
      </w:r>
      <w:r>
        <w:rPr>
          <w:b/>
        </w:rPr>
        <w:t xml:space="preserve">オープンソース</w:t>
      </w:r>
      <w:r>
        <w:t xml:space="preserve">ライセンスの一式。</w:t>
      </w:r>
    </w:p>
    <w:bookmarkEnd w:id="28"/>
    <w:bookmarkStart w:id="29" w:name="openchain適合openchain-conformant"/>
    <w:p>
      <w:pPr>
        <w:pStyle w:val="31"/>
      </w:pPr>
      <w:r>
        <w:rPr>
          <w:b/>
        </w:rPr>
        <w:t xml:space="preserve">OpenChain適合（OpenChain Conformant）</w:t>
      </w:r>
    </w:p>
    <w:p>
      <w:pPr>
        <w:pStyle w:val="FirstParagraph"/>
      </w:pPr>
      <w:r>
        <w:t xml:space="preserve">本仕様書のすべての要求事項を満たす</w:t>
      </w:r>
      <w:r>
        <w:rPr>
          <w:b/>
        </w:rPr>
        <w:t xml:space="preserve">プログラム</w:t>
      </w:r>
      <w:r>
        <w:t xml:space="preserve">。</w:t>
      </w:r>
    </w:p>
    <w:bookmarkEnd w:id="29"/>
    <w:bookmarkStart w:id="30" w:name="オープンソースopen-source"/>
    <w:p>
      <w:pPr>
        <w:pStyle w:val="31"/>
      </w:pPr>
      <w:r>
        <w:rPr>
          <w:b/>
        </w:rPr>
        <w:t xml:space="preserve">オープンソース（Open Source）</w:t>
      </w:r>
    </w:p>
    <w:p>
      <w:pPr>
        <w:pStyle w:val="FirstParagraph"/>
      </w:pPr>
      <w:r>
        <w:t xml:space="preserve">Open Source Initiative（OpenSource.org）が策定したOpen Source Definitionや、Free Software Foundationが策定したFree Software Definitionに準拠した、1または複数のライセンス、または同等のライセンスに従うソフトウェア。</w:t>
      </w:r>
    </w:p>
    <w:bookmarkEnd w:id="30"/>
    <w:bookmarkStart w:id="31" w:name="プログラムprogram"/>
    <w:p>
      <w:pPr>
        <w:pStyle w:val="31"/>
      </w:pPr>
      <w:r>
        <w:rPr>
          <w:b/>
        </w:rPr>
        <w:t xml:space="preserve">プログラム（Program）</w:t>
      </w:r>
    </w:p>
    <w:p>
      <w:pPr>
        <w:pStyle w:val="FirstParagraph"/>
      </w:pPr>
      <w:r>
        <w:t xml:space="preserve">組織のライセンスコンプライアンス活動を管理するポリシー、プロセス、および要員の一式。</w:t>
      </w:r>
    </w:p>
    <w:bookmarkEnd w:id="31"/>
    <w:bookmarkStart w:id="32" w:name="ソフトウェアスタッフsoftware-staff2"/>
    <w:p>
      <w:pPr>
        <w:pStyle w:val="31"/>
      </w:pPr>
      <w:r>
        <w:rPr>
          <w:b/>
        </w:rPr>
        <w:t xml:space="preserve">ソフトウェアスタッフ（Software Staff）</w:t>
      </w:r>
      <w:r>
        <w:t xml:space="preserve">[2]</w:t>
      </w:r>
    </w:p>
    <w:p>
      <w:pPr>
        <w:pStyle w:val="FirstParagraph"/>
      </w:pPr>
      <w:r>
        <w:rPr>
          <w:b/>
        </w:rPr>
        <w:t xml:space="preserve">供給ソフトウェア</w:t>
      </w:r>
      <w:r>
        <w:t xml:space="preserve">を定義する、</w:t>
      </w:r>
      <w:r>
        <w:rPr>
          <w:b/>
        </w:rPr>
        <w:t xml:space="preserve">供給ソフトウェア</w:t>
      </w:r>
      <w:r>
        <w:t xml:space="preserve">に貢献する、あるいは、</w:t>
      </w:r>
      <w:r>
        <w:rPr>
          <w:b/>
        </w:rPr>
        <w:t xml:space="preserve">供給ソフトウェア</w:t>
      </w:r>
      <w:r>
        <w:t xml:space="preserve">を使えるように準備する責任を持つ、組織の従業員または業務請負者のすべて。該当する者は組織によって異なるが、たとえば、ソフトウェア開発者、リリースエンジニア、品質管理技術者、プロダクトマーケティング担当者、プロダクト管理者などが挙げられる（以上は例示であり、これらに限定されるものではない）。</w:t>
      </w:r>
    </w:p>
    <w:bookmarkEnd w:id="32"/>
    <w:bookmarkStart w:id="33" w:name="spdx"/>
    <w:p>
      <w:pPr>
        <w:pStyle w:val="31"/>
      </w:pPr>
      <w:r>
        <w:rPr>
          <w:b/>
        </w:rPr>
        <w:t xml:space="preserve">SPDX</w:t>
      </w:r>
    </w:p>
    <w:p>
      <w:pPr>
        <w:pStyle w:val="FirstParagraph"/>
      </w:pPr>
      <w:r>
        <w:t xml:space="preserve">Linux Foundationの</w:t>
      </w:r>
      <w:r>
        <w:rPr>
          <w:b/>
        </w:rPr>
        <w:t xml:space="preserve">SPDX</w:t>
      </w:r>
      <w:r>
        <w:t xml:space="preserve">（Software Data Package Exchange）ワーキンググループによって作られ、ソフトウェアパッケージのライセンスおよび著作権情報を交換することを目的としたフォーマット標準。</w:t>
      </w:r>
      <w:r>
        <w:rPr>
          <w:b/>
        </w:rPr>
        <w:t xml:space="preserve">SPDX</w:t>
      </w:r>
      <w:r>
        <w:t xml:space="preserve">仕様の詳細はwww.spdx.orgを参照のこと。</w:t>
      </w:r>
    </w:p>
    <w:bookmarkEnd w:id="33"/>
    <w:bookmarkStart w:id="34" w:name="供給ソフトウェアsupplied-software"/>
    <w:p>
      <w:pPr>
        <w:pStyle w:val="31"/>
      </w:pPr>
      <w:r>
        <w:rPr>
          <w:b/>
        </w:rPr>
        <w:t xml:space="preserve">供給ソフトウェア（Supplied Software）</w:t>
      </w:r>
    </w:p>
    <w:p>
      <w:pPr>
        <w:pStyle w:val="FirstParagraph"/>
      </w:pPr>
      <w:r>
        <w:t xml:space="preserve">組織が第三者（たとえば、他の組織や個人）に対して提供するソフトウェア。</w:t>
      </w:r>
    </w:p>
    <w:bookmarkEnd w:id="34"/>
    <w:bookmarkStart w:id="35" w:name="証跡となる資料verification-material"/>
    <w:p>
      <w:pPr>
        <w:pStyle w:val="31"/>
      </w:pPr>
      <w:r>
        <w:rPr>
          <w:b/>
        </w:rPr>
        <w:t xml:space="preserve">証跡となる資料（Verification Material）</w:t>
      </w:r>
    </w:p>
    <w:p>
      <w:pPr>
        <w:pStyle w:val="FirstParagraph"/>
      </w:pPr>
      <w:r>
        <w:t xml:space="preserve">与えられた要求事項を満たすことを実証する資料。</w:t>
      </w:r>
    </w:p>
    <w:bookmarkEnd w:id="35"/>
    <w:bookmarkEnd w:id="36"/>
    <w:bookmarkStart w:id="82" w:name="要求事項"/>
    <w:p>
      <w:pPr>
        <w:pStyle w:val="1"/>
      </w:pPr>
      <w:r>
        <w:t xml:space="preserve">要求事項</w:t>
      </w:r>
    </w:p>
    <w:bookmarkStart w:id="52" w:name="プログラムの基盤確立"/>
    <w:p>
      <w:pPr>
        <w:pStyle w:val="2"/>
      </w:pPr>
      <w:r>
        <w:t xml:space="preserve">1.0</w:t>
      </w:r>
      <w:r>
        <w:t xml:space="preserve"> </w:t>
      </w:r>
      <w:r>
        <w:rPr>
          <w:b/>
        </w:rPr>
        <w:t xml:space="preserve">プログラム</w:t>
      </w:r>
      <w:r>
        <w:t xml:space="preserve">の基盤確立</w:t>
      </w:r>
    </w:p>
    <w:bookmarkStart w:id="39" w:name="ポリシー"/>
    <w:p>
      <w:pPr>
        <w:pStyle w:val="31"/>
      </w:pPr>
      <w:r>
        <w:t xml:space="preserve">1.1 ポリシー</w:t>
      </w:r>
    </w:p>
    <w:p>
      <w:pPr>
        <w:pStyle w:val="FirstParagraph"/>
      </w:pPr>
      <w:r>
        <w:rPr>
          <w:b/>
        </w:rPr>
        <w:t xml:space="preserve">供給ソフトウェア</w:t>
      </w:r>
      <w:r>
        <w:t xml:space="preserve">に対する</w:t>
      </w:r>
      <w:r>
        <w:rPr>
          <w:b/>
        </w:rPr>
        <w:t xml:space="preserve">オープンソース</w:t>
      </w:r>
      <w:r>
        <w:t xml:space="preserve">ライセンスコンプライアンスを統制する、</w:t>
      </w:r>
      <w:r>
        <w:rPr>
          <w:b/>
        </w:rPr>
        <w:t xml:space="preserve">オープンソース</w:t>
      </w:r>
      <w:r>
        <w:t xml:space="preserve">ポリシーが書面にまとめられ存在していること。また、このポリシーが組織内で周知されていること。</w:t>
      </w:r>
    </w:p>
    <w:bookmarkStart w:id="37" w:name="証跡となる資料"/>
    <w:p>
      <w:pPr>
        <w:pStyle w:val="4"/>
      </w:pPr>
      <w:r>
        <w:rPr>
          <w:b/>
        </w:rPr>
        <w:t xml:space="preserve">証跡となる資料</w:t>
      </w:r>
    </w:p>
    <w:p>
      <w:pPr>
        <w:pStyle w:val="FirstParagraph"/>
      </w:pPr>
      <w:r>
        <w:t xml:space="preserve">1.1.1 文書化した</w:t>
      </w:r>
      <w:r>
        <w:rPr>
          <w:b/>
        </w:rPr>
        <w:t xml:space="preserve">オープンソース</w:t>
      </w:r>
      <w:r>
        <w:t xml:space="preserve">ポリシー。</w:t>
      </w:r>
    </w:p>
    <w:p>
      <w:pPr>
        <w:pStyle w:val="BodyText"/>
      </w:pPr>
      <w:r>
        <w:t xml:space="preserve">1.1.2</w:t>
      </w:r>
      <w:r>
        <w:t xml:space="preserve"> </w:t>
      </w:r>
      <w:r>
        <w:rPr>
          <w:b/>
        </w:rPr>
        <w:t xml:space="preserve">ソフトウェアスタッフ</w:t>
      </w:r>
      <w:r>
        <w:t xml:space="preserve">に</w:t>
      </w:r>
      <w:r>
        <w:rPr>
          <w:b/>
        </w:rPr>
        <w:t xml:space="preserve">オープンソース</w:t>
      </w:r>
      <w:r>
        <w:t xml:space="preserve">ポリシーの存在を認識させるための文書化した手順（例えば、トレーニング、社内wiki、またはその他の実効的な伝達方法による）。</w:t>
      </w:r>
    </w:p>
    <w:bookmarkEnd w:id="37"/>
    <w:bookmarkStart w:id="38" w:name="論拠"/>
    <w:p>
      <w:pPr>
        <w:pStyle w:val="4"/>
      </w:pPr>
      <w:r>
        <w:t xml:space="preserve">論拠</w:t>
      </w:r>
    </w:p>
    <w:p>
      <w:pPr>
        <w:pStyle w:val="FirstParagraph"/>
      </w:pPr>
      <w:r>
        <w:rPr>
          <w:b/>
        </w:rPr>
        <w:t xml:space="preserve">オープンソース</w:t>
      </w:r>
      <w:r>
        <w:t xml:space="preserve">ポリシーを作成し、記録し、</w:t>
      </w:r>
      <w:r>
        <w:rPr>
          <w:b/>
        </w:rPr>
        <w:t xml:space="preserve">ソフトウェアスタッフ</w:t>
      </w:r>
      <w:r>
        <w:t xml:space="preserve">にその存在を認識させる、各段階が実行されているかを確認するため。なお、この項では、ポリシーに含めるべき内容に関する要求事項は規定していない。ポリシーに関する具体的要求事項については、他の項で説明されるでしょう。</w:t>
      </w:r>
    </w:p>
    <w:bookmarkEnd w:id="38"/>
    <w:bookmarkEnd w:id="39"/>
    <w:bookmarkStart w:id="42" w:name="能力"/>
    <w:p>
      <w:pPr>
        <w:pStyle w:val="31"/>
      </w:pPr>
      <w:r>
        <w:t xml:space="preserve">1.2 能力</w:t>
      </w:r>
    </w:p>
    <w:p>
      <w:pPr>
        <w:pStyle w:val="FirstParagraph"/>
      </w:pPr>
      <w:r>
        <w:t xml:space="preserve">組織は以下の各項目を実行する必要がある：</w:t>
      </w:r>
    </w:p>
    <w:p>
      <w:pPr>
        <w:numPr>
          <w:ilvl w:val="0"/>
          <w:numId w:val="1001"/>
        </w:numPr>
      </w:pPr>
      <w:r>
        <w:rPr>
          <w:b/>
        </w:rPr>
        <w:t xml:space="preserve">プログラム</w:t>
      </w:r>
      <w:r>
        <w:t xml:space="preserve">の遂行結果および有効性に影響を与える、役割および役割に対応する責任を特定する</w:t>
      </w:r>
    </w:p>
    <w:p>
      <w:pPr>
        <w:numPr>
          <w:ilvl w:val="0"/>
          <w:numId w:val="1001"/>
        </w:numPr>
      </w:pPr>
      <w:r>
        <w:t xml:space="preserve">特定された役割それぞれを果たすために必要な、担当者の能力を決定する</w:t>
      </w:r>
    </w:p>
    <w:p>
      <w:pPr>
        <w:numPr>
          <w:ilvl w:val="0"/>
          <w:numId w:val="1001"/>
        </w:numPr>
      </w:pPr>
      <w:r>
        <w:t xml:space="preserve">担当者が十分な能力を持っていることを、適切な教育やトレーニングの受講や当該担当者の経験に基づいて確認する</w:t>
      </w:r>
    </w:p>
    <w:p>
      <w:pPr>
        <w:numPr>
          <w:ilvl w:val="0"/>
          <w:numId w:val="1001"/>
        </w:numPr>
      </w:pPr>
      <w:r>
        <w:t xml:space="preserve">担当者に必要な能力が欠落している場合に、当該担当者に必要な能力を獲得するための措置を講じる</w:t>
      </w:r>
    </w:p>
    <w:p>
      <w:pPr>
        <w:numPr>
          <w:ilvl w:val="0"/>
          <w:numId w:val="1001"/>
        </w:numPr>
      </w:pPr>
      <w:r>
        <w:t xml:space="preserve">能力があることのエビデンスとして、文書化した適切な情報を保持する</w:t>
      </w:r>
    </w:p>
    <w:bookmarkStart w:id="40" w:name="証跡となる資料-1"/>
    <w:p>
      <w:pPr>
        <w:pStyle w:val="4"/>
      </w:pPr>
      <w:r>
        <w:t xml:space="preserve">証跡となる資料</w:t>
      </w:r>
    </w:p>
    <w:p>
      <w:pPr>
        <w:pStyle w:val="FirstParagraph"/>
      </w:pPr>
      <w:r>
        <w:t xml:space="preserve">1.2.1</w:t>
      </w:r>
      <w:r>
        <w:t xml:space="preserve"> </w:t>
      </w:r>
      <w:r>
        <w:rPr>
          <w:b/>
        </w:rPr>
        <w:t xml:space="preserve">プログラム</w:t>
      </w:r>
      <w:r>
        <w:t xml:space="preserve">に参加する立場の異なる参加者それぞれの、役割と対応する責任を文書化したリスト。</w:t>
      </w:r>
    </w:p>
    <w:p>
      <w:pPr>
        <w:pStyle w:val="BodyText"/>
      </w:pPr>
      <w:r>
        <w:t xml:space="preserve">1.2.2 それぞれの役割に要求される能力を特定する文書。</w:t>
      </w:r>
    </w:p>
    <w:p>
      <w:pPr>
        <w:pStyle w:val="BodyText"/>
      </w:pPr>
      <w:r>
        <w:t xml:space="preserve">1.2.3 それぞれの</w:t>
      </w:r>
      <w:r>
        <w:rPr>
          <w:b/>
        </w:rPr>
        <w:t xml:space="preserve">プログラム</w:t>
      </w:r>
      <w:r>
        <w:t xml:space="preserve">参加者の能力評価についての、文書化したエビデンス。</w:t>
      </w:r>
    </w:p>
    <w:bookmarkEnd w:id="40"/>
    <w:bookmarkStart w:id="41" w:name="論拠-1"/>
    <w:p>
      <w:pPr>
        <w:pStyle w:val="4"/>
      </w:pPr>
      <w:r>
        <w:t xml:space="preserve">論拠:</w:t>
      </w:r>
    </w:p>
    <w:p>
      <w:pPr>
        <w:pStyle w:val="FirstParagraph"/>
      </w:pPr>
      <w:r>
        <w:rPr>
          <w:b/>
        </w:rPr>
        <w:t xml:space="preserve">プログラム</w:t>
      </w:r>
      <w:r>
        <w:t xml:space="preserve">の役割を実行する、特定された参加者が、それぞれの役割と責任について十分な水準の能力を獲得していることを確認するため。</w:t>
      </w:r>
    </w:p>
    <w:bookmarkEnd w:id="41"/>
    <w:bookmarkEnd w:id="42"/>
    <w:bookmarkStart w:id="45" w:name="認識"/>
    <w:p>
      <w:pPr>
        <w:pStyle w:val="31"/>
      </w:pPr>
      <w:r>
        <w:t xml:space="preserve">1.3 認識</w:t>
      </w:r>
    </w:p>
    <w:p>
      <w:pPr>
        <w:pStyle w:val="FirstParagraph"/>
      </w:pPr>
      <w:r>
        <w:t xml:space="preserve">組織は</w:t>
      </w:r>
      <w:r>
        <w:rPr>
          <w:b/>
        </w:rPr>
        <w:t xml:space="preserve">プログラム</w:t>
      </w:r>
      <w:r>
        <w:t xml:space="preserve">参加者[3]が、以下を認識していることを確認する必要がある：</w:t>
      </w:r>
    </w:p>
    <w:p>
      <w:pPr>
        <w:numPr>
          <w:ilvl w:val="0"/>
          <w:numId w:val="1002"/>
        </w:numPr>
      </w:pPr>
      <w:r>
        <w:rPr>
          <w:b/>
        </w:rPr>
        <w:t xml:space="preserve">オープンソース</w:t>
      </w:r>
      <w:r>
        <w:t xml:space="preserve">ポリシー</w:t>
      </w:r>
    </w:p>
    <w:p>
      <w:pPr>
        <w:numPr>
          <w:ilvl w:val="0"/>
          <w:numId w:val="1002"/>
        </w:numPr>
      </w:pPr>
      <w:r>
        <w:t xml:space="preserve">関連する</w:t>
      </w:r>
      <w:r>
        <w:rPr>
          <w:b/>
        </w:rPr>
        <w:t xml:space="preserve">オープンソース</w:t>
      </w:r>
      <w:r>
        <w:t xml:space="preserve">の目的[4]</w:t>
      </w:r>
    </w:p>
    <w:p>
      <w:pPr>
        <w:numPr>
          <w:ilvl w:val="0"/>
          <w:numId w:val="1002"/>
        </w:numPr>
      </w:pPr>
      <w:r>
        <w:rPr>
          <w:b/>
        </w:rPr>
        <w:t xml:space="preserve">プログラム</w:t>
      </w:r>
      <w:r>
        <w:t xml:space="preserve">の有効性に対する、参加者の寄与</w:t>
      </w:r>
    </w:p>
    <w:p>
      <w:pPr>
        <w:numPr>
          <w:ilvl w:val="0"/>
          <w:numId w:val="1002"/>
        </w:numPr>
      </w:pPr>
      <w:r>
        <w:rPr>
          <w:b/>
        </w:rPr>
        <w:t xml:space="preserve">プログラム</w:t>
      </w:r>
      <w:r>
        <w:t xml:space="preserve">の要求事項を守らないことの意味</w:t>
      </w:r>
    </w:p>
    <w:bookmarkStart w:id="43" w:name="証跡となる資料-2"/>
    <w:p>
      <w:pPr>
        <w:pStyle w:val="4"/>
      </w:pPr>
      <w:r>
        <w:rPr>
          <w:b/>
        </w:rPr>
        <w:t xml:space="preserve">証跡となる資料</w:t>
      </w:r>
    </w:p>
    <w:p>
      <w:pPr>
        <w:pStyle w:val="FirstParagraph"/>
      </w:pPr>
      <w:r>
        <w:t xml:space="preserve">1.3.1</w:t>
      </w:r>
      <w:r>
        <w:t xml:space="preserve"> </w:t>
      </w:r>
      <w:r>
        <w:rPr>
          <w:b/>
        </w:rPr>
        <w:t xml:space="preserve">プログラム</w:t>
      </w:r>
      <w:r>
        <w:t xml:space="preserve">の目的、</w:t>
      </w:r>
      <w:r>
        <w:rPr>
          <w:b/>
        </w:rPr>
        <w:t xml:space="preserve">プログラム</w:t>
      </w:r>
      <w:r>
        <w:t xml:space="preserve">における参加者の寄与、</w:t>
      </w:r>
      <w:r>
        <w:rPr>
          <w:b/>
        </w:rPr>
        <w:t xml:space="preserve">プログラム</w:t>
      </w:r>
      <w:r>
        <w:t xml:space="preserve">の不適合の意味を含む、</w:t>
      </w:r>
      <w:r>
        <w:rPr>
          <w:b/>
        </w:rPr>
        <w:t xml:space="preserve">プログラム</w:t>
      </w:r>
      <w:r>
        <w:t xml:space="preserve">要員それぞれの認識度を評価した文書化したエビデンス。</w:t>
      </w:r>
    </w:p>
    <w:bookmarkEnd w:id="43"/>
    <w:bookmarkStart w:id="44" w:name="論拠-2"/>
    <w:p>
      <w:pPr>
        <w:pStyle w:val="4"/>
      </w:pPr>
      <w:r>
        <w:t xml:space="preserve">論拠:</w:t>
      </w:r>
    </w:p>
    <w:p>
      <w:pPr>
        <w:pStyle w:val="FirstParagraph"/>
      </w:pPr>
      <w:r>
        <w:rPr>
          <w:b/>
        </w:rPr>
        <w:t xml:space="preserve">プログラム</w:t>
      </w:r>
      <w:r>
        <w:t xml:space="preserve">要員が、</w:t>
      </w:r>
      <w:r>
        <w:rPr>
          <w:b/>
        </w:rPr>
        <w:t xml:space="preserve">プログラム</w:t>
      </w:r>
      <w:r>
        <w:t xml:space="preserve">におけるそれぞれの役割と責任に対する、十分な認識レベルを獲得していることを確認するため。</w:t>
      </w:r>
    </w:p>
    <w:bookmarkEnd w:id="44"/>
    <w:bookmarkEnd w:id="45"/>
    <w:bookmarkStart w:id="48" w:name="プログラムの統制範囲"/>
    <w:p>
      <w:pPr>
        <w:pStyle w:val="31"/>
      </w:pPr>
      <w:r>
        <w:t xml:space="preserve">1.4 プログラムの統制範囲</w:t>
      </w:r>
    </w:p>
    <w:p>
      <w:pPr>
        <w:pStyle w:val="FirstParagraph"/>
      </w:pPr>
      <w:r>
        <w:rPr>
          <w:b/>
        </w:rPr>
        <w:t xml:space="preserve">プログラム</w:t>
      </w:r>
      <w:r>
        <w:t xml:space="preserve">の統制範囲は、</w:t>
      </w:r>
      <w:r>
        <w:rPr>
          <w:b/>
        </w:rPr>
        <w:t xml:space="preserve">プログラム</w:t>
      </w:r>
      <w:r>
        <w:t xml:space="preserve">ごとにレベルが異なる運用となり得る。例えば、</w:t>
      </w:r>
      <w:r>
        <w:rPr>
          <w:b/>
        </w:rPr>
        <w:t xml:space="preserve">プログラム</w:t>
      </w:r>
      <w:r>
        <w:t xml:space="preserve">が統制範囲は、特定の製品ライン、特定の部署全体、あるいは、特定の組織全体となり得る。</w:t>
      </w:r>
      <w:r>
        <w:rPr>
          <w:b/>
        </w:rPr>
        <w:t xml:space="preserve">プログラム</w:t>
      </w:r>
      <w:r>
        <w:t xml:space="preserve">それぞれについて、対象として指定した統制範囲を明記する必要がある。</w:t>
      </w:r>
    </w:p>
    <w:bookmarkStart w:id="46" w:name="証跡となる資料-3"/>
    <w:p>
      <w:pPr>
        <w:pStyle w:val="4"/>
      </w:pPr>
      <w:r>
        <w:rPr>
          <w:b/>
        </w:rPr>
        <w:t xml:space="preserve">証跡となる資料</w:t>
      </w:r>
    </w:p>
    <w:p>
      <w:pPr>
        <w:pStyle w:val="FirstParagraph"/>
      </w:pPr>
      <w:r>
        <w:t xml:space="preserve">1.4.1</w:t>
      </w:r>
      <w:r>
        <w:t xml:space="preserve"> </w:t>
      </w:r>
      <w:r>
        <w:rPr>
          <w:b/>
        </w:rPr>
        <w:t xml:space="preserve">プログラム</w:t>
      </w:r>
      <w:r>
        <w:t xml:space="preserve">の統制範囲と境界について、明確に定義する文書。</w:t>
      </w:r>
    </w:p>
    <w:bookmarkEnd w:id="46"/>
    <w:bookmarkStart w:id="47" w:name="論拠-3"/>
    <w:p>
      <w:pPr>
        <w:pStyle w:val="4"/>
      </w:pPr>
      <w:r>
        <w:t xml:space="preserve">論拠:</w:t>
      </w:r>
    </w:p>
    <w:p>
      <w:pPr>
        <w:pStyle w:val="FirstParagraph"/>
      </w:pPr>
      <w:r>
        <w:t xml:space="preserve">組織のニーズに合った統制範囲に、最も適した</w:t>
      </w:r>
      <w:r>
        <w:rPr>
          <w:b/>
        </w:rPr>
        <w:t xml:space="preserve">プログラム</w:t>
      </w:r>
      <w:r>
        <w:t xml:space="preserve">を構築するための柔軟性を与えるため。たとえば、組織は、特定の製品ラインを対象とした</w:t>
      </w:r>
      <w:r>
        <w:rPr>
          <w:b/>
        </w:rPr>
        <w:t xml:space="preserve">プログラム</w:t>
      </w:r>
      <w:r>
        <w:t xml:space="preserve">を確立することを選択してもよいし、組織全体についての</w:t>
      </w:r>
      <w:r>
        <w:rPr>
          <w:b/>
        </w:rPr>
        <w:t xml:space="preserve">供給ソフトウェア</w:t>
      </w:r>
      <w:r>
        <w:t xml:space="preserve">を統制する</w:t>
      </w:r>
      <w:r>
        <w:rPr>
          <w:b/>
        </w:rPr>
        <w:t xml:space="preserve">プログラム</w:t>
      </w:r>
      <w:r>
        <w:t xml:space="preserve">を導入してもよい。</w:t>
      </w:r>
    </w:p>
    <w:bookmarkEnd w:id="47"/>
    <w:bookmarkEnd w:id="48"/>
    <w:bookmarkStart w:id="51" w:name="ライセンス義務"/>
    <w:p>
      <w:pPr>
        <w:pStyle w:val="31"/>
      </w:pPr>
      <w:r>
        <w:t xml:space="preserve">1.5 ライセンス義務</w:t>
      </w:r>
    </w:p>
    <w:p>
      <w:pPr>
        <w:pStyle w:val="FirstParagraph"/>
      </w:pPr>
      <w:r>
        <w:rPr>
          <w:b/>
        </w:rPr>
        <w:t xml:space="preserve">確認ライセンス</w:t>
      </w:r>
      <w:r>
        <w:t xml:space="preserve">をレビューし、それぞれのライセンスに従うことで生じる義務、制約、および、権利の内容を判断する、プロセスが存在すること。</w:t>
      </w:r>
    </w:p>
    <w:bookmarkStart w:id="49" w:name="証跡となる資料-4"/>
    <w:p>
      <w:pPr>
        <w:pStyle w:val="4"/>
      </w:pPr>
      <w:r>
        <w:rPr>
          <w:b/>
        </w:rPr>
        <w:t xml:space="preserve">証跡となる資料</w:t>
      </w:r>
    </w:p>
    <w:p>
      <w:pPr>
        <w:pStyle w:val="FirstParagraph"/>
      </w:pPr>
      <w:r>
        <w:t xml:space="preserve">1.5.1. それぞれの</w:t>
      </w:r>
      <w:r>
        <w:rPr>
          <w:b/>
        </w:rPr>
        <w:t xml:space="preserve">確認ライセンス</w:t>
      </w:r>
      <w:r>
        <w:t xml:space="preserve">に従うことで生じる義務、制約、および、権利の内容を、レビューし、レビュー結果を文書として記録する、文書化した手順。</w:t>
      </w:r>
    </w:p>
    <w:bookmarkEnd w:id="49"/>
    <w:bookmarkStart w:id="50" w:name="論拠-4"/>
    <w:p>
      <w:pPr>
        <w:pStyle w:val="4"/>
      </w:pPr>
      <w:r>
        <w:t xml:space="preserve">論拠</w:t>
      </w:r>
    </w:p>
    <w:p>
      <w:pPr>
        <w:pStyle w:val="FirstParagraph"/>
      </w:pPr>
      <w:r>
        <w:t xml:space="preserve">組織が直面する可能性のあるさまざまなユースケースにおいて、</w:t>
      </w:r>
      <w:r>
        <w:rPr>
          <w:b/>
        </w:rPr>
        <w:t xml:space="preserve">確認ライセンス</w:t>
      </w:r>
      <w:r>
        <w:t xml:space="preserve">それぞれに従うことで生じる義務を特定およびレビューする、プロセスが存在することを確認する。ユースケースについては、3.2において定義している。</w:t>
      </w:r>
    </w:p>
    <w:bookmarkEnd w:id="50"/>
    <w:bookmarkEnd w:id="51"/>
    <w:bookmarkEnd w:id="52"/>
    <w:bookmarkStart w:id="59" w:name="関連タスクの定義と実行支援"/>
    <w:p>
      <w:pPr>
        <w:pStyle w:val="2"/>
      </w:pPr>
      <w:r>
        <w:t xml:space="preserve">2.0 関連タスクの定義と実行支援</w:t>
      </w:r>
    </w:p>
    <w:bookmarkStart w:id="55" w:name="アクセス"/>
    <w:p>
      <w:pPr>
        <w:pStyle w:val="31"/>
      </w:pPr>
      <w:r>
        <w:t xml:space="preserve">2.1 アクセス</w:t>
      </w:r>
    </w:p>
    <w:p>
      <w:pPr>
        <w:pStyle w:val="FirstParagraph"/>
      </w:pPr>
      <w:r>
        <w:t xml:space="preserve">外部からの</w:t>
      </w:r>
      <w:r>
        <w:rPr>
          <w:b/>
        </w:rPr>
        <w:t xml:space="preserve">オープンソース</w:t>
      </w:r>
      <w:r>
        <w:t xml:space="preserve">に関する問い合わせに効果的に対応するプロセスを維持すること。また、第三者が</w:t>
      </w:r>
      <w:r>
        <w:rPr>
          <w:b/>
        </w:rPr>
        <w:t xml:space="preserve">オープンソース</w:t>
      </w:r>
      <w:r>
        <w:t xml:space="preserve">のコンプライアンスに関する問い合わせを行うことができる手段を、一般に公開された形で明示すること。</w:t>
      </w:r>
    </w:p>
    <w:bookmarkStart w:id="53" w:name="証跡となる資料-5"/>
    <w:p>
      <w:pPr>
        <w:pStyle w:val="4"/>
      </w:pPr>
      <w:r>
        <w:rPr>
          <w:b/>
        </w:rPr>
        <w:t xml:space="preserve">証跡となる資料</w:t>
      </w:r>
    </w:p>
    <w:p>
      <w:pPr>
        <w:pStyle w:val="FirstParagraph"/>
      </w:pPr>
      <w:r>
        <w:t xml:space="preserve">2.1.1 一般に公開され可視化された、第三者が</w:t>
      </w:r>
      <w:r>
        <w:rPr>
          <w:b/>
        </w:rPr>
        <w:t xml:space="preserve">オープンソース</w:t>
      </w:r>
      <w:r>
        <w:t xml:space="preserve">のライセンスコンプライアンスに関する問い合わせを行うことができる方法。（例えば、連絡先メールアドレスを公開する、または、Linux Foundation のオープンコンプライアンスディレクトリに掲載する。）</w:t>
      </w:r>
    </w:p>
    <w:p>
      <w:pPr>
        <w:pStyle w:val="BodyText"/>
      </w:pPr>
      <w:r>
        <w:t xml:space="preserve">2.1.2 第三者からの</w:t>
      </w:r>
      <w:r>
        <w:rPr>
          <w:b/>
        </w:rPr>
        <w:t xml:space="preserve">オープンソース</w:t>
      </w:r>
      <w:r>
        <w:t xml:space="preserve">のライセンスコンプライアンスに関する問い合わせへの対応についての、文書化した手順。</w:t>
      </w:r>
    </w:p>
    <w:bookmarkEnd w:id="53"/>
    <w:bookmarkStart w:id="54" w:name="論拠-5"/>
    <w:p>
      <w:pPr>
        <w:pStyle w:val="4"/>
      </w:pPr>
      <w:r>
        <w:t xml:space="preserve">論拠</w:t>
      </w:r>
    </w:p>
    <w:p>
      <w:pPr>
        <w:pStyle w:val="FirstParagraph"/>
      </w:pPr>
      <w:r>
        <w:rPr>
          <w:b/>
        </w:rPr>
        <w:t xml:space="preserve">オープンソース</w:t>
      </w:r>
      <w:r>
        <w:t xml:space="preserve">のコンプライアンスに関する問い合わせに関し、第三者が組織にコンタクトする合理的な方法があること、および、組織が有効な回答を行う準備ができていることを、確認するため。</w:t>
      </w:r>
    </w:p>
    <w:bookmarkEnd w:id="54"/>
    <w:bookmarkEnd w:id="55"/>
    <w:bookmarkStart w:id="58" w:name="十分なリソース割当"/>
    <w:p>
      <w:pPr>
        <w:pStyle w:val="31"/>
      </w:pPr>
      <w:r>
        <w:t xml:space="preserve">2.2 十分なリソース割当</w:t>
      </w:r>
    </w:p>
    <w:p>
      <w:pPr>
        <w:pStyle w:val="FirstParagraph"/>
      </w:pPr>
      <w:r>
        <w:rPr>
          <w:b/>
        </w:rPr>
        <w:t xml:space="preserve">プログラム</w:t>
      </w:r>
      <w:r>
        <w:t xml:space="preserve">の関連タスクを特定し、リソースを割り当てること：</w:t>
      </w:r>
    </w:p>
    <w:p>
      <w:pPr>
        <w:numPr>
          <w:ilvl w:val="0"/>
          <w:numId w:val="1003"/>
        </w:numPr>
      </w:pPr>
      <w:r>
        <w:rPr>
          <w:b/>
        </w:rPr>
        <w:t xml:space="preserve">プログラム</w:t>
      </w:r>
      <w:r>
        <w:t xml:space="preserve">の関連タスクが確実に実行されるように、担当責任を決定すること。</w:t>
      </w:r>
    </w:p>
    <w:p>
      <w:pPr>
        <w:numPr>
          <w:ilvl w:val="0"/>
          <w:numId w:val="1003"/>
        </w:numPr>
      </w:pPr>
      <w:r>
        <w:rPr>
          <w:b/>
        </w:rPr>
        <w:t xml:space="preserve">プログラム</w:t>
      </w:r>
      <w:r>
        <w:t xml:space="preserve">の関連タスクは十分なリソースが割り当てられていること：</w:t>
      </w:r>
    </w:p>
    <w:p>
      <w:pPr>
        <w:numPr>
          <w:ilvl w:val="1"/>
          <w:numId w:val="1004"/>
        </w:numPr>
      </w:pPr>
      <w:r>
        <w:t xml:space="preserve">関連タスクを実行する時間の割り当て</w:t>
      </w:r>
    </w:p>
    <w:p>
      <w:pPr>
        <w:numPr>
          <w:ilvl w:val="1"/>
          <w:numId w:val="1004"/>
        </w:numPr>
      </w:pPr>
      <w:r>
        <w:t xml:space="preserve">十分な予算の割り当て</w:t>
      </w:r>
    </w:p>
    <w:p>
      <w:pPr>
        <w:numPr>
          <w:ilvl w:val="0"/>
          <w:numId w:val="1003"/>
        </w:numPr>
      </w:pPr>
      <w:r>
        <w:t xml:space="preserve">ポリシー、および、関連タスクについて、レビューとアップデートのプロセスが存在すること。</w:t>
      </w:r>
    </w:p>
    <w:p>
      <w:pPr>
        <w:numPr>
          <w:ilvl w:val="0"/>
          <w:numId w:val="1003"/>
        </w:numPr>
      </w:pPr>
      <w:r>
        <w:rPr>
          <w:b/>
        </w:rPr>
        <w:t xml:space="preserve">オープンソース</w:t>
      </w:r>
      <w:r>
        <w:t xml:space="preserve">のライセンスコンプライアンスについて法的な支援が必要な者に対し、法的な専門家に相談可能な状態であること。</w:t>
      </w:r>
    </w:p>
    <w:p>
      <w:pPr>
        <w:numPr>
          <w:ilvl w:val="0"/>
          <w:numId w:val="1003"/>
        </w:numPr>
      </w:pPr>
      <w:r>
        <w:rPr>
          <w:b/>
        </w:rPr>
        <w:t xml:space="preserve">オープンソース</w:t>
      </w:r>
      <w:r>
        <w:t xml:space="preserve">のライセンスコンプライアンスに関する問題が発生したときに、それを解決するプロセスが存在すること。</w:t>
      </w:r>
    </w:p>
    <w:bookmarkStart w:id="56" w:name="証跡となる資料-6"/>
    <w:p>
      <w:pPr>
        <w:pStyle w:val="4"/>
      </w:pPr>
      <w:r>
        <w:rPr>
          <w:b/>
        </w:rPr>
        <w:t xml:space="preserve">証跡となる資料</w:t>
      </w:r>
    </w:p>
    <w:p>
      <w:pPr>
        <w:pStyle w:val="FirstParagraph"/>
      </w:pPr>
      <w:r>
        <w:t xml:space="preserve">2.2.1</w:t>
      </w:r>
      <w:r>
        <w:t xml:space="preserve"> </w:t>
      </w:r>
      <w:r>
        <w:rPr>
          <w:b/>
        </w:rPr>
        <w:t xml:space="preserve">プログラム</w:t>
      </w:r>
      <w:r>
        <w:t xml:space="preserve">の役割それぞれに対し、担当者、グループ、または、部署の名称を特定したドキュメント。</w:t>
      </w:r>
    </w:p>
    <w:p>
      <w:pPr>
        <w:pStyle w:val="BodyText"/>
      </w:pPr>
      <w:r>
        <w:t xml:space="preserve">2.2.2</w:t>
      </w:r>
      <w:r>
        <w:t xml:space="preserve"> </w:t>
      </w:r>
      <w:r>
        <w:rPr>
          <w:b/>
        </w:rPr>
        <w:t xml:space="preserve">プログラム</w:t>
      </w:r>
      <w:r>
        <w:t xml:space="preserve">の特定された役割それぞれに、適切に要員配置がなされ、十分な予算割当が行われていること。</w:t>
      </w:r>
    </w:p>
    <w:p>
      <w:pPr>
        <w:pStyle w:val="BodyText"/>
      </w:pPr>
      <w:r>
        <w:t xml:space="preserve">2.2.3 組織内外で発生するライセンスコンプライアンスに関連した事項について、支援依頼可能な法務の専門家が特定されていること。</w:t>
      </w:r>
    </w:p>
    <w:p>
      <w:pPr>
        <w:pStyle w:val="BodyText"/>
      </w:pPr>
      <w:r>
        <w:t xml:space="preserve">2.2.4</w:t>
      </w:r>
      <w:r>
        <w:t xml:space="preserve"> </w:t>
      </w:r>
      <w:r>
        <w:rPr>
          <w:b/>
        </w:rPr>
        <w:t xml:space="preserve">オープンソース</w:t>
      </w:r>
      <w:r>
        <w:t xml:space="preserve">コンプライアンスに関する組織内の責任者を割り当てる、文書化した手順。</w:t>
      </w:r>
    </w:p>
    <w:p>
      <w:pPr>
        <w:pStyle w:val="BodyText"/>
      </w:pPr>
      <w:r>
        <w:t xml:space="preserve">2.2.5 コンプライアンス違反の事例に対して、レビューや是正措置を行うための、文書化した手順。</w:t>
      </w:r>
    </w:p>
    <w:bookmarkEnd w:id="56"/>
    <w:bookmarkStart w:id="57" w:name="論拠-6"/>
    <w:p>
      <w:pPr>
        <w:pStyle w:val="4"/>
      </w:pPr>
      <w:r>
        <w:t xml:space="preserve">論拠</w:t>
      </w:r>
    </w:p>
    <w:p>
      <w:pPr>
        <w:pStyle w:val="FirstParagraph"/>
      </w:pPr>
      <w:r>
        <w:t xml:space="preserve">(i)</w:t>
      </w:r>
      <w:r>
        <w:rPr>
          <w:b/>
        </w:rPr>
        <w:t xml:space="preserve">プログラム</w:t>
      </w:r>
      <w:r>
        <w:t xml:space="preserve">における責任に対し、有効な支援および十分なリソース割り当てが行われていることの確認のため、および、(ii)</w:t>
      </w:r>
      <w:r>
        <w:rPr>
          <w:b/>
        </w:rPr>
        <w:t xml:space="preserve">オープンソース</w:t>
      </w:r>
      <w:r>
        <w:t xml:space="preserve">コンプライアンスに関するベストプラクティスが変化していくことに対応して、ポリシーおよび支援プロセスが定期的に更新されることの確認のため。</w:t>
      </w:r>
    </w:p>
    <w:bookmarkEnd w:id="57"/>
    <w:bookmarkEnd w:id="58"/>
    <w:bookmarkEnd w:id="59"/>
    <w:bookmarkStart w:id="66" w:name="オープンソースコンテンツのレビューと承認"/>
    <w:p>
      <w:pPr>
        <w:pStyle w:val="2"/>
      </w:pPr>
      <w:r>
        <w:t xml:space="preserve">3.0 オープンソースコンテンツのレビューと承認</w:t>
      </w:r>
    </w:p>
    <w:bookmarkStart w:id="62" w:name="部品表bill-of-materials"/>
    <w:p>
      <w:pPr>
        <w:pStyle w:val="31"/>
      </w:pPr>
      <w:r>
        <w:t xml:space="preserve">3.1部品表（Bill of Materials）</w:t>
      </w:r>
    </w:p>
    <w:p>
      <w:pPr>
        <w:pStyle w:val="FirstParagraph"/>
      </w:pPr>
      <w:r>
        <w:rPr>
          <w:b/>
        </w:rPr>
        <w:t xml:space="preserve">供給ソフトウェア</w:t>
      </w:r>
      <w:r>
        <w:t xml:space="preserve">を構成する</w:t>
      </w:r>
      <w:r>
        <w:rPr>
          <w:b/>
        </w:rPr>
        <w:t xml:space="preserve">オープンソース</w:t>
      </w:r>
      <w:r>
        <w:t xml:space="preserve">コンポーネント（および、</w:t>
      </w:r>
      <w:r>
        <w:rPr>
          <w:b/>
        </w:rPr>
        <w:t xml:space="preserve">確認ライセンス</w:t>
      </w:r>
      <w:r>
        <w:t xml:space="preserve">）を含む部品表を作成し、管理するプロセスが存在すること。</w:t>
      </w:r>
    </w:p>
    <w:bookmarkStart w:id="60" w:name="証跡となる資料-7"/>
    <w:p>
      <w:pPr>
        <w:pStyle w:val="4"/>
      </w:pPr>
      <w:r>
        <w:rPr>
          <w:b/>
        </w:rPr>
        <w:t xml:space="preserve">証跡となる資料</w:t>
      </w:r>
    </w:p>
    <w:p>
      <w:pPr>
        <w:pStyle w:val="FirstParagraph"/>
      </w:pPr>
      <w:r>
        <w:t xml:space="preserve">3.1.1</w:t>
      </w:r>
      <w:r>
        <w:t xml:space="preserve"> </w:t>
      </w:r>
      <w:r>
        <w:rPr>
          <w:b/>
        </w:rPr>
        <w:t xml:space="preserve">供給ソフトウェア</w:t>
      </w:r>
      <w:r>
        <w:t xml:space="preserve">を構成する</w:t>
      </w:r>
      <w:r>
        <w:rPr>
          <w:b/>
        </w:rPr>
        <w:t xml:space="preserve">オープンソース</w:t>
      </w:r>
      <w:r>
        <w:t xml:space="preserve">コンポーネントの集合を、特定し、追跡し、レビューし、承認し、情報保管する、文書化した手順。</w:t>
      </w:r>
    </w:p>
    <w:p>
      <w:pPr>
        <w:pStyle w:val="BodyText"/>
      </w:pPr>
      <w:r>
        <w:t xml:space="preserve">3.1.2</w:t>
      </w:r>
      <w:r>
        <w:t xml:space="preserve"> </w:t>
      </w:r>
      <w:r>
        <w:rPr>
          <w:b/>
        </w:rPr>
        <w:t xml:space="preserve">供給ソフトウェア</w:t>
      </w:r>
      <w:r>
        <w:t xml:space="preserve">に対し、文書化した手順が適切に運用されたことを示す、</w:t>
      </w:r>
      <w:r>
        <w:rPr>
          <w:b/>
        </w:rPr>
        <w:t xml:space="preserve">オープンソース</w:t>
      </w:r>
      <w:r>
        <w:t xml:space="preserve">コンポーネントの記録。</w:t>
      </w:r>
    </w:p>
    <w:bookmarkEnd w:id="60"/>
    <w:bookmarkStart w:id="61" w:name="論拠-7"/>
    <w:p>
      <w:pPr>
        <w:pStyle w:val="4"/>
      </w:pPr>
      <w:r>
        <w:t xml:space="preserve">論拠</w:t>
      </w:r>
    </w:p>
    <w:p>
      <w:pPr>
        <w:pStyle w:val="FirstParagraph"/>
      </w:pPr>
      <w:r>
        <w:rPr>
          <w:b/>
        </w:rPr>
        <w:t xml:space="preserve">供給ソフトウェア</w:t>
      </w:r>
      <w:r>
        <w:t xml:space="preserve">を構成する</w:t>
      </w:r>
      <w:r>
        <w:rPr>
          <w:b/>
        </w:rPr>
        <w:t xml:space="preserve">オープンソース</w:t>
      </w:r>
      <w:r>
        <w:t xml:space="preserve">コンポーネントについての部品表を作成し、管理するプロセスが存在することを確認する。部品表は、それぞれのコンポーネントのライセンス条項を体系的にレビューし、承認する手順をサポートするために必要となる。そのようなレビューおよび承認によって、</w:t>
      </w:r>
      <w:r>
        <w:rPr>
          <w:b/>
        </w:rPr>
        <w:t xml:space="preserve">供給ソフトウェア</w:t>
      </w:r>
      <w:r>
        <w:t xml:space="preserve">を配布する際に適用される義務や制限が理解される。</w:t>
      </w:r>
    </w:p>
    <w:bookmarkEnd w:id="61"/>
    <w:bookmarkEnd w:id="62"/>
    <w:bookmarkStart w:id="65" w:name="ライセンスコンプライアンス"/>
    <w:p>
      <w:pPr>
        <w:pStyle w:val="31"/>
      </w:pPr>
      <w:r>
        <w:t xml:space="preserve">3.2 ライセンスコンプライアンス</w:t>
      </w:r>
    </w:p>
    <w:p>
      <w:pPr>
        <w:pStyle w:val="FirstParagraph"/>
      </w:pPr>
      <w:r>
        <w:rPr>
          <w:b/>
        </w:rPr>
        <w:t xml:space="preserve">プログラム</w:t>
      </w:r>
      <w:r>
        <w:t xml:space="preserve">は、</w:t>
      </w:r>
      <w:r>
        <w:rPr>
          <w:b/>
        </w:rPr>
        <w:t xml:space="preserve">供給ソフトウェア</w:t>
      </w:r>
      <w:r>
        <w:t xml:space="preserve">に対応する</w:t>
      </w:r>
      <w:r>
        <w:rPr>
          <w:b/>
        </w:rPr>
        <w:t xml:space="preserve">ソフトウェアスタッフ</w:t>
      </w:r>
      <w:r>
        <w:t xml:space="preserve">が遭遇する可能性のある、よく用いられる</w:t>
      </w:r>
      <w:r>
        <w:rPr>
          <w:b/>
        </w:rPr>
        <w:t xml:space="preserve">オープンソース</w:t>
      </w:r>
      <w:r>
        <w:t xml:space="preserve">ライセンスのユースケースに対応できる必要がある。ユースケースとして以下を例示する（ただし、下記リストはすべてを網羅したものではなく、また、すべてのユースケースにあてはまるものではない）</w:t>
      </w:r>
    </w:p>
    <w:p>
      <w:pPr>
        <w:numPr>
          <w:ilvl w:val="0"/>
          <w:numId w:val="1005"/>
        </w:numPr>
      </w:pPr>
      <w:r>
        <w:t xml:space="preserve">バイナリ形態での配布</w:t>
      </w:r>
    </w:p>
    <w:p>
      <w:pPr>
        <w:numPr>
          <w:ilvl w:val="0"/>
          <w:numId w:val="1005"/>
        </w:numPr>
      </w:pPr>
      <w:r>
        <w:t xml:space="preserve">ソースコード形態での配布</w:t>
      </w:r>
    </w:p>
    <w:p>
      <w:pPr>
        <w:numPr>
          <w:ilvl w:val="0"/>
          <w:numId w:val="1005"/>
        </w:numPr>
      </w:pPr>
      <w:r>
        <w:t xml:space="preserve">コピーレフトの義務に従うこととなる他</w:t>
      </w:r>
      <w:r>
        <w:rPr>
          <w:b/>
        </w:rPr>
        <w:t xml:space="preserve">オープンソース</w:t>
      </w:r>
      <w:r>
        <w:t xml:space="preserve">との統合</w:t>
      </w:r>
    </w:p>
    <w:p>
      <w:pPr>
        <w:numPr>
          <w:ilvl w:val="0"/>
          <w:numId w:val="1005"/>
        </w:numPr>
      </w:pPr>
      <w:r>
        <w:t xml:space="preserve">改変された</w:t>
      </w:r>
      <w:r>
        <w:rPr>
          <w:b/>
        </w:rPr>
        <w:t xml:space="preserve">オープンソース</w:t>
      </w:r>
      <w:r>
        <w:t xml:space="preserve">を含む状況</w:t>
      </w:r>
    </w:p>
    <w:p>
      <w:pPr>
        <w:numPr>
          <w:ilvl w:val="0"/>
          <w:numId w:val="1005"/>
        </w:numPr>
      </w:pPr>
      <w:r>
        <w:rPr>
          <w:b/>
        </w:rPr>
        <w:t xml:space="preserve">供給ソフトウェア</w:t>
      </w:r>
      <w:r>
        <w:t xml:space="preserve">内のコンポーネントと相互作用する</w:t>
      </w:r>
      <w:r>
        <w:rPr>
          <w:b/>
        </w:rPr>
        <w:t xml:space="preserve">オープンソース</w:t>
      </w:r>
      <w:r>
        <w:t xml:space="preserve">、ないしは、他のソフトウェアを含んでおり、それらが両立性のないライセンス下にある状況</w:t>
      </w:r>
    </w:p>
    <w:p>
      <w:pPr>
        <w:numPr>
          <w:ilvl w:val="0"/>
          <w:numId w:val="1005"/>
        </w:numPr>
      </w:pPr>
      <w:r>
        <w:t xml:space="preserve">帰属要求[5]のある</w:t>
      </w:r>
      <w:r>
        <w:rPr>
          <w:b/>
        </w:rPr>
        <w:t xml:space="preserve">オープンソース</w:t>
      </w:r>
      <w:r>
        <w:t xml:space="preserve">を含む状況</w:t>
      </w:r>
    </w:p>
    <w:bookmarkStart w:id="63" w:name="証跡となる資料-8"/>
    <w:p>
      <w:pPr>
        <w:pStyle w:val="4"/>
      </w:pPr>
      <w:r>
        <w:rPr>
          <w:b/>
        </w:rPr>
        <w:t xml:space="preserve">証跡となる資料</w:t>
      </w:r>
    </w:p>
    <w:p>
      <w:pPr>
        <w:pStyle w:val="FirstParagraph"/>
      </w:pPr>
      <w:r>
        <w:t xml:space="preserve">3.2.1</w:t>
      </w:r>
      <w:r>
        <w:t xml:space="preserve"> </w:t>
      </w:r>
      <w:r>
        <w:rPr>
          <w:b/>
        </w:rPr>
        <w:t xml:space="preserve">供給ソフトウェア</w:t>
      </w:r>
      <w:r>
        <w:t xml:space="preserve">内の</w:t>
      </w:r>
      <w:r>
        <w:rPr>
          <w:b/>
        </w:rPr>
        <w:t xml:space="preserve">オープンソース</w:t>
      </w:r>
      <w:r>
        <w:t xml:space="preserve">コンポーネントについて、よく用いられる</w:t>
      </w:r>
      <w:r>
        <w:rPr>
          <w:b/>
        </w:rPr>
        <w:t xml:space="preserve">オープンソース</w:t>
      </w:r>
      <w:r>
        <w:t xml:space="preserve">ライセンスのユースケースの対応に関する、文書化した手続き。</w:t>
      </w:r>
    </w:p>
    <w:bookmarkEnd w:id="63"/>
    <w:bookmarkStart w:id="64" w:name="論拠-8"/>
    <w:p>
      <w:pPr>
        <w:pStyle w:val="4"/>
      </w:pPr>
      <w:r>
        <w:t xml:space="preserve">論拠</w:t>
      </w:r>
    </w:p>
    <w:p>
      <w:pPr>
        <w:pStyle w:val="FirstParagraph"/>
      </w:pPr>
      <w:r>
        <w:rPr>
          <w:b/>
        </w:rPr>
        <w:t xml:space="preserve">プログラム</w:t>
      </w:r>
      <w:r>
        <w:t xml:space="preserve">が、組織内のよく用いられる</w:t>
      </w:r>
      <w:r>
        <w:rPr>
          <w:b/>
        </w:rPr>
        <w:t xml:space="preserve">オープンソース</w:t>
      </w:r>
      <w:r>
        <w:t xml:space="preserve">ライセンスのユースケースを取り扱ううえで十分対応できる状況であることを確認する。また、このような活動をサポートする手続きが存在し、かつ、手続が守られていることを確認する。</w:t>
      </w:r>
    </w:p>
    <w:bookmarkEnd w:id="64"/>
    <w:bookmarkEnd w:id="65"/>
    <w:bookmarkEnd w:id="66"/>
    <w:bookmarkStart w:id="70" w:name="コンプライアンス関連資料の作成と配布"/>
    <w:p>
      <w:pPr>
        <w:pStyle w:val="2"/>
      </w:pPr>
      <w:r>
        <w:t xml:space="preserve">4.0 コンプライアンス関連資料の作成と配布</w:t>
      </w:r>
    </w:p>
    <w:bookmarkStart w:id="69" w:name="コンプライアンス関連資料"/>
    <w:p>
      <w:pPr>
        <w:pStyle w:val="31"/>
      </w:pPr>
      <w:r>
        <w:t xml:space="preserve">4.1 コンプライアンス関連資料</w:t>
      </w:r>
    </w:p>
    <w:p>
      <w:pPr>
        <w:pStyle w:val="FirstParagraph"/>
      </w:pPr>
      <w:r>
        <w:rPr>
          <w:b/>
        </w:rPr>
        <w:t xml:space="preserve">供給ソフトウェア</w:t>
      </w:r>
      <w:r>
        <w:t xml:space="preserve">の</w:t>
      </w:r>
      <w:r>
        <w:rPr>
          <w:b/>
        </w:rPr>
        <w:t xml:space="preserve">コンプライアンス関連資料</w:t>
      </w:r>
      <w:r>
        <w:t xml:space="preserve">一式を作成するプロセスが存在すること。</w:t>
      </w:r>
    </w:p>
    <w:bookmarkStart w:id="67" w:name="証跡となる資料-9"/>
    <w:p>
      <w:pPr>
        <w:pStyle w:val="4"/>
      </w:pPr>
      <w:r>
        <w:rPr>
          <w:b/>
        </w:rPr>
        <w:t xml:space="preserve">証跡となる資料</w:t>
      </w:r>
    </w:p>
    <w:p>
      <w:pPr>
        <w:pStyle w:val="FirstParagraph"/>
      </w:pPr>
      <w:r>
        <w:t xml:space="preserve">4.1.1</w:t>
      </w:r>
      <w:r>
        <w:t xml:space="preserve"> </w:t>
      </w:r>
      <w:r>
        <w:rPr>
          <w:b/>
        </w:rPr>
        <w:t xml:space="preserve">確認ライセンス</w:t>
      </w:r>
      <w:r>
        <w:t xml:space="preserve">の要求に従って</w:t>
      </w:r>
      <w:r>
        <w:rPr>
          <w:b/>
        </w:rPr>
        <w:t xml:space="preserve">供給ソフトウェア</w:t>
      </w:r>
      <w:r>
        <w:t xml:space="preserve">に応じた</w:t>
      </w:r>
      <w:r>
        <w:rPr>
          <w:b/>
        </w:rPr>
        <w:t xml:space="preserve">コンプライアンス関連資料</w:t>
      </w:r>
      <w:r>
        <w:t xml:space="preserve">を準備し、配布するプロセスを記述する、文書化された手順。</w:t>
      </w:r>
    </w:p>
    <w:p>
      <w:pPr>
        <w:pStyle w:val="BodyText"/>
      </w:pPr>
      <w:r>
        <w:t xml:space="preserve">4.1.2</w:t>
      </w:r>
      <w:r>
        <w:t xml:space="preserve"> </w:t>
      </w:r>
      <w:r>
        <w:rPr>
          <w:b/>
        </w:rPr>
        <w:t xml:space="preserve">供給ソフトウェア</w:t>
      </w:r>
      <w:r>
        <w:t xml:space="preserve">の</w:t>
      </w:r>
      <w:r>
        <w:rPr>
          <w:b/>
        </w:rPr>
        <w:t xml:space="preserve">コンプライアンス関連資料</w:t>
      </w:r>
      <w:r>
        <w:t xml:space="preserve">のコピーを保管する、文書化された手順。保管された資料は、</w:t>
      </w:r>
      <w:r>
        <w:rPr>
          <w:b/>
        </w:rPr>
        <w:t xml:space="preserve">供給ソフトウェア</w:t>
      </w:r>
      <w:r>
        <w:t xml:space="preserve">の最終提供以降、適切な期間[6]、あるいは、</w:t>
      </w:r>
      <w:r>
        <w:rPr>
          <w:b/>
        </w:rPr>
        <w:t xml:space="preserve">確認ライセンス</w:t>
      </w:r>
      <w:r>
        <w:t xml:space="preserve">の要求事項として定められた期間（どちらか長い方）保持することが計画されている必要がある。また、手順が適切に守られていることを示す記録が存在する必要がある。</w:t>
      </w:r>
    </w:p>
    <w:bookmarkEnd w:id="67"/>
    <w:bookmarkStart w:id="68" w:name="論拠-9"/>
    <w:p>
      <w:pPr>
        <w:pStyle w:val="4"/>
      </w:pPr>
      <w:r>
        <w:t xml:space="preserve">論拠</w:t>
      </w:r>
    </w:p>
    <w:p>
      <w:pPr>
        <w:pStyle w:val="FirstParagraph"/>
      </w:pPr>
      <w:r>
        <w:rPr>
          <w:b/>
        </w:rPr>
        <w:t xml:space="preserve">確認ライセンス</w:t>
      </w:r>
      <w:r>
        <w:t xml:space="preserve">の要求事項に従い、</w:t>
      </w:r>
      <w:r>
        <w:rPr>
          <w:b/>
        </w:rPr>
        <w:t xml:space="preserve">供給ソフトウェア</w:t>
      </w:r>
      <w:r>
        <w:t xml:space="preserve">に付随する</w:t>
      </w:r>
      <w:r>
        <w:rPr>
          <w:b/>
        </w:rPr>
        <w:t xml:space="preserve">コンプライアンス関連資料</w:t>
      </w:r>
      <w:r>
        <w:t xml:space="preserve">の準備に商業的に妥当な努力が払われることを、確認するため。</w:t>
      </w:r>
    </w:p>
    <w:bookmarkEnd w:id="68"/>
    <w:bookmarkEnd w:id="69"/>
    <w:bookmarkEnd w:id="70"/>
    <w:bookmarkStart w:id="74" w:name="オープンソースコミュニティ活動への理解"/>
    <w:p>
      <w:pPr>
        <w:pStyle w:val="2"/>
      </w:pPr>
      <w:r>
        <w:t xml:space="preserve">5.0 オープンソースコミュニティ活動への理解</w:t>
      </w:r>
    </w:p>
    <w:bookmarkStart w:id="73" w:name="オープンソースへの貢献"/>
    <w:p>
      <w:pPr>
        <w:pStyle w:val="31"/>
      </w:pPr>
      <w:r>
        <w:t xml:space="preserve">5.1 オープンソースへの貢献</w:t>
      </w:r>
    </w:p>
    <w:p>
      <w:pPr>
        <w:pStyle w:val="FirstParagraph"/>
      </w:pPr>
      <w:r>
        <w:t xml:space="preserve">組織が</w:t>
      </w:r>
      <w:r>
        <w:rPr>
          <w:b/>
        </w:rPr>
        <w:t xml:space="preserve">オープンソース</w:t>
      </w:r>
      <w:r>
        <w:t xml:space="preserve">プロジェクトへの貢献を許容する場合、以下を行う必要がある：</w:t>
      </w:r>
    </w:p>
    <w:p>
      <w:pPr>
        <w:numPr>
          <w:ilvl w:val="0"/>
          <w:numId w:val="1006"/>
        </w:numPr>
      </w:pPr>
      <w:r>
        <w:rPr>
          <w:b/>
        </w:rPr>
        <w:t xml:space="preserve">オープンソース</w:t>
      </w:r>
      <w:r>
        <w:t xml:space="preserve">プロジェクトへの貢献を統制する文書化されたポリシーの存在</w:t>
      </w:r>
    </w:p>
    <w:p>
      <w:pPr>
        <w:numPr>
          <w:ilvl w:val="0"/>
          <w:numId w:val="1006"/>
        </w:numPr>
      </w:pPr>
      <w:r>
        <w:t xml:space="preserve">ポリシーが組織の内部で周知されていること</w:t>
      </w:r>
    </w:p>
    <w:p>
      <w:pPr>
        <w:numPr>
          <w:ilvl w:val="0"/>
          <w:numId w:val="1006"/>
        </w:numPr>
      </w:pPr>
      <w:r>
        <w:t xml:space="preserve">ポリシーを実行に移すプロセスがあること</w:t>
      </w:r>
    </w:p>
    <w:bookmarkStart w:id="71" w:name="証跡となる資料-10"/>
    <w:p>
      <w:pPr>
        <w:pStyle w:val="4"/>
      </w:pPr>
      <w:r>
        <w:rPr>
          <w:b/>
        </w:rPr>
        <w:t xml:space="preserve">証跡となる資料</w:t>
      </w:r>
    </w:p>
    <w:p>
      <w:pPr>
        <w:pStyle w:val="FirstParagraph"/>
      </w:pPr>
      <w:r>
        <w:t xml:space="preserve">組織が</w:t>
      </w:r>
      <w:r>
        <w:rPr>
          <w:b/>
        </w:rPr>
        <w:t xml:space="preserve">オープンソース</w:t>
      </w:r>
      <w:r>
        <w:t xml:space="preserve">プロジェクトへの貢献を許容する場合、以下の資料が必要である：</w:t>
      </w:r>
    </w:p>
    <w:p>
      <w:pPr>
        <w:pStyle w:val="BodyText"/>
      </w:pPr>
      <w:r>
        <w:t xml:space="preserve">5.1.1 文書化した</w:t>
      </w:r>
      <w:r>
        <w:rPr>
          <w:b/>
        </w:rPr>
        <w:t xml:space="preserve">オープンソース</w:t>
      </w:r>
      <w:r>
        <w:t xml:space="preserve">貢献ポリシー。</w:t>
      </w:r>
    </w:p>
    <w:p>
      <w:pPr>
        <w:pStyle w:val="BodyText"/>
      </w:pPr>
      <w:r>
        <w:t xml:space="preserve">5.1.2</w:t>
      </w:r>
      <w:r>
        <w:t xml:space="preserve"> </w:t>
      </w:r>
      <w:r>
        <w:rPr>
          <w:b/>
        </w:rPr>
        <w:t xml:space="preserve">オープンソース</w:t>
      </w:r>
      <w:r>
        <w:t xml:space="preserve">貢献を統制する文書化した手続き。</w:t>
      </w:r>
    </w:p>
    <w:p>
      <w:pPr>
        <w:pStyle w:val="BodyText"/>
      </w:pPr>
      <w:r>
        <w:t xml:space="preserve">5.1.3 すべての</w:t>
      </w:r>
      <w:r>
        <w:rPr>
          <w:b/>
        </w:rPr>
        <w:t xml:space="preserve">ソフトウェアスタッフ</w:t>
      </w:r>
      <w:r>
        <w:t xml:space="preserve">が</w:t>
      </w:r>
      <w:r>
        <w:rPr>
          <w:b/>
        </w:rPr>
        <w:t xml:space="preserve">オープンソース</w:t>
      </w:r>
      <w:r>
        <w:t xml:space="preserve">貢献ポリシーの存在を認識する文書化した手続き（例えば、トレーニング、内部wiki、その他の実効的な伝達手段を通じて）。</w:t>
      </w:r>
    </w:p>
    <w:bookmarkEnd w:id="71"/>
    <w:bookmarkStart w:id="72" w:name="論拠-10"/>
    <w:p>
      <w:pPr>
        <w:pStyle w:val="4"/>
      </w:pPr>
      <w:r>
        <w:t xml:space="preserve">論拠</w:t>
      </w:r>
    </w:p>
    <w:p>
      <w:pPr>
        <w:pStyle w:val="FirstParagraph"/>
      </w:pPr>
      <w:r>
        <w:t xml:space="preserve">組織が</w:t>
      </w:r>
      <w:r>
        <w:rPr>
          <w:b/>
        </w:rPr>
        <w:t xml:space="preserve">オープンソース</w:t>
      </w:r>
      <w:r>
        <w:t xml:space="preserve">への貢献を許可する場合、貢献ポリシーの策定と適用に向けて十分に考慮されていることを確認するため。</w:t>
      </w:r>
      <w:r>
        <w:rPr>
          <w:b/>
        </w:rPr>
        <w:t xml:space="preserve">オープンソース</w:t>
      </w:r>
      <w:r>
        <w:t xml:space="preserve">貢献ポリシーは、</w:t>
      </w:r>
      <w:r>
        <w:rPr>
          <w:b/>
        </w:rPr>
        <w:t xml:space="preserve">オープンソース</w:t>
      </w:r>
      <w:r>
        <w:t xml:space="preserve">ポリシー全体の一部としてもよいし、あるいは、独立したポリシーとして作成されてもよい。</w:t>
      </w:r>
    </w:p>
    <w:bookmarkEnd w:id="72"/>
    <w:bookmarkEnd w:id="73"/>
    <w:bookmarkEnd w:id="74"/>
    <w:bookmarkStart w:id="81" w:name="仕様に規定する要求事項の遵守"/>
    <w:p>
      <w:pPr>
        <w:pStyle w:val="2"/>
      </w:pPr>
      <w:r>
        <w:t xml:space="preserve">6.0 仕様に規定する要求事項の遵守</w:t>
      </w:r>
    </w:p>
    <w:bookmarkStart w:id="77" w:name="適合"/>
    <w:p>
      <w:pPr>
        <w:pStyle w:val="31"/>
      </w:pPr>
      <w:r>
        <w:t xml:space="preserve">6.1 適合</w:t>
      </w:r>
    </w:p>
    <w:p>
      <w:pPr>
        <w:pStyle w:val="FirstParagraph"/>
      </w:pPr>
      <w:r>
        <w:t xml:space="preserve">当該</w:t>
      </w:r>
      <w:r>
        <w:rPr>
          <w:b/>
        </w:rPr>
        <w:t xml:space="preserve">プログラム</w:t>
      </w:r>
      <w:r>
        <w:t xml:space="preserve">が</w:t>
      </w:r>
      <w:r>
        <w:rPr>
          <w:b/>
        </w:rPr>
        <w:t xml:space="preserve">OpenChain適合</w:t>
      </w:r>
      <w:r>
        <w:t xml:space="preserve">とみなされるためには、この仕様書の提示する要求事項を</w:t>
      </w:r>
      <w:r>
        <w:rPr>
          <w:b/>
        </w:rPr>
        <w:t xml:space="preserve">プログラム</w:t>
      </w:r>
      <w:r>
        <w:t xml:space="preserve">が満たしていることを組織として明確に宣言する必要がある。</w:t>
      </w:r>
    </w:p>
    <w:bookmarkStart w:id="75" w:name="証跡となる資料-11"/>
    <w:p>
      <w:pPr>
        <w:pStyle w:val="4"/>
      </w:pPr>
      <w:r>
        <w:rPr>
          <w:b/>
        </w:rPr>
        <w:t xml:space="preserve">証跡となる資料</w:t>
      </w:r>
    </w:p>
    <w:p>
      <w:pPr>
        <w:pStyle w:val="FirstParagraph"/>
      </w:pPr>
      <w:r>
        <w:t xml:space="preserve">6.1.1 1.4で指定した</w:t>
      </w:r>
      <w:r>
        <w:rPr>
          <w:b/>
        </w:rPr>
        <w:t xml:space="preserve">プログラム</w:t>
      </w:r>
      <w:r>
        <w:t xml:space="preserve">がこの仕様書のすべての要求事項を満たしていることを明確に宣言する文書。</w:t>
      </w:r>
    </w:p>
    <w:bookmarkEnd w:id="75"/>
    <w:bookmarkStart w:id="76" w:name="論拠-11"/>
    <w:p>
      <w:pPr>
        <w:pStyle w:val="4"/>
      </w:pPr>
      <w:r>
        <w:t xml:space="preserve">論拠</w:t>
      </w:r>
    </w:p>
    <w:p>
      <w:pPr>
        <w:pStyle w:val="FirstParagraph"/>
      </w:pPr>
      <w:r>
        <w:t xml:space="preserve">組織が</w:t>
      </w:r>
      <w:r>
        <w:rPr>
          <w:b/>
        </w:rPr>
        <w:t xml:space="preserve">OpenChain適合</w:t>
      </w:r>
      <w:r>
        <w:t xml:space="preserve">である</w:t>
      </w:r>
      <w:r>
        <w:rPr>
          <w:b/>
        </w:rPr>
        <w:t xml:space="preserve">プログラム</w:t>
      </w:r>
      <w:r>
        <w:t xml:space="preserve">を有していることを宣言するとき、その</w:t>
      </w:r>
      <w:r>
        <w:rPr>
          <w:b/>
        </w:rPr>
        <w:t xml:space="preserve">プログラム</w:t>
      </w:r>
      <w:r>
        <w:t xml:space="preserve">が、この仕様書の</w:t>
      </w:r>
      <w:r>
        <w:rPr>
          <w:b/>
        </w:rPr>
        <w:t xml:space="preserve">すべての</w:t>
      </w:r>
      <w:r>
        <w:t xml:space="preserve">要求事項を満たしていることを確認するため。要求事項の一部のみを満たしていることは十分であるとはみなされない。</w:t>
      </w:r>
    </w:p>
    <w:bookmarkEnd w:id="76"/>
    <w:bookmarkEnd w:id="77"/>
    <w:bookmarkStart w:id="80" w:name="継続期間"/>
    <w:p>
      <w:pPr>
        <w:pStyle w:val="31"/>
      </w:pPr>
      <w:r>
        <w:t xml:space="preserve">6.2 継続期間</w:t>
      </w:r>
    </w:p>
    <w:p>
      <w:pPr>
        <w:pStyle w:val="FirstParagraph"/>
      </w:pPr>
      <w:r>
        <w:t xml:space="preserve">本仕様書のこのバージョンに対応した</w:t>
      </w:r>
      <w:r>
        <w:rPr>
          <w:b/>
        </w:rPr>
        <w:t xml:space="preserve">OpenChain適合</w:t>
      </w:r>
      <w:r>
        <w:t xml:space="preserve">の</w:t>
      </w:r>
      <w:r>
        <w:rPr>
          <w:b/>
        </w:rPr>
        <w:t xml:space="preserve">プログラム</w:t>
      </w:r>
      <w:r>
        <w:t xml:space="preserve">は、適合認証の取得日から18ヶ月間、</w:t>
      </w:r>
      <w:r>
        <w:rPr>
          <w:b/>
        </w:rPr>
        <w:t xml:space="preserve">OpenChain適合</w:t>
      </w:r>
      <w:r>
        <w:t xml:space="preserve">の状態を継続する。適合認証の登録手順はOpenChainプロジェクトのWebサイトを参照のこと。</w:t>
      </w:r>
    </w:p>
    <w:bookmarkStart w:id="78" w:name="証跡となる資料-12"/>
    <w:p>
      <w:pPr>
        <w:pStyle w:val="4"/>
      </w:pPr>
      <w:r>
        <w:rPr>
          <w:b/>
        </w:rPr>
        <w:t xml:space="preserve">証跡となる資料</w:t>
      </w:r>
    </w:p>
    <w:p>
      <w:pPr>
        <w:pStyle w:val="FirstParagraph"/>
      </w:pPr>
      <w:r>
        <w:t xml:space="preserve">6.2.1 当該</w:t>
      </w:r>
      <w:r>
        <w:rPr>
          <w:b/>
        </w:rPr>
        <w:t xml:space="preserve">プログラム</w:t>
      </w:r>
      <w:r>
        <w:t xml:space="preserve">が本仕様書（第2.0版）のすべての要求事項を満たすことを明確に宣言する、過去18ヶ月以内に適合取得を示す文書[7]。</w:t>
      </w:r>
    </w:p>
    <w:bookmarkEnd w:id="78"/>
    <w:bookmarkStart w:id="79" w:name="論拠-12"/>
    <w:p>
      <w:pPr>
        <w:pStyle w:val="4"/>
      </w:pPr>
      <w:r>
        <w:t xml:space="preserve">論拠</w:t>
      </w:r>
    </w:p>
    <w:p>
      <w:pPr>
        <w:pStyle w:val="FirstParagraph"/>
      </w:pPr>
      <w:r>
        <w:t xml:space="preserve">組織が継続して</w:t>
      </w:r>
      <w:r>
        <w:rPr>
          <w:b/>
        </w:rPr>
        <w:t xml:space="preserve">プログラム</w:t>
      </w:r>
      <w:r>
        <w:t xml:space="preserve">の適合性を主張しようとする場合、最新の仕様書に準拠した状態を保つことが大切である。この要求事項は組織が継続して</w:t>
      </w:r>
      <w:r>
        <w:rPr>
          <w:b/>
        </w:rPr>
        <w:t xml:space="preserve">プログラム</w:t>
      </w:r>
      <w:r>
        <w:t xml:space="preserve">適合性を主張する際に、</w:t>
      </w:r>
      <w:r>
        <w:rPr>
          <w:b/>
        </w:rPr>
        <w:t xml:space="preserve">プログラム</w:t>
      </w:r>
      <w:r>
        <w:t xml:space="preserve">の支援プロセスや制御が損なわれることを防いでいる。</w:t>
      </w:r>
    </w:p>
    <w:bookmarkEnd w:id="79"/>
    <w:bookmarkEnd w:id="80"/>
    <w:bookmarkEnd w:id="81"/>
    <w:bookmarkEnd w:id="82"/>
    <w:bookmarkStart w:id="85" w:name="付録-i-本文書の翻訳について"/>
    <w:p>
      <w:pPr>
        <w:pStyle w:val="1"/>
      </w:pPr>
      <w:r>
        <w:t xml:space="preserve">付録 I: 本文書の翻訳について</w:t>
      </w:r>
    </w:p>
    <w:p>
      <w:pPr>
        <w:pStyle w:val="FirstParagraph"/>
      </w:pPr>
      <w:r>
        <w:t xml:space="preserve">本仕様書がグローバルに採用されることを促進するために、私たちは本仕様書を多言語に翻訳する取り組みを歓迎します。OpenChainは</w:t>
      </w:r>
      <w:r>
        <w:rPr>
          <w:b/>
        </w:rPr>
        <w:t xml:space="preserve">オープンソース</w:t>
      </w:r>
      <w:r>
        <w:t xml:space="preserve"> </w:t>
      </w:r>
      <w:r>
        <w:t xml:space="preserve">プロジェクトとして機能するため、各種翻訳は時間と専門的知見を以て貢献することに前向きな方々によって、CC-BY-4.0ライセンスとプロジェクトの翻訳ポリシーの下で推進されます。そのポリシーおよび現在入手可能な翻訳版の詳細については、OpenChainプロジェクトの</w:t>
      </w:r>
      <w:hyperlink r:id="rId83">
        <w:r>
          <w:rPr>
            <w:rStyle w:val="a5"/>
          </w:rPr>
          <w:t xml:space="preserve">仕様書Webページ</w:t>
        </w:r>
      </w:hyperlink>
      <w:r>
        <w:t xml:space="preserve">でご確認ください。</w:t>
      </w:r>
    </w:p>
    <w:p>
      <w:pPr>
        <w:pStyle w:val="BodyText"/>
      </w:pPr>
      <w:r>
        <w:t xml:space="preserve">[1] 帰属告知(attribution notice)と、3.2の規定で用いられている帰属要求(attribution requirements)の使い分けについては、ISO化に向けた検討版（Specification 2.1）において検討されている。</w:t>
      </w:r>
    </w:p>
    <w:p>
      <w:pPr>
        <w:pStyle w:val="BodyText"/>
      </w:pPr>
      <w:r>
        <w:t xml:space="preserve">[2] （訳注）Specification 2.0においては、「ソフトウェアスタッフ」（”software staff”・定義用語）と、「プログラム参加者（”program participants”・ 1.3 「認識」における規定で使用）の双方が用いられているが、同じ意味であるため、ISO化に向けた検討版（Specification 2.1）では 「プログラム参加者」へと統一された。</w:t>
      </w:r>
    </w:p>
    <w:p>
      <w:pPr>
        <w:pStyle w:val="BodyText"/>
      </w:pPr>
      <w:r>
        <w:t xml:space="preserve">[3] （訳注）脚注1にて説明したように、ISO化に向けた検討版（Specification 2.1）では定義用語の「ソフトウェアスタッフ」（”software staff”）は、本項目で用いられている 「プログラム参加者」へ同じ意味であるとして統一されている。</w:t>
      </w:r>
    </w:p>
    <w:p>
      <w:pPr>
        <w:pStyle w:val="BodyText"/>
      </w:pPr>
      <w:r>
        <w:t xml:space="preserve">[4] （訳注） b)では「オープンソースの目的」、1.3.1では「プログラムの目的」となっているが、「プログラムの目的」が正しいとのこと</w:t>
      </w:r>
    </w:p>
    <w:p>
      <w:pPr>
        <w:pStyle w:val="BodyText"/>
      </w:pPr>
      <w:r>
        <w:t xml:space="preserve">[5] （訳注）：Wikipedia「</w:t>
      </w:r>
      <w:hyperlink r:id="rId84">
        <w:r>
          <w:rPr>
            <w:rStyle w:val="a5"/>
          </w:rPr>
          <w:t xml:space="preserve">帰属</w:t>
        </w:r>
      </w:hyperlink>
      <w:r>
        <w:t xml:space="preserve">」より引用。「ある著作物（works）を利用（use）する場合、その著作物の著作者への謝辞（acknowledge）やクレジットの掲載を要求することを指す用語である。または別の著作物に表示すること（appear in works）自体を指す。」。</w:t>
      </w:r>
    </w:p>
    <w:p>
      <w:pPr>
        <w:pStyle w:val="BodyText"/>
      </w:pPr>
      <w:r>
        <w:t xml:space="preserve">[6] 原注：製品ドメイン、地域や国による制度の違い、あるいは、顧客との契約によって決まる。</w:t>
      </w:r>
    </w:p>
    <w:p>
      <w:pPr>
        <w:pStyle w:val="BodyText"/>
      </w:pPr>
      <w:r>
        <w:t xml:space="preserve">[7] （訳注）適合取得が18ヶ月以内であることを明確に宣言する文書であれば（たとえば、宣言日付が18ヶ月以内である6.1の宣言文書であれば）、6.2の「</w:t>
      </w:r>
      <w:r>
        <w:rPr>
          <w:b/>
        </w:rPr>
        <w:t xml:space="preserve">証跡となる資料</w:t>
      </w:r>
      <w:r>
        <w:t xml:space="preserve">」に該当する、という説明形式。</w:t>
      </w:r>
    </w:p>
    <w:bookmarkEnd w:id="85"/>
    <w:sectPr w:rsidR="00D37137" w:rsidRPr="00AC5AD3" w:rsidSect="003E24AB">
      <w:headerReference w:type="default" r:id="rId10"/>
      <w:footerReference w:type="default" r:id="rId11"/>
      <w:headerReference w:type="first" r:id="rId9"/>
      <w:pgSz w:w="11907" w:h="16839" w:code="9"/>
      <w:pgMar w:top="1418" w:right="1134" w:bottom="1418" w:left="1134" w:header="720" w:footer="567" w:gutter="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Ｐゴシック">
    <w:panose1 w:val="020B0600070205080204"/>
    <w:charset w:val="80"/>
    <w:family w:val="modern"/>
    <w:pitch w:val="variable"/>
    <w:sig w:usb0="E00002FF" w:usb1="6AC7FDFB" w:usb2="08000012" w:usb3="00000000" w:csb0="0002009F" w:csb1="00000000"/>
  </w:font>
  <w:font w:name="Noto Sans CJK JP Bold">
    <w:panose1 w:val="00000000000000000000"/>
    <w:charset w:val="80"/>
    <w:family w:val="swiss"/>
    <w:notTrueType/>
    <w:pitch w:val="variable"/>
    <w:sig w:usb0="30000207" w:usb1="2BDF3C10" w:usb2="00000016" w:usb3="00000000" w:csb0="002E0107" w:csb1="00000000"/>
  </w:font>
  <w:font w:name="Noto Sans CJK JP Light">
    <w:altName w:val="游ゴシック"/>
    <w:panose1 w:val="00000000000000000000"/>
    <w:charset w:val="80"/>
    <w:family w:val="swiss"/>
    <w:notTrueType/>
    <w:pitch w:val="variable"/>
    <w:sig w:usb0="00000000" w:usb1="2BDF3C10" w:usb2="00000016" w:usb3="00000000" w:csb0="002E0107"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Noto Sans CJK JP Light" w:eastAsia="Noto Sans CJK JP Light" w:hAnsi="Noto Sans CJK JP Light"/>
        <w:lang w:eastAsia="ja-JP"/>
      </w:rPr>
      <w:id w:val="897167450"/>
      <w:docPartObj>
        <w:docPartGallery w:val="Page Numbers (Bottom of Page)"/>
        <w:docPartUnique/>
      </w:docPartObj>
    </w:sdtPr>
    <w:sdtEndPr>
      <w:rPr>
        <w:rFonts w:ascii="Segoe UI" w:eastAsia="游ゴシック" w:hAnsi="Segoe UI"/>
        <w:noProof/>
      </w:rPr>
    </w:sdtEndPr>
    <w:sdtContent>
      <w:p w14:paraId="317CCC51" w14:textId="063D502D" w:rsidR="007E191E" w:rsidRPr="003E24AB" w:rsidRDefault="003E24AB" w:rsidP="003E24AB">
        <w:pPr>
          <w:pStyle w:val="aa"/>
          <w:spacing w:beforeLines="50" w:before="120" w:afterLines="100" w:after="240" w:line="240" w:lineRule="auto"/>
          <w:jc w:val="right"/>
          <w:rPr>
            <w:rFonts w:ascii="Segoe UI" w:eastAsia="游ゴシック" w:hAnsi="Segoe UI"/>
          </w:rPr>
        </w:pPr>
        <w:r w:rsidRPr="003E24AB">
          <w:rPr>
            <w:rFonts w:ascii="Segoe UI" w:eastAsia="游ゴシック" w:hAnsi="Segoe UI"/>
            <w:noProof/>
            <w:lang w:eastAsia="ja-JP"/>
          </w:rPr>
          <mc:AlternateContent>
            <mc:Choice Requires="wps">
              <w:drawing>
                <wp:anchor distT="0" distB="0" distL="114300" distR="114300" simplePos="0" relativeHeight="251665408" behindDoc="0" locked="0" layoutInCell="1" allowOverlap="1" wp14:anchorId="6E2EFA43" wp14:editId="693450B5">
                  <wp:simplePos x="0" y="0"/>
                  <wp:positionH relativeFrom="margin">
                    <wp:posOffset>5715</wp:posOffset>
                  </wp:positionH>
                  <wp:positionV relativeFrom="paragraph">
                    <wp:posOffset>-9525</wp:posOffset>
                  </wp:positionV>
                  <wp:extent cx="6096000" cy="35560"/>
                  <wp:effectExtent l="0" t="0" r="19050" b="21590"/>
                  <wp:wrapNone/>
                  <wp:docPr id="3" name="Straight Connector 6"/>
                  <wp:cNvGraphicFramePr/>
                  <a:graphic xmlns:a="http://schemas.openxmlformats.org/drawingml/2006/main">
                    <a:graphicData uri="http://schemas.microsoft.com/office/word/2010/wordprocessingShape">
                      <wps:wsp>
                        <wps:cNvCnPr/>
                        <wps:spPr>
                          <a:xfrm flipV="1">
                            <a:off x="0" y="0"/>
                            <a:ext cx="6096000" cy="35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62B22" id="Straight Connector 6"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75pt" to="480.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" strokecolor="#4579b8 [3044]">
                  <w10:wrap anchorx="margin"/>
                </v:line>
              </w:pict>
            </mc:Fallback>
          </mc:AlternateContent>
        </w:r>
        <w:r w:rsidR="007E191E" w:rsidRPr="003E24AB">
          <w:rPr>
            <w:rFonts w:ascii="Segoe UI" w:eastAsia="游ゴシック" w:hAnsi="Segoe UI"/>
          </w:rPr>
          <w:t>2019 a</w:t>
        </w:r>
      </w:p>
      <w:p w14:paraId="1BB71D77" w14:textId="038E541B" w:rsidR="007E191E" w:rsidRPr="003E24AB" w:rsidRDefault="007E191E" w:rsidP="00484D30">
        <w:pPr>
          <w:pStyle w:val="aff6"/>
          <w:rPr>
            <w:rFonts w:ascii="Segoe UI" w:eastAsia="游ゴシック" w:hAnsi="Segoe UI"/>
          </w:rPr>
        </w:pPr>
        <w:r w:rsidRPr="003E24AB">
          <w:rPr>
            <w:rFonts w:ascii="Segoe UI" w:eastAsia="游ゴシック" w:hAnsi="Segoe UI" w:hint="eastAsia"/>
          </w:rPr>
          <w:t>Page</w:t>
        </w:r>
        <w:r w:rsidR="003E24AB">
          <w:rPr>
            <w:rFonts w:ascii="Segoe UI" w:eastAsia="游ゴシック" w:hAnsi="Segoe UI"/>
          </w:rPr>
          <w:t xml:space="preserve"> </w:t>
        </w:r>
        <w:r w:rsidRPr="003E24AB">
          <w:rPr>
            <w:rFonts w:ascii="Segoe UI" w:eastAsia="游ゴシック" w:hAnsi="Segoe UI"/>
            <w:b/>
          </w:rPr>
          <w:fldChar w:fldCharType="begin"/>
        </w:r>
        <w:r w:rsidRPr="003E24AB">
          <w:rPr>
            <w:rFonts w:ascii="Segoe UI" w:eastAsia="游ゴシック" w:hAnsi="Segoe UI"/>
            <w:b/>
          </w:rPr>
          <w:instrText xml:space="preserve"> PAGE </w:instrText>
        </w:r>
        <w:r w:rsidRPr="003E24AB">
          <w:rPr>
            <w:rFonts w:ascii="Segoe UI" w:eastAsia="游ゴシック" w:hAnsi="Segoe UI"/>
            <w:b/>
          </w:rPr>
          <w:fldChar w:fldCharType="separate"/>
        </w:r>
        <w:r w:rsidR="00415487">
          <w:rPr>
            <w:rFonts w:ascii="Segoe UI" w:eastAsia="游ゴシック" w:hAnsi="Segoe UI"/>
            <w:b/>
            <w:noProof/>
          </w:rPr>
          <w:t>3</w:t>
        </w:r>
        <w:r w:rsidRPr="003E24AB">
          <w:rPr>
            <w:rFonts w:ascii="Segoe UI" w:eastAsia="游ゴシック" w:hAnsi="Segoe UI"/>
            <w:b/>
          </w:rPr>
          <w:fldChar w:fldCharType="end"/>
        </w:r>
        <w:r w:rsidRPr="003E24AB">
          <w:rPr>
            <w:rFonts w:ascii="Segoe UI" w:eastAsia="游ゴシック" w:hAnsi="Segoe UI" w:hint="eastAsia"/>
          </w:rPr>
          <w:t xml:space="preserve"> </w:t>
        </w:r>
        <w:r w:rsidRPr="003E24AB">
          <w:rPr>
            <w:rFonts w:ascii="Segoe UI" w:eastAsia="游ゴシック" w:hAnsi="Segoe UI"/>
          </w:rPr>
          <w:t xml:space="preserve">of </w:t>
        </w:r>
        <w:r w:rsidRPr="003E24AB">
          <w:rPr>
            <w:rFonts w:ascii="Segoe UI" w:eastAsia="游ゴシック" w:hAnsi="Segoe UI"/>
            <w:b/>
            <w:noProof/>
          </w:rPr>
          <w:fldChar w:fldCharType="begin"/>
        </w:r>
        <w:r w:rsidRPr="003E24AB">
          <w:rPr>
            <w:rFonts w:ascii="Segoe UI" w:eastAsia="游ゴシック" w:hAnsi="Segoe UI"/>
            <w:b/>
            <w:noProof/>
          </w:rPr>
          <w:instrText xml:space="preserve"> NUMPAGES  </w:instrText>
        </w:r>
        <w:r w:rsidRPr="003E24AB">
          <w:rPr>
            <w:rFonts w:ascii="Segoe UI" w:eastAsia="游ゴシック" w:hAnsi="Segoe UI"/>
            <w:b/>
            <w:noProof/>
          </w:rPr>
          <w:fldChar w:fldCharType="separate"/>
        </w:r>
        <w:r w:rsidR="00415487">
          <w:rPr>
            <w:rFonts w:ascii="Segoe UI" w:eastAsia="游ゴシック" w:hAnsi="Segoe UI"/>
            <w:b/>
            <w:noProof/>
          </w:rPr>
          <w:t>18</w:t>
        </w:r>
        <w:r w:rsidRPr="003E24AB">
          <w:rPr>
            <w:rFonts w:ascii="Segoe UI" w:eastAsia="游ゴシック" w:hAnsi="Segoe UI"/>
            <w:b/>
            <w:noProof/>
          </w:rPr>
          <w:fldChar w:fldCharType="end"/>
        </w:r>
      </w:p>
    </w:sdtContent>
  </w:sdt>
  <w:p w14:paraId="5AF21022" w14:textId="77777777" w:rsidR="007E191E" w:rsidRPr="00023C5F" w:rsidRDefault="007E191E" w:rsidP="00484D30">
    <w:pPr>
      <w:pStyle w:val="a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76565" w14:textId="35B6F469" w:rsidR="007E191E" w:rsidRPr="003E24AB" w:rsidRDefault="007E191E" w:rsidP="003E24AB">
    <w:pPr>
      <w:jc w:val="right"/>
      <w:rPr>
        <w:rFonts w:ascii="Segoe UI" w:eastAsia="游ゴシック" w:hAnsi="Segoe UI"/>
      </w:rPr>
    </w:pPr>
    <w:r w:rsidRPr="003E24AB">
      <w:rPr>
        <w:rFonts w:ascii="Segoe UI" w:eastAsia="游ゴシック" w:hAnsi="Segoe UI"/>
        <w:noProof/>
        <w:lang w:eastAsia="ja-JP"/>
      </w:rPr>
      <mc:AlternateContent>
        <mc:Choice Requires="wps">
          <w:drawing>
            <wp:anchor distT="0" distB="0" distL="114300" distR="114300" simplePos="0" relativeHeight="251663360" behindDoc="0" locked="0" layoutInCell="1" allowOverlap="1" wp14:anchorId="6219C889" wp14:editId="1818535A">
              <wp:simplePos x="0" y="0"/>
              <wp:positionH relativeFrom="column">
                <wp:posOffset>-15240</wp:posOffset>
              </wp:positionH>
              <wp:positionV relativeFrom="paragraph">
                <wp:posOffset>419099</wp:posOffset>
              </wp:positionV>
              <wp:extent cx="6143625" cy="17145"/>
              <wp:effectExtent l="0" t="0" r="28575" b="20955"/>
              <wp:wrapNone/>
              <wp:docPr id="6" name="Straight Connector 6"/>
              <wp:cNvGraphicFramePr/>
              <a:graphic xmlns:a="http://schemas.openxmlformats.org/drawingml/2006/main">
                <a:graphicData uri="http://schemas.microsoft.com/office/word/2010/wordprocessingShape">
                  <wps:wsp>
                    <wps:cNvCnPr/>
                    <wps:spPr>
                      <a:xfrm flipV="1">
                        <a:off x="0" y="0"/>
                        <a:ext cx="6143625"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A465D" id="Straight Connector 6"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33pt" to="482.5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" strokecolor="#4579b8 [3044]"/>
          </w:pict>
        </mc:Fallback>
      </mc:AlternateContent>
    </w:r>
    <w:r w:rsidRPr="003E24AB">
      <w:rPr>
        <w:rFonts w:ascii="Segoe UI" w:eastAsia="游ゴシック" w:hAnsi="Segoe UI"/>
      </w:rPr>
      <w:t>OpenChain</w:t>
    </w:r>
    <w:r w:rsidRPr="003E24AB">
      <w:rPr>
        <w:rFonts w:ascii="Segoe UI" w:eastAsia="游ゴシック" w:hAnsi="Segoe UI"/>
      </w:rPr>
      <w:t>仕様</w:t>
    </w:r>
    <w:r w:rsidRPr="003E24AB">
      <w:rPr>
        <w:rFonts w:ascii="Segoe UI" w:eastAsia="游ゴシック" w:hAnsi="Segoe UI" w:hint="eastAsia"/>
      </w:rPr>
      <w:t>書　第</w:t>
    </w:r>
    <w:r w:rsidRPr="003E24AB">
      <w:rPr>
        <w:rFonts w:ascii="Segoe UI" w:eastAsia="游ゴシック" w:hAnsi="Segoe UI"/>
        <w:noProof/>
        <w:lang w:eastAsia="ja-JP"/>
      </w:rPr>
      <w:drawing>
        <wp:anchor distT="0" distB="0" distL="114300" distR="114300" simplePos="0" relativeHeight="251659264" behindDoc="0" locked="0" layoutInCell="1" allowOverlap="1" wp14:anchorId="32794CDF" wp14:editId="7286C580">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24AB">
      <w:rPr>
        <w:rFonts w:ascii="Segoe UI" w:eastAsia="游ゴシック" w:hAnsi="Segoe UI"/>
      </w:rPr>
      <w:t>2.0</w:t>
    </w:r>
    <w:r w:rsidRPr="003E24AB">
      <w:rPr>
        <w:rFonts w:ascii="Segoe UI" w:eastAsia="游ゴシック" w:hAnsi="Segoe UI" w:hint="eastAsia"/>
      </w:rPr>
      <w:t>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B6549" w14:textId="77777777" w:rsidR="007E191E" w:rsidRDefault="007E191E" w:rsidP="00484D30">
    <w:r>
      <w:rPr>
        <w:noProof/>
        <w:lang w:eastAsia="ja-JP"/>
      </w:rPr>
      <w:drawing>
        <wp:anchor distT="0" distB="0" distL="114300" distR="114300" simplePos="0" relativeHeight="251661312" behindDoc="0" locked="0" layoutInCell="1" allowOverlap="1" wp14:anchorId="3753AC12" wp14:editId="1FFD1006">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E95279C"/>
    <w:multiLevelType w:val="hybridMultilevel"/>
    <w:tmpl w:val="AD1220EE"/>
    <w:lvl w:ilvl="0" w:tplc="B9B61024">
      <w:start w:val="1"/>
      <w:numFmt w:val="lowerLetter"/>
      <w:pStyle w:val="3abc"/>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2F058C"/>
    <w:multiLevelType w:val="hybridMultilevel"/>
    <w:tmpl w:val="FF18C070"/>
    <w:lvl w:ilvl="0" w:tplc="6740893C">
      <w:start w:val="2"/>
      <w:numFmt w:val="bullet"/>
      <w:lvlText w:val="・"/>
      <w:lvlJc w:val="left"/>
      <w:pPr>
        <w:ind w:left="1080" w:hanging="360"/>
      </w:pPr>
      <w:rPr>
        <w:rFonts w:ascii="ＭＳ 明朝" w:eastAsia="ＭＳ 明朝" w:hAnsi="ＭＳ 明朝" w:cs="Times New Roman"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16CA3"/>
    <w:multiLevelType w:val="hybridMultilevel"/>
    <w:tmpl w:val="E10E92F2"/>
    <w:lvl w:ilvl="0" w:tplc="EC76F31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FF5BB6"/>
    <w:multiLevelType w:val="hybridMultilevel"/>
    <w:tmpl w:val="4AC250F8"/>
    <w:lvl w:ilvl="0" w:tplc="6740893C">
      <w:start w:val="2"/>
      <w:numFmt w:val="bullet"/>
      <w:lvlText w:val="・"/>
      <w:lvlJc w:val="left"/>
      <w:pPr>
        <w:ind w:left="1080" w:hanging="360"/>
      </w:pPr>
      <w:rPr>
        <w:rFonts w:ascii="ＭＳ 明朝" w:eastAsia="ＭＳ 明朝" w:hAnsi="ＭＳ 明朝" w:cs="Times New Roman" w:hint="eastAsi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26EE5"/>
    <w:multiLevelType w:val="hybridMultilevel"/>
    <w:tmpl w:val="0E648B64"/>
    <w:lvl w:ilvl="0" w:tplc="E8D003B2">
      <w:start w:val="1"/>
      <w:numFmt w:val="decimal"/>
      <w:pStyle w:val="a"/>
      <w:lvlText w:val="%1)"/>
      <w:lvlJc w:val="left"/>
      <w:pPr>
        <w:ind w:left="420" w:hanging="420"/>
      </w:pPr>
      <w:rPr>
        <w:rFonts w:ascii="Segoe UI" w:eastAsia="游ゴシック" w:hAnsi="Segoe U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07D63F7"/>
    <w:multiLevelType w:val="hybridMultilevel"/>
    <w:tmpl w:val="3AA8CC80"/>
    <w:lvl w:ilvl="0" w:tplc="CA967D72">
      <w:start w:val="2"/>
      <w:numFmt w:val="bullet"/>
      <w:pStyle w:val="3"/>
      <w:lvlText w:val="・"/>
      <w:lvlJc w:val="left"/>
      <w:pPr>
        <w:ind w:left="1080" w:hanging="360"/>
      </w:pPr>
      <w:rPr>
        <w:rFonts w:ascii="ＭＳ 明朝" w:eastAsia="ＭＳ 明朝" w:hAnsi="ＭＳ 明朝" w:cs="Times New Roman" w:hint="eastAsia"/>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E713A47"/>
    <w:multiLevelType w:val="hybridMultilevel"/>
    <w:tmpl w:val="FB5CC43E"/>
    <w:lvl w:ilvl="0" w:tplc="6740893C">
      <w:start w:val="2"/>
      <w:numFmt w:val="bullet"/>
      <w:lvlText w:val="・"/>
      <w:lvlJc w:val="left"/>
      <w:pPr>
        <w:ind w:left="1140" w:hanging="420"/>
      </w:pPr>
      <w:rPr>
        <w:rFonts w:ascii="ＭＳ 明朝" w:eastAsia="ＭＳ 明朝" w:hAnsi="ＭＳ 明朝" w:cs="Times New Roman" w:hint="eastAsia"/>
      </w:rPr>
    </w:lvl>
    <w:lvl w:ilvl="1" w:tplc="2A823F0C">
      <w:start w:val="1"/>
      <w:numFmt w:val="bullet"/>
      <w:pStyle w:val="30"/>
      <w:lvlText w:val="o"/>
      <w:lvlJc w:val="left"/>
      <w:pPr>
        <w:ind w:left="1560" w:hanging="420"/>
      </w:pPr>
      <w:rPr>
        <w:rFonts w:ascii="Courier New" w:hAnsi="Courier New" w:cs="Courier New"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3EB14122"/>
    <w:multiLevelType w:val="hybridMultilevel"/>
    <w:tmpl w:val="0F129A06"/>
    <w:lvl w:ilvl="0" w:tplc="6740893C">
      <w:start w:val="2"/>
      <w:numFmt w:val="bullet"/>
      <w:lvlText w:val="・"/>
      <w:lvlJc w:val="left"/>
      <w:pPr>
        <w:ind w:left="1140" w:hanging="420"/>
      </w:pPr>
      <w:rPr>
        <w:rFonts w:ascii="ＭＳ 明朝" w:eastAsia="ＭＳ 明朝" w:hAnsi="ＭＳ 明朝" w:cs="Times New Roman" w:hint="eastAsia"/>
      </w:rPr>
    </w:lvl>
    <w:lvl w:ilvl="1" w:tplc="0409000B">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6" w15:restartNumberingAfterBreak="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3165416"/>
    <w:multiLevelType w:val="hybridMultilevel"/>
    <w:tmpl w:val="DA6028B8"/>
    <w:lvl w:ilvl="0" w:tplc="62804BA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4DC138A0"/>
    <w:multiLevelType w:val="hybridMultilevel"/>
    <w:tmpl w:val="352A1B3E"/>
    <w:lvl w:ilvl="0" w:tplc="6740893C">
      <w:start w:val="2"/>
      <w:numFmt w:val="bullet"/>
      <w:lvlText w:val="・"/>
      <w:lvlJc w:val="left"/>
      <w:pPr>
        <w:ind w:left="1080" w:hanging="360"/>
      </w:pPr>
      <w:rPr>
        <w:rFonts w:ascii="ＭＳ 明朝" w:eastAsia="ＭＳ 明朝" w:hAnsi="ＭＳ 明朝" w:cs="Times New Roman" w:hint="eastAsi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1" w15:restartNumberingAfterBreak="0">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0"/>
  </w:num>
  <w:num w:numId="2">
    <w:abstractNumId w:val="17"/>
  </w:num>
  <w:num w:numId="3">
    <w:abstractNumId w:val="5"/>
  </w:num>
  <w:num w:numId="4">
    <w:abstractNumId w:val="14"/>
  </w:num>
  <w:num w:numId="5">
    <w:abstractNumId w:val="33"/>
  </w:num>
  <w:num w:numId="6">
    <w:abstractNumId w:val="21"/>
  </w:num>
  <w:num w:numId="7">
    <w:abstractNumId w:val="6"/>
  </w:num>
  <w:num w:numId="8">
    <w:abstractNumId w:val="42"/>
  </w:num>
  <w:num w:numId="9">
    <w:abstractNumId w:val="8"/>
  </w:num>
  <w:num w:numId="10">
    <w:abstractNumId w:val="31"/>
  </w:num>
  <w:num w:numId="11">
    <w:abstractNumId w:val="1"/>
  </w:num>
  <w:num w:numId="12">
    <w:abstractNumId w:val="26"/>
  </w:num>
  <w:num w:numId="13">
    <w:abstractNumId w:val="41"/>
  </w:num>
  <w:num w:numId="14">
    <w:abstractNumId w:val="22"/>
  </w:num>
  <w:num w:numId="15">
    <w:abstractNumId w:val="38"/>
  </w:num>
  <w:num w:numId="16">
    <w:abstractNumId w:val="37"/>
  </w:num>
  <w:num w:numId="17">
    <w:abstractNumId w:val="32"/>
  </w:num>
  <w:num w:numId="18">
    <w:abstractNumId w:val="28"/>
  </w:num>
  <w:num w:numId="19">
    <w:abstractNumId w:val="3"/>
  </w:num>
  <w:num w:numId="20">
    <w:abstractNumId w:val="12"/>
  </w:num>
  <w:num w:numId="21">
    <w:abstractNumId w:val="15"/>
  </w:num>
  <w:num w:numId="22">
    <w:abstractNumId w:val="20"/>
  </w:num>
  <w:num w:numId="23">
    <w:abstractNumId w:val="40"/>
  </w:num>
  <w:num w:numId="24">
    <w:abstractNumId w:val="40"/>
  </w:num>
  <w:num w:numId="25">
    <w:abstractNumId w:val="10"/>
  </w:num>
  <w:num w:numId="26">
    <w:abstractNumId w:val="36"/>
  </w:num>
  <w:num w:numId="27">
    <w:abstractNumId w:val="35"/>
  </w:num>
  <w:num w:numId="28">
    <w:abstractNumId w:val="2"/>
  </w:num>
  <w:num w:numId="29">
    <w:abstractNumId w:val="39"/>
  </w:num>
  <w:num w:numId="30">
    <w:abstractNumId w:val="34"/>
  </w:num>
  <w:num w:numId="31">
    <w:abstractNumId w:val="9"/>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3"/>
  </w:num>
  <w:num w:numId="36">
    <w:abstractNumId w:val="29"/>
  </w:num>
  <w:num w:numId="37">
    <w:abstractNumId w:val="23"/>
  </w:num>
  <w:num w:numId="38">
    <w:abstractNumId w:val="16"/>
  </w:num>
  <w:num w:numId="39">
    <w:abstractNumId w:val="27"/>
  </w:num>
  <w:num w:numId="40">
    <w:abstractNumId w:val="19"/>
  </w:num>
  <w:num w:numId="41">
    <w:abstractNumId w:val="25"/>
  </w:num>
  <w:num w:numId="42">
    <w:abstractNumId w:val="24"/>
  </w:num>
  <w:num w:numId="43">
    <w:abstractNumId w:val="11"/>
  </w:num>
  <w:num w:numId="44">
    <w:abstractNumId w:val="30"/>
  </w:num>
  <w:num w:numId="45">
    <w:abstractNumId w:val="7"/>
  </w:num>
  <w:num w:numId="46">
    <w:abstractNumId w:val="18"/>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4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93997"/>
    <w:rPr>
      <w:rFonts w:ascii="Cambria" w:eastAsia="游明朝" w:hAnsi="Cambria"/>
      <w:lang w:eastAsia="ja"/>
    </w:rPr>
  </w:style>
  <w:style w:type="paragraph" w:styleId="1">
    <w:name w:val="heading 1"/>
    <w:basedOn w:val="a0"/>
    <w:next w:val="a0"/>
    <w:link w:val="10"/>
    <w:uiPriority w:val="9"/>
    <w:qFormat/>
    <w:rsid w:val="004F7C4F"/>
    <w:pPr>
      <w:keepNext/>
      <w:keepLines/>
      <w:tabs>
        <w:tab w:val="right" w:pos="9419"/>
      </w:tabs>
      <w:spacing w:afterLines="50" w:after="120" w:line="480" w:lineRule="exact"/>
      <w:ind w:rightChars="100" w:right="220"/>
      <w:outlineLvl w:val="0"/>
    </w:pPr>
    <w:rPr>
      <w:rFonts w:ascii="Segoe UI" w:eastAsia="游ゴシック" w:hAnsi="Segoe UI" w:cstheme="majorBidi"/>
      <w:b/>
      <w:bCs/>
      <w:color w:val="365F91" w:themeColor="accent1" w:themeShade="BF"/>
      <w:sz w:val="32"/>
      <w:szCs w:val="28"/>
      <w:lang w:eastAsia="ja-JP"/>
    </w:rPr>
  </w:style>
  <w:style w:type="paragraph" w:styleId="2">
    <w:name w:val="heading 2"/>
    <w:basedOn w:val="a0"/>
    <w:next w:val="a0"/>
    <w:link w:val="20"/>
    <w:uiPriority w:val="9"/>
    <w:unhideWhenUsed/>
    <w:qFormat/>
    <w:rsid w:val="00372DA1"/>
    <w:pPr>
      <w:keepNext/>
      <w:keepLines/>
      <w:adjustRightInd w:val="0"/>
      <w:snapToGrid w:val="0"/>
      <w:spacing w:beforeLines="50" w:before="120" w:afterLines="50" w:after="120" w:line="240" w:lineRule="auto"/>
      <w:ind w:leftChars="50" w:left="110"/>
      <w:outlineLvl w:val="1"/>
    </w:pPr>
    <w:rPr>
      <w:rFonts w:ascii="Segoe UI" w:eastAsia="游ゴシック" w:hAnsi="Segoe UI" w:cstheme="majorBidi"/>
      <w:b/>
      <w:bCs/>
      <w:color w:val="365F91" w:themeColor="accent1" w:themeShade="BF"/>
      <w:sz w:val="28"/>
      <w:szCs w:val="26"/>
    </w:rPr>
  </w:style>
  <w:style w:type="paragraph" w:styleId="31">
    <w:name w:val="heading 3"/>
    <w:basedOn w:val="a0"/>
    <w:next w:val="a0"/>
    <w:link w:val="32"/>
    <w:uiPriority w:val="9"/>
    <w:unhideWhenUsed/>
    <w:qFormat/>
    <w:rsid w:val="00372DA1"/>
    <w:pPr>
      <w:spacing w:beforeLines="100" w:before="240" w:afterLines="50" w:after="120" w:line="240" w:lineRule="auto"/>
      <w:ind w:leftChars="100" w:left="220"/>
      <w:contextualSpacing/>
      <w:outlineLvl w:val="2"/>
    </w:pPr>
    <w:rPr>
      <w:rFonts w:ascii="Segoe UI" w:eastAsia="游ゴシック" w:hAnsi="Segoe UI"/>
      <w:b/>
      <w:sz w:val="24"/>
      <w:lang w:eastAsia="ja-JP"/>
    </w:rPr>
  </w:style>
  <w:style w:type="paragraph" w:styleId="4">
    <w:name w:val="heading 4"/>
    <w:basedOn w:val="31"/>
    <w:next w:val="a0"/>
    <w:link w:val="40"/>
    <w:uiPriority w:val="9"/>
    <w:unhideWhenUsed/>
    <w:qFormat/>
    <w:rsid w:val="00F51B6F"/>
    <w:pPr>
      <w:ind w:leftChars="300" w:left="660"/>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4F7C4F"/>
    <w:rPr>
      <w:rFonts w:ascii="Segoe UI" w:eastAsia="游ゴシック" w:hAnsi="Segoe UI" w:cstheme="majorBidi"/>
      <w:b/>
      <w:bCs/>
      <w:color w:val="365F91" w:themeColor="accent1" w:themeShade="BF"/>
      <w:sz w:val="32"/>
      <w:szCs w:val="28"/>
      <w:lang w:eastAsia="ja-JP"/>
    </w:rPr>
  </w:style>
  <w:style w:type="paragraph" w:styleId="a4">
    <w:name w:val="List Paragraph"/>
    <w:basedOn w:val="a0"/>
    <w:uiPriority w:val="34"/>
    <w:qFormat/>
    <w:rsid w:val="00C7360B"/>
    <w:pPr>
      <w:ind w:left="720"/>
      <w:contextualSpacing/>
    </w:pPr>
  </w:style>
  <w:style w:type="character" w:customStyle="1" w:styleId="20">
    <w:name w:val="見出し 2 (文字)"/>
    <w:basedOn w:val="a1"/>
    <w:link w:val="2"/>
    <w:uiPriority w:val="9"/>
    <w:rsid w:val="00372DA1"/>
    <w:rPr>
      <w:rFonts w:ascii="Segoe UI" w:eastAsia="游ゴシック" w:hAnsi="Segoe UI" w:cstheme="majorBidi"/>
      <w:b/>
      <w:bCs/>
      <w:color w:val="365F91" w:themeColor="accent1" w:themeShade="BF"/>
      <w:sz w:val="28"/>
      <w:szCs w:val="26"/>
      <w:lang w:eastAsia="ja"/>
    </w:rPr>
  </w:style>
  <w:style w:type="paragraph" w:styleId="11">
    <w:name w:val="toc 1"/>
    <w:basedOn w:val="a0"/>
    <w:next w:val="a0"/>
    <w:autoRedefine/>
    <w:uiPriority w:val="39"/>
    <w:unhideWhenUsed/>
    <w:rsid w:val="004812FA"/>
    <w:pPr>
      <w:tabs>
        <w:tab w:val="left" w:pos="440"/>
        <w:tab w:val="right" w:leader="dot" w:pos="9350"/>
      </w:tabs>
      <w:spacing w:after="100"/>
      <w:jc w:val="center"/>
    </w:pPr>
    <w:rPr>
      <w:b/>
      <w:sz w:val="24"/>
    </w:rPr>
  </w:style>
  <w:style w:type="paragraph" w:styleId="21">
    <w:name w:val="toc 2"/>
    <w:basedOn w:val="a0"/>
    <w:next w:val="a0"/>
    <w:autoRedefine/>
    <w:uiPriority w:val="39"/>
    <w:unhideWhenUsed/>
    <w:rsid w:val="00E47077"/>
    <w:pPr>
      <w:spacing w:after="100"/>
      <w:ind w:left="220"/>
    </w:pPr>
  </w:style>
  <w:style w:type="character" w:styleId="a5">
    <w:name w:val="Hyperlink"/>
    <w:basedOn w:val="a1"/>
    <w:uiPriority w:val="99"/>
    <w:unhideWhenUsed/>
    <w:rsid w:val="00E47077"/>
    <w:rPr>
      <w:color w:val="0000FF" w:themeColor="hyperlink"/>
      <w:u w:val="single"/>
    </w:rPr>
  </w:style>
  <w:style w:type="paragraph" w:styleId="a6">
    <w:name w:val="Balloon Text"/>
    <w:basedOn w:val="a0"/>
    <w:link w:val="a7"/>
    <w:uiPriority w:val="99"/>
    <w:semiHidden/>
    <w:unhideWhenUsed/>
    <w:rsid w:val="00E47077"/>
    <w:rPr>
      <w:rFonts w:ascii="Tahoma" w:hAnsi="Tahoma" w:cs="Tahoma"/>
      <w:sz w:val="16"/>
      <w:szCs w:val="16"/>
    </w:rPr>
  </w:style>
  <w:style w:type="character" w:customStyle="1" w:styleId="a7">
    <w:name w:val="吹き出し (文字)"/>
    <w:basedOn w:val="a1"/>
    <w:link w:val="a6"/>
    <w:uiPriority w:val="99"/>
    <w:semiHidden/>
    <w:rsid w:val="00E47077"/>
    <w:rPr>
      <w:rFonts w:ascii="Tahoma" w:hAnsi="Tahoma" w:cs="Tahoma"/>
      <w:sz w:val="16"/>
      <w:szCs w:val="16"/>
    </w:rPr>
  </w:style>
  <w:style w:type="paragraph" w:styleId="a8">
    <w:name w:val="header"/>
    <w:basedOn w:val="a0"/>
    <w:link w:val="a9"/>
    <w:uiPriority w:val="99"/>
    <w:unhideWhenUsed/>
    <w:rsid w:val="00836250"/>
    <w:pPr>
      <w:tabs>
        <w:tab w:val="center" w:pos="4252"/>
        <w:tab w:val="right" w:pos="8504"/>
      </w:tabs>
      <w:snapToGrid w:val="0"/>
    </w:pPr>
  </w:style>
  <w:style w:type="character" w:customStyle="1" w:styleId="a9">
    <w:name w:val="ヘッダー (文字)"/>
    <w:basedOn w:val="a1"/>
    <w:link w:val="a8"/>
    <w:uiPriority w:val="99"/>
    <w:rsid w:val="00836250"/>
    <w:rPr>
      <w:rFonts w:ascii="Cambria" w:eastAsia="游明朝" w:hAnsi="Cambria"/>
      <w:lang w:eastAsia="ja"/>
    </w:rPr>
  </w:style>
  <w:style w:type="paragraph" w:styleId="aa">
    <w:name w:val="footer"/>
    <w:basedOn w:val="a0"/>
    <w:link w:val="ab"/>
    <w:uiPriority w:val="99"/>
    <w:unhideWhenUsed/>
    <w:rsid w:val="00952DD6"/>
    <w:pPr>
      <w:tabs>
        <w:tab w:val="center" w:pos="4680"/>
        <w:tab w:val="right" w:pos="9360"/>
      </w:tabs>
    </w:pPr>
  </w:style>
  <w:style w:type="character" w:customStyle="1" w:styleId="ab">
    <w:name w:val="フッター (文字)"/>
    <w:basedOn w:val="a1"/>
    <w:link w:val="aa"/>
    <w:uiPriority w:val="99"/>
    <w:rsid w:val="00952DD6"/>
  </w:style>
  <w:style w:type="paragraph" w:customStyle="1" w:styleId="3abc">
    <w:name w:val="本文(見出し3配下・abcリスト)"/>
    <w:basedOn w:val="33"/>
    <w:qFormat/>
    <w:rsid w:val="007A716F"/>
    <w:pPr>
      <w:numPr>
        <w:numId w:val="34"/>
      </w:numPr>
      <w:ind w:leftChars="450" w:left="1347" w:hanging="357"/>
      <w:contextualSpacing/>
    </w:pPr>
  </w:style>
  <w:style w:type="character" w:styleId="ac">
    <w:name w:val="Strong"/>
    <w:basedOn w:val="a1"/>
    <w:uiPriority w:val="22"/>
    <w:qFormat/>
    <w:rsid w:val="007C2E09"/>
    <w:rPr>
      <w:rFonts w:ascii="ＭＳ Ｐゴシック" w:eastAsia="ＭＳ Ｐゴシック" w:hAnsi="Noto Sans CJK JP Bold"/>
      <w:b/>
      <w:bCs/>
      <w:i w:val="0"/>
    </w:rPr>
  </w:style>
  <w:style w:type="paragraph" w:styleId="ad">
    <w:name w:val="Revision"/>
    <w:hidden/>
    <w:uiPriority w:val="99"/>
    <w:semiHidden/>
    <w:rsid w:val="00D97B7E"/>
    <w:pPr>
      <w:spacing w:after="0" w:line="240" w:lineRule="auto"/>
    </w:pPr>
  </w:style>
  <w:style w:type="paragraph" w:styleId="ae">
    <w:name w:val="TOC Heading"/>
    <w:basedOn w:val="a0"/>
    <w:next w:val="a0"/>
    <w:uiPriority w:val="39"/>
    <w:unhideWhenUsed/>
    <w:qFormat/>
    <w:rsid w:val="00F040B1"/>
    <w:pPr>
      <w:spacing w:afterLines="150" w:after="360"/>
      <w:jc w:val="center"/>
    </w:pPr>
    <w:rPr>
      <w:rFonts w:ascii="Segoe UI" w:eastAsia="游ゴシック" w:hAnsi="Segoe UI"/>
      <w:b/>
      <w:color w:val="1F497D" w:themeColor="text2"/>
      <w:sz w:val="36"/>
    </w:rPr>
  </w:style>
  <w:style w:type="paragraph" w:styleId="Web">
    <w:name w:val="Normal (Web)"/>
    <w:basedOn w:val="a0"/>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f">
    <w:name w:val="Plain Text"/>
    <w:basedOn w:val="a0"/>
    <w:link w:val="af0"/>
    <w:uiPriority w:val="99"/>
    <w:unhideWhenUsed/>
    <w:rsid w:val="00440F16"/>
    <w:rPr>
      <w:rFonts w:ascii="Calibri" w:hAnsi="Calibri"/>
      <w:szCs w:val="21"/>
    </w:rPr>
  </w:style>
  <w:style w:type="character" w:customStyle="1" w:styleId="af0">
    <w:name w:val="書式なし (文字)"/>
    <w:basedOn w:val="a1"/>
    <w:link w:val="af"/>
    <w:uiPriority w:val="99"/>
    <w:rsid w:val="00440F16"/>
    <w:rPr>
      <w:rFonts w:ascii="Calibri" w:hAnsi="Calibri"/>
      <w:szCs w:val="21"/>
    </w:rPr>
  </w:style>
  <w:style w:type="character" w:styleId="af1">
    <w:name w:val="FollowedHyperlink"/>
    <w:basedOn w:val="a1"/>
    <w:uiPriority w:val="99"/>
    <w:semiHidden/>
    <w:unhideWhenUsed/>
    <w:rsid w:val="00686C00"/>
    <w:rPr>
      <w:color w:val="800080" w:themeColor="followedHyperlink"/>
      <w:u w:val="single"/>
    </w:rPr>
  </w:style>
  <w:style w:type="character" w:customStyle="1" w:styleId="32">
    <w:name w:val="見出し 3 (文字)"/>
    <w:basedOn w:val="a1"/>
    <w:link w:val="31"/>
    <w:uiPriority w:val="9"/>
    <w:rsid w:val="00372DA1"/>
    <w:rPr>
      <w:rFonts w:ascii="Segoe UI" w:eastAsia="游ゴシック" w:hAnsi="Segoe UI"/>
      <w:b/>
      <w:sz w:val="24"/>
      <w:lang w:eastAsia="ja-JP"/>
    </w:rPr>
  </w:style>
  <w:style w:type="paragraph" w:styleId="af2">
    <w:name w:val="endnote text"/>
    <w:basedOn w:val="a0"/>
    <w:link w:val="af3"/>
    <w:uiPriority w:val="99"/>
    <w:semiHidden/>
    <w:unhideWhenUsed/>
    <w:rsid w:val="003503C4"/>
    <w:rPr>
      <w:sz w:val="20"/>
      <w:szCs w:val="20"/>
    </w:rPr>
  </w:style>
  <w:style w:type="character" w:customStyle="1" w:styleId="af3">
    <w:name w:val="文末脚注文字列 (文字)"/>
    <w:basedOn w:val="a1"/>
    <w:link w:val="af2"/>
    <w:uiPriority w:val="99"/>
    <w:semiHidden/>
    <w:rsid w:val="003503C4"/>
    <w:rPr>
      <w:sz w:val="20"/>
      <w:szCs w:val="20"/>
    </w:rPr>
  </w:style>
  <w:style w:type="character" w:styleId="af4">
    <w:name w:val="endnote reference"/>
    <w:basedOn w:val="a1"/>
    <w:uiPriority w:val="99"/>
    <w:semiHidden/>
    <w:unhideWhenUsed/>
    <w:rsid w:val="003503C4"/>
    <w:rPr>
      <w:vertAlign w:val="superscript"/>
    </w:rPr>
  </w:style>
  <w:style w:type="paragraph" w:styleId="af5">
    <w:name w:val="footnote text"/>
    <w:basedOn w:val="a0"/>
    <w:link w:val="af6"/>
    <w:uiPriority w:val="99"/>
    <w:unhideWhenUsed/>
    <w:rsid w:val="005B07BE"/>
    <w:rPr>
      <w:sz w:val="20"/>
      <w:szCs w:val="20"/>
    </w:rPr>
  </w:style>
  <w:style w:type="character" w:customStyle="1" w:styleId="af6">
    <w:name w:val="脚注文字列 (文字)"/>
    <w:basedOn w:val="a1"/>
    <w:link w:val="af5"/>
    <w:uiPriority w:val="99"/>
    <w:rsid w:val="005B07BE"/>
    <w:rPr>
      <w:sz w:val="20"/>
      <w:szCs w:val="20"/>
    </w:rPr>
  </w:style>
  <w:style w:type="character" w:styleId="af7">
    <w:name w:val="footnote reference"/>
    <w:basedOn w:val="a1"/>
    <w:uiPriority w:val="99"/>
    <w:semiHidden/>
    <w:unhideWhenUsed/>
    <w:rsid w:val="005B07BE"/>
    <w:rPr>
      <w:vertAlign w:val="superscript"/>
    </w:rPr>
  </w:style>
  <w:style w:type="character" w:styleId="af8">
    <w:name w:val="Placeholder Text"/>
    <w:basedOn w:val="a1"/>
    <w:uiPriority w:val="99"/>
    <w:semiHidden/>
    <w:rsid w:val="00A1219B"/>
    <w:rPr>
      <w:color w:val="808080"/>
    </w:rPr>
  </w:style>
  <w:style w:type="character" w:customStyle="1" w:styleId="12">
    <w:name w:val="未解決のメンション1"/>
    <w:basedOn w:val="a1"/>
    <w:uiPriority w:val="99"/>
    <w:semiHidden/>
    <w:unhideWhenUsed/>
    <w:rsid w:val="005759E2"/>
    <w:rPr>
      <w:color w:val="605E5C"/>
      <w:shd w:val="clear" w:color="auto" w:fill="E1DFDD"/>
    </w:rPr>
  </w:style>
  <w:style w:type="character" w:styleId="af9">
    <w:name w:val="annotation reference"/>
    <w:basedOn w:val="a1"/>
    <w:uiPriority w:val="99"/>
    <w:semiHidden/>
    <w:unhideWhenUsed/>
    <w:rsid w:val="00606E26"/>
    <w:rPr>
      <w:sz w:val="18"/>
      <w:szCs w:val="18"/>
    </w:rPr>
  </w:style>
  <w:style w:type="paragraph" w:styleId="afa">
    <w:name w:val="annotation text"/>
    <w:basedOn w:val="a0"/>
    <w:link w:val="afb"/>
    <w:uiPriority w:val="99"/>
    <w:unhideWhenUsed/>
    <w:rsid w:val="00606E26"/>
  </w:style>
  <w:style w:type="character" w:customStyle="1" w:styleId="afb">
    <w:name w:val="コメント文字列 (文字)"/>
    <w:basedOn w:val="a1"/>
    <w:link w:val="afa"/>
    <w:uiPriority w:val="99"/>
    <w:rsid w:val="00606E26"/>
  </w:style>
  <w:style w:type="paragraph" w:styleId="afc">
    <w:name w:val="annotation subject"/>
    <w:basedOn w:val="afa"/>
    <w:next w:val="afa"/>
    <w:link w:val="afd"/>
    <w:uiPriority w:val="99"/>
    <w:semiHidden/>
    <w:unhideWhenUsed/>
    <w:rsid w:val="00606E26"/>
    <w:rPr>
      <w:b/>
      <w:bCs/>
    </w:rPr>
  </w:style>
  <w:style w:type="character" w:customStyle="1" w:styleId="afd">
    <w:name w:val="コメント内容 (文字)"/>
    <w:basedOn w:val="afb"/>
    <w:link w:val="afc"/>
    <w:uiPriority w:val="99"/>
    <w:semiHidden/>
    <w:rsid w:val="00606E26"/>
    <w:rPr>
      <w:b/>
      <w:bCs/>
    </w:rPr>
  </w:style>
  <w:style w:type="paragraph" w:styleId="afe">
    <w:name w:val="Title"/>
    <w:next w:val="aff"/>
    <w:link w:val="aff0"/>
    <w:uiPriority w:val="10"/>
    <w:qFormat/>
    <w:rsid w:val="00484D30"/>
    <w:pPr>
      <w:pBdr>
        <w:top w:val="single" w:sz="6" w:space="1" w:color="auto"/>
        <w:bottom w:val="single" w:sz="6" w:space="1" w:color="auto"/>
      </w:pBdr>
      <w:tabs>
        <w:tab w:val="left" w:pos="1150"/>
        <w:tab w:val="right" w:pos="9360"/>
      </w:tabs>
      <w:spacing w:line="600" w:lineRule="exact"/>
      <w:jc w:val="right"/>
    </w:pPr>
    <w:rPr>
      <w:rFonts w:ascii="Segoe UI" w:eastAsia="游ゴシック" w:hAnsi="Segoe UI"/>
      <w:b/>
      <w:smallCaps/>
      <w:color w:val="1F497D" w:themeColor="text2"/>
      <w:sz w:val="48"/>
      <w:lang w:eastAsia="ja"/>
    </w:rPr>
  </w:style>
  <w:style w:type="character" w:customStyle="1" w:styleId="aff0">
    <w:name w:val="表題 (文字)"/>
    <w:basedOn w:val="a1"/>
    <w:link w:val="afe"/>
    <w:uiPriority w:val="10"/>
    <w:rsid w:val="00484D30"/>
    <w:rPr>
      <w:rFonts w:ascii="Segoe UI" w:eastAsia="游ゴシック" w:hAnsi="Segoe UI"/>
      <w:b/>
      <w:smallCaps/>
      <w:color w:val="1F497D" w:themeColor="text2"/>
      <w:sz w:val="48"/>
      <w:lang w:eastAsia="ja"/>
    </w:rPr>
  </w:style>
  <w:style w:type="paragraph" w:styleId="aff">
    <w:name w:val="Subtitle"/>
    <w:next w:val="a0"/>
    <w:link w:val="aff1"/>
    <w:uiPriority w:val="11"/>
    <w:qFormat/>
    <w:rsid w:val="003B7322"/>
    <w:pPr>
      <w:pBdr>
        <w:top w:val="single" w:sz="6" w:space="1" w:color="auto"/>
        <w:bottom w:val="single" w:sz="6" w:space="1" w:color="auto"/>
      </w:pBdr>
      <w:spacing w:line="480" w:lineRule="exact"/>
      <w:jc w:val="right"/>
    </w:pPr>
    <w:rPr>
      <w:rFonts w:ascii="Segoe UI" w:eastAsia="游ゴシック" w:hAnsi="Segoe UI"/>
      <w:b/>
      <w:smallCaps/>
      <w:color w:val="1F497D" w:themeColor="text2"/>
      <w:sz w:val="36"/>
      <w:szCs w:val="36"/>
      <w:lang w:eastAsia="ja"/>
    </w:rPr>
  </w:style>
  <w:style w:type="character" w:customStyle="1" w:styleId="aff1">
    <w:name w:val="副題 (文字)"/>
    <w:basedOn w:val="a1"/>
    <w:link w:val="aff"/>
    <w:uiPriority w:val="11"/>
    <w:rsid w:val="003B7322"/>
    <w:rPr>
      <w:rFonts w:ascii="Segoe UI" w:eastAsia="游ゴシック" w:hAnsi="Segoe UI"/>
      <w:b/>
      <w:smallCaps/>
      <w:color w:val="1F497D" w:themeColor="text2"/>
      <w:sz w:val="36"/>
      <w:szCs w:val="36"/>
      <w:lang w:eastAsia="ja"/>
    </w:rPr>
  </w:style>
  <w:style w:type="paragraph" w:customStyle="1" w:styleId="aff2">
    <w:name w:val="本文（免責事項・著作権ページ）"/>
    <w:basedOn w:val="a0"/>
    <w:link w:val="aff3"/>
    <w:qFormat/>
    <w:rsid w:val="00AA3A93"/>
    <w:pPr>
      <w:spacing w:beforeLines="50" w:before="120" w:afterLines="50" w:after="120" w:line="240" w:lineRule="auto"/>
      <w:ind w:leftChars="300" w:left="660" w:rightChars="100" w:right="220"/>
    </w:pPr>
    <w:rPr>
      <w:rFonts w:cs="Calibri"/>
      <w:lang w:eastAsia="ja-JP"/>
    </w:rPr>
  </w:style>
  <w:style w:type="character" w:styleId="aff4">
    <w:name w:val="Subtle Emphasis"/>
    <w:basedOn w:val="a1"/>
    <w:uiPriority w:val="19"/>
    <w:qFormat/>
    <w:rsid w:val="00270680"/>
    <w:rPr>
      <w:i/>
      <w:iCs/>
      <w:color w:val="404040" w:themeColor="text1" w:themeTint="BF"/>
    </w:rPr>
  </w:style>
  <w:style w:type="character" w:customStyle="1" w:styleId="aff3">
    <w:name w:val="本文（免責事項・著作権ページ） (文字)"/>
    <w:basedOn w:val="a1"/>
    <w:link w:val="aff2"/>
    <w:rsid w:val="00AA3A93"/>
    <w:rPr>
      <w:rFonts w:ascii="Cambria" w:eastAsia="游明朝" w:hAnsi="Cambria" w:cs="Calibri"/>
      <w:lang w:eastAsia="ja-JP"/>
    </w:rPr>
  </w:style>
  <w:style w:type="character" w:styleId="aff5">
    <w:name w:val="Emphasis"/>
    <w:basedOn w:val="a1"/>
    <w:uiPriority w:val="20"/>
    <w:qFormat/>
    <w:rsid w:val="00270680"/>
    <w:rPr>
      <w:i/>
      <w:iCs/>
    </w:rPr>
  </w:style>
  <w:style w:type="paragraph" w:customStyle="1" w:styleId="aff6">
    <w:name w:val="フッタ・ページ数"/>
    <w:basedOn w:val="aa"/>
    <w:link w:val="aff7"/>
    <w:qFormat/>
    <w:rsid w:val="0097201A"/>
    <w:pPr>
      <w:jc w:val="center"/>
    </w:pPr>
    <w:rPr>
      <w:rFonts w:ascii="Noto Sans CJK JP Light" w:eastAsia="Noto Sans CJK JP Light" w:hAnsi="Noto Sans CJK JP Light"/>
      <w:lang w:eastAsia="ja-JP"/>
    </w:rPr>
  </w:style>
  <w:style w:type="paragraph" w:customStyle="1" w:styleId="aff8">
    <w:name w:val="フッタ・版数"/>
    <w:basedOn w:val="aa"/>
    <w:link w:val="aff9"/>
    <w:qFormat/>
    <w:rsid w:val="0097201A"/>
    <w:pPr>
      <w:jc w:val="right"/>
    </w:pPr>
    <w:rPr>
      <w:rFonts w:ascii="Noto Sans CJK JP Light" w:eastAsia="Noto Sans CJK JP Light" w:hAnsi="Noto Sans CJK JP Light"/>
    </w:rPr>
  </w:style>
  <w:style w:type="character" w:customStyle="1" w:styleId="aff7">
    <w:name w:val="フッタ・ページ数 (文字)"/>
    <w:basedOn w:val="ab"/>
    <w:link w:val="aff6"/>
    <w:rsid w:val="0097201A"/>
    <w:rPr>
      <w:rFonts w:ascii="Noto Sans CJK JP Light" w:eastAsia="Noto Sans CJK JP Light" w:hAnsi="Noto Sans CJK JP Light"/>
      <w:lang w:eastAsia="ja-JP"/>
    </w:rPr>
  </w:style>
  <w:style w:type="paragraph" w:customStyle="1" w:styleId="affa">
    <w:name w:val="用語定義・定義内容"/>
    <w:basedOn w:val="a0"/>
    <w:link w:val="affb"/>
    <w:qFormat/>
    <w:rsid w:val="0080007A"/>
    <w:pPr>
      <w:spacing w:afterLines="40" w:after="96" w:line="240" w:lineRule="auto"/>
      <w:ind w:leftChars="200" w:left="440"/>
    </w:pPr>
  </w:style>
  <w:style w:type="character" w:customStyle="1" w:styleId="aff9">
    <w:name w:val="フッタ・版数 (文字)"/>
    <w:basedOn w:val="ab"/>
    <w:link w:val="aff8"/>
    <w:rsid w:val="0097201A"/>
    <w:rPr>
      <w:rFonts w:ascii="Noto Sans CJK JP Light" w:eastAsia="Noto Sans CJK JP Light" w:hAnsi="Noto Sans CJK JP Light"/>
      <w:lang w:eastAsia="ja"/>
    </w:rPr>
  </w:style>
  <w:style w:type="paragraph" w:customStyle="1" w:styleId="affc">
    <w:name w:val="用語定義・見出し"/>
    <w:basedOn w:val="31"/>
    <w:link w:val="affd"/>
    <w:rsid w:val="00093105"/>
    <w:pPr>
      <w:spacing w:beforeLines="150" w:before="360"/>
      <w:ind w:leftChars="0" w:left="0"/>
    </w:pPr>
  </w:style>
  <w:style w:type="character" w:customStyle="1" w:styleId="affb">
    <w:name w:val="用語定義・定義内容 (文字)"/>
    <w:basedOn w:val="a1"/>
    <w:link w:val="affa"/>
    <w:rsid w:val="0080007A"/>
    <w:rPr>
      <w:rFonts w:ascii="Cambria" w:eastAsia="游明朝" w:hAnsi="Cambria"/>
      <w:lang w:eastAsia="ja"/>
    </w:rPr>
  </w:style>
  <w:style w:type="paragraph" w:customStyle="1" w:styleId="33">
    <w:name w:val="本文(見出し3配下)"/>
    <w:basedOn w:val="a0"/>
    <w:link w:val="34"/>
    <w:qFormat/>
    <w:rsid w:val="008960CC"/>
    <w:pPr>
      <w:spacing w:afterLines="50" w:after="120" w:line="240" w:lineRule="auto"/>
      <w:ind w:leftChars="300" w:left="660"/>
    </w:pPr>
    <w:rPr>
      <w:rFonts w:ascii="Segoe UI" w:eastAsia="游ゴシック" w:hAnsi="Segoe UI"/>
      <w:sz w:val="24"/>
      <w:szCs w:val="24"/>
    </w:rPr>
  </w:style>
  <w:style w:type="character" w:customStyle="1" w:styleId="affd">
    <w:name w:val="用語定義・見出し (文字)"/>
    <w:basedOn w:val="a1"/>
    <w:link w:val="affc"/>
    <w:rsid w:val="00093105"/>
    <w:rPr>
      <w:rFonts w:ascii="Segoe UI" w:eastAsia="游ゴシック" w:hAnsi="Segoe UI"/>
      <w:b/>
      <w:sz w:val="24"/>
      <w:lang w:eastAsia="ja-JP"/>
    </w:rPr>
  </w:style>
  <w:style w:type="paragraph" w:customStyle="1" w:styleId="41">
    <w:name w:val="リスト(4配下)"/>
    <w:basedOn w:val="a0"/>
    <w:link w:val="42"/>
    <w:qFormat/>
    <w:rsid w:val="00A93997"/>
    <w:pPr>
      <w:adjustRightInd w:val="0"/>
      <w:snapToGrid w:val="0"/>
      <w:spacing w:after="0" w:line="240" w:lineRule="auto"/>
      <w:ind w:leftChars="450" w:left="1760" w:hangingChars="350" w:hanging="770"/>
      <w:contextualSpacing/>
    </w:pPr>
  </w:style>
  <w:style w:type="character" w:customStyle="1" w:styleId="34">
    <w:name w:val="本文(見出し3配下) (文字)"/>
    <w:basedOn w:val="a1"/>
    <w:link w:val="33"/>
    <w:rsid w:val="008960CC"/>
    <w:rPr>
      <w:rFonts w:ascii="Segoe UI" w:eastAsia="游ゴシック" w:hAnsi="Segoe UI"/>
      <w:sz w:val="24"/>
      <w:szCs w:val="24"/>
      <w:lang w:eastAsia="ja"/>
    </w:rPr>
  </w:style>
  <w:style w:type="character" w:customStyle="1" w:styleId="40">
    <w:name w:val="見出し 4 (文字)"/>
    <w:basedOn w:val="a1"/>
    <w:link w:val="4"/>
    <w:uiPriority w:val="9"/>
    <w:rsid w:val="00F51B6F"/>
    <w:rPr>
      <w:rFonts w:ascii="Segoe UI" w:eastAsia="游ゴシック" w:hAnsi="Segoe UI"/>
      <w:b/>
      <w:sz w:val="24"/>
      <w:lang w:eastAsia="ja-JP"/>
    </w:rPr>
  </w:style>
  <w:style w:type="character" w:customStyle="1" w:styleId="42">
    <w:name w:val="リスト(4配下) (文字)"/>
    <w:basedOn w:val="a1"/>
    <w:link w:val="41"/>
    <w:rsid w:val="00A93997"/>
    <w:rPr>
      <w:rFonts w:ascii="Cambria" w:eastAsia="游明朝" w:hAnsi="Cambria"/>
      <w:lang w:eastAsia="ja"/>
    </w:rPr>
  </w:style>
  <w:style w:type="paragraph" w:customStyle="1" w:styleId="43">
    <w:name w:val="本文(4配下)"/>
    <w:basedOn w:val="33"/>
    <w:link w:val="44"/>
    <w:qFormat/>
    <w:rsid w:val="007A716F"/>
    <w:pPr>
      <w:ind w:leftChars="450" w:left="990"/>
    </w:pPr>
    <w:rPr>
      <w:rFonts w:ascii="Cambria" w:eastAsia="游明朝" w:hAnsi="Cambria"/>
      <w:sz w:val="22"/>
      <w:szCs w:val="22"/>
    </w:rPr>
  </w:style>
  <w:style w:type="paragraph" w:styleId="35">
    <w:name w:val="toc 3"/>
    <w:basedOn w:val="a0"/>
    <w:next w:val="a0"/>
    <w:autoRedefine/>
    <w:uiPriority w:val="39"/>
    <w:unhideWhenUsed/>
    <w:rsid w:val="00C91153"/>
    <w:pPr>
      <w:ind w:leftChars="200" w:left="440"/>
    </w:pPr>
  </w:style>
  <w:style w:type="character" w:customStyle="1" w:styleId="44">
    <w:name w:val="本文(4配下) (文字)"/>
    <w:basedOn w:val="34"/>
    <w:link w:val="43"/>
    <w:rsid w:val="007A716F"/>
    <w:rPr>
      <w:rFonts w:ascii="Cambria" w:eastAsia="游明朝" w:hAnsi="Cambria"/>
      <w:sz w:val="24"/>
      <w:szCs w:val="24"/>
      <w:lang w:eastAsia="ja"/>
    </w:rPr>
  </w:style>
  <w:style w:type="character" w:customStyle="1" w:styleId="affe">
    <w:name w:val="定義語"/>
    <w:basedOn w:val="ac"/>
    <w:uiPriority w:val="1"/>
    <w:qFormat/>
    <w:rsid w:val="003B7322"/>
    <w:rPr>
      <w:rFonts w:ascii="Segoe UI" w:eastAsia="游ゴシック" w:hAnsi="Segoe UI"/>
      <w:b/>
      <w:bCs/>
      <w:i w:val="0"/>
    </w:rPr>
  </w:style>
  <w:style w:type="paragraph" w:customStyle="1" w:styleId="3">
    <w:name w:val="本文(見出し3配下・リスト)"/>
    <w:basedOn w:val="33"/>
    <w:autoRedefine/>
    <w:qFormat/>
    <w:rsid w:val="007A716F"/>
    <w:pPr>
      <w:numPr>
        <w:numId w:val="40"/>
      </w:numPr>
      <w:ind w:leftChars="450" w:left="1347" w:hanging="357"/>
      <w:contextualSpacing/>
    </w:pPr>
  </w:style>
  <w:style w:type="paragraph" w:customStyle="1" w:styleId="30">
    <w:name w:val="本文（見出し3配下・サブリスト）"/>
    <w:basedOn w:val="3"/>
    <w:qFormat/>
    <w:rsid w:val="00361BA0"/>
    <w:pPr>
      <w:numPr>
        <w:ilvl w:val="1"/>
        <w:numId w:val="42"/>
      </w:numPr>
      <w:adjustRightInd w:val="0"/>
      <w:snapToGrid w:val="0"/>
      <w:ind w:leftChars="600" w:left="1740"/>
    </w:pPr>
    <w:rPr>
      <w:lang w:eastAsia="ja-JP"/>
    </w:rPr>
  </w:style>
  <w:style w:type="paragraph" w:customStyle="1" w:styleId="a">
    <w:name w:val="見出し１（番号つき）"/>
    <w:basedOn w:val="1"/>
    <w:qFormat/>
    <w:rsid w:val="00C209B9"/>
    <w:pPr>
      <w:numPr>
        <w:numId w:val="4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1.xml" /><Relationship Type="http://schemas.openxmlformats.org/officeDocument/2006/relationships/hyperlink" Id="rId22" Target="https://creativecommons.org/licenses/by/4.0/" TargetMode="External" /><Relationship Type="http://schemas.openxmlformats.org/officeDocument/2006/relationships/hyperlink" Id="rId84" Target="https://ja.wikipedia.org/wiki/%E5%B8%B0%E5%B1%9E_(%E8%91%97%E4%BD%9C%E6%A8%A9)" TargetMode="External" /><Relationship Type="http://schemas.openxmlformats.org/officeDocument/2006/relationships/hyperlink" Id="rId24" Target="https://lists.linuxfoundation.org/mailman/listinfo/openchain-spec" TargetMode="External" /><Relationship Type="http://schemas.openxmlformats.org/officeDocument/2006/relationships/hyperlink" Id="rId83" Target="https://wiki.linuxfoundation.org/openchain/spec-translations" TargetMode="External" /><Relationship Type="http://schemas.openxmlformats.org/officeDocument/2006/relationships/hyperlink" Id="rId25" Target="https://wiki.linuxfoundation.org/openchain/specification-questions-and-answers" TargetMode="External" /></Relationships>
</file>

<file path=word/_rels/footnotes.xml.rels><?xml version="1.0" encoding="UTF-8"?>
<Relationships xmlns="http://schemas.openxmlformats.org/package/2006/relationships"><Relationship Type="http://schemas.openxmlformats.org/officeDocument/2006/relationships/hyperlink" Id="rId22" Target="https://creativecommons.org/licenses/by/4.0/" TargetMode="External" /><Relationship Type="http://schemas.openxmlformats.org/officeDocument/2006/relationships/hyperlink" Id="rId84" Target="https://ja.wikipedia.org/wiki/%E5%B8%B0%E5%B1%9E_(%E8%91%97%E4%BD%9C%E6%A8%A9)" TargetMode="External" /><Relationship Type="http://schemas.openxmlformats.org/officeDocument/2006/relationships/hyperlink" Id="rId24" Target="https://lists.linuxfoundation.org/mailman/listinfo/openchain-spec" TargetMode="External" /><Relationship Type="http://schemas.openxmlformats.org/officeDocument/2006/relationships/hyperlink" Id="rId83" Target="https://wiki.linuxfoundation.org/openchain/spec-translations" TargetMode="External" /><Relationship Type="http://schemas.openxmlformats.org/officeDocument/2006/relationships/hyperlink" Id="rId25" Target="https://wiki.linuxfoundation.org/openchain/specification-questions-and-answer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1464</Words>
  <Characters>8349</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2020-11-04T05:12:21Z</dcterms:created>
  <dcterms:modified xsi:type="dcterms:W3CDTF">2020-11-04T05:12:21Z</dcterms:modified>
</cp:coreProperties>
</file>

<file path=docProps/custom.xml><?xml version="1.0" encoding="utf-8"?>
<Properties xmlns="http://schemas.openxmlformats.org/officeDocument/2006/custom-properties" xmlns:vt="http://schemas.openxmlformats.org/officeDocument/2006/docPropsVTypes"/>
</file>