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E360" w14:textId="77777777" w:rsidR="00E36B41" w:rsidRDefault="00E36B41">
      <w:pPr>
        <w:jc w:val="center"/>
        <w:rPr>
          <w:rStyle w:val="10"/>
        </w:rPr>
      </w:pPr>
    </w:p>
    <w:p w14:paraId="026698F8" w14:textId="77777777" w:rsidR="00E36B41" w:rsidRDefault="00000000">
      <w:pPr>
        <w:pStyle w:val="TitleTutkielmanotsikko"/>
      </w:pPr>
      <w:r>
        <w:t>Detecting, Measuring, and Mitigating Context Bloat in LLM-Based Agents: A Runtime Auditing Approach</w:t>
      </w:r>
    </w:p>
    <w:p w14:paraId="35071353" w14:textId="77777777" w:rsidR="00E36B41" w:rsidRDefault="00000000">
      <w:pPr>
        <w:jc w:val="center"/>
        <w:rPr>
          <w:rFonts w:ascii="Arial" w:hAnsi="Arial" w:cs="Arial"/>
        </w:rPr>
      </w:pPr>
      <w:r/>
    </w:p>
    <w:p w14:paraId="6B7D1797" w14:textId="77777777" w:rsidR="00E36B41" w:rsidRDefault="00E36B41">
      <w:pPr>
        <w:rPr>
          <w:lang w:val="en-US"/>
        </w:rPr>
      </w:pPr>
    </w:p>
    <w:p w14:paraId="38FEF4CA" w14:textId="77777777" w:rsidR="00E36B41" w:rsidRDefault="00E36B41">
      <w:pPr>
        <w:rPr>
          <w:lang w:val="en-US"/>
        </w:rPr>
      </w:pPr>
    </w:p>
    <w:p w14:paraId="2801C9D1" w14:textId="77777777" w:rsidR="00E36B41" w:rsidRDefault="00E36B41">
      <w:pPr>
        <w:rPr>
          <w:lang w:val="en-US"/>
        </w:rPr>
      </w:pPr>
    </w:p>
    <w:p w14:paraId="67A827FF" w14:textId="77777777" w:rsidR="00E36B41" w:rsidRDefault="00E36B41">
      <w:pPr>
        <w:rPr>
          <w:lang w:val="en-US"/>
        </w:rPr>
      </w:pPr>
    </w:p>
    <w:p w14:paraId="39135002" w14:textId="77777777" w:rsidR="00E36B41" w:rsidRDefault="00E36B41">
      <w:pPr>
        <w:rPr>
          <w:lang w:val="en-US"/>
        </w:rPr>
      </w:pPr>
    </w:p>
    <w:p w14:paraId="34F1258F" w14:textId="77777777" w:rsidR="00E36B41" w:rsidRDefault="00000000">
      <w:pPr>
        <w:jc w:val="right"/>
      </w:pPr>
      <w:r/>
    </w:p>
    <w:p w14:paraId="223AA7B5" w14:textId="77777777" w:rsidR="00E36B41" w:rsidRDefault="00000000">
      <w:pPr>
        <w:jc w:val="right"/>
      </w:pPr>
      <w:r>
        <w:t>Master's thesis</w:t>
      </w:r>
    </w:p>
    <w:p w14:paraId="3F408C8B" w14:textId="77777777" w:rsidR="00E36B41" w:rsidRDefault="00000000">
      <w:pPr>
        <w:jc w:val="right"/>
      </w:pPr>
      <w:r/>
    </w:p>
    <w:p w14:paraId="2A5C7668" w14:textId="77777777" w:rsidR="00E36B41" w:rsidRDefault="00E36B41">
      <w:pPr>
        <w:jc w:val="right"/>
        <w:rPr>
          <w:lang w:val="en-US"/>
        </w:rPr>
      </w:pPr>
    </w:p>
    <w:p w14:paraId="38373951" w14:textId="77777777" w:rsidR="00E36B41" w:rsidRDefault="00E36B41">
      <w:pPr>
        <w:jc w:val="right"/>
        <w:rPr>
          <w:lang w:val="en-US"/>
        </w:rPr>
      </w:pPr>
    </w:p>
    <w:p w14:paraId="399EA17B" w14:textId="77777777" w:rsidR="00E36B41" w:rsidRDefault="00000000">
      <w:pPr>
        <w:jc w:val="right"/>
      </w:pPr>
      <w:r>
        <w:t>Author:</w:t>
      </w:r>
    </w:p>
    <w:p w14:paraId="15A5C959" w14:textId="77777777" w:rsidR="00E36B41" w:rsidRDefault="00000000">
      <w:pPr>
        <w:jc w:val="right"/>
      </w:pPr>
      <w:r>
        <w:t>Guochen Li</w:t>
      </w:r>
    </w:p>
    <w:p w14:paraId="142A10C2" w14:textId="77777777" w:rsidR="00E36B41" w:rsidRDefault="00E36B41">
      <w:pPr>
        <w:jc w:val="right"/>
        <w:rPr>
          <w:lang w:val="en-US"/>
        </w:rPr>
      </w:pPr>
    </w:p>
    <w:p w14:paraId="2CD1A983" w14:textId="77777777" w:rsidR="00E36B41" w:rsidRDefault="00000000">
      <w:pPr>
        <w:jc w:val="right"/>
      </w:pPr>
      <w:r>
        <w:t>Supervisor(s):</w:t>
      </w:r>
    </w:p>
    <w:p w14:paraId="0260C190" w14:textId="77777777" w:rsidR="00E36B41" w:rsidRDefault="00000000">
      <w:pPr>
        <w:jc w:val="right"/>
      </w:pPr>
      <w:r/>
    </w:p>
    <w:p w14:paraId="54EE62EA" w14:textId="77777777" w:rsidR="00E36B41" w:rsidRDefault="00000000">
      <w:pPr>
        <w:jc w:val="right"/>
      </w:pPr>
      <w:r/>
    </w:p>
    <w:p w14:paraId="58558E4A" w14:textId="77777777" w:rsidR="00E36B41" w:rsidRDefault="00E36B41">
      <w:pPr>
        <w:jc w:val="right"/>
        <w:rPr>
          <w:lang w:val="en-US"/>
        </w:rPr>
      </w:pPr>
    </w:p>
    <w:p w14:paraId="65409136" w14:textId="77777777" w:rsidR="00E36B41" w:rsidRDefault="00000000">
      <w:pPr>
        <w:jc w:val="right"/>
      </w:pPr>
      <w:r/>
    </w:p>
    <w:p w14:paraId="790FA6C5" w14:textId="77777777" w:rsidR="00E36B41" w:rsidRDefault="00000000">
      <w:pPr>
        <w:jc w:val="right"/>
      </w:pPr>
      <w:r>
        <w:t>Helsinki</w:t>
      </w:r>
    </w:p>
    <w:p w14:paraId="687DD1D2" w14:textId="77777777" w:rsidR="00E36B41" w:rsidRDefault="00E36B41">
      <w:pPr>
        <w:jc w:val="right"/>
        <w:rPr>
          <w:lang w:val="en-US"/>
        </w:rPr>
      </w:pPr>
    </w:p>
    <w:p w14:paraId="3DE741AD" w14:textId="77777777" w:rsidR="00E36B41" w:rsidRDefault="00E36B41">
      <w:pPr>
        <w:jc w:val="right"/>
        <w:rPr>
          <w:lang w:val="en-US"/>
        </w:rPr>
      </w:pPr>
    </w:p>
    <w:p w14:paraId="6BCF6243" w14:textId="77777777" w:rsidR="00E36B41" w:rsidRDefault="00E36B41">
      <w:pPr>
        <w:jc w:val="right"/>
        <w:rPr>
          <w:lang w:val="en-US"/>
        </w:rPr>
      </w:pPr>
    </w:p>
    <w:p w14:paraId="0DF98B12" w14:textId="77777777" w:rsidR="00E36B41" w:rsidRDefault="00E36B41">
      <w:pPr>
        <w:jc w:val="right"/>
        <w:rPr>
          <w:lang w:val="en-US"/>
        </w:rPr>
      </w:pPr>
    </w:p>
    <w:p w14:paraId="3958E637" w14:textId="77777777" w:rsidR="00E36B41" w:rsidRDefault="00E36B41">
      <w:pPr>
        <w:spacing w:line="240" w:lineRule="auto"/>
      </w:pPr>
    </w:p>
    <w:p w14:paraId="22849A0F" w14:textId="77777777" w:rsidR="00E36B41" w:rsidRDefault="00E36B41">
      <w:pPr>
        <w:spacing w:line="240" w:lineRule="auto"/>
        <w:rPr>
          <w:lang w:val="en-US"/>
        </w:rPr>
      </w:pPr>
    </w:p>
    <w:p w14:paraId="5416EF44" w14:textId="77777777" w:rsidR="00E36B41" w:rsidRDefault="00000000">
      <w:pPr>
        <w:rPr>
          <w:b/>
          <w:lang w:val="en-US"/>
        </w:rPr>
      </w:pPr>
      <w:r>
        <w:rPr>
          <w:b/>
        </w:rPr>
        <w:t xml:space="preserve">Title: </w:t>
      </w:r>
      <w:r>
        <w:t>Detecting, Measuring, and Mitigating Context Bloat in LLM-Based Agents: A Runtime Auditing Approach</w:t>
      </w:r>
    </w:p>
    <w:p w14:paraId="0EE5D7ED" w14:textId="77777777" w:rsidR="00E36B41" w:rsidRDefault="00000000">
      <w:pPr>
        <w:rPr>
          <w:lang w:val="en-US"/>
        </w:rPr>
      </w:pPr>
      <w:r>
        <w:rPr>
          <w:b/>
        </w:rPr>
        <w:t xml:space="preserve">Author: </w:t>
      </w:r>
      <w:r>
        <w:t>Guochen Li</w:t>
      </w:r>
    </w:p>
    <w:p w14:paraId="229958DF" w14:textId="77777777" w:rsidR="00E36B41" w:rsidRDefault="00000000">
      <w:pPr>
        <w:rPr>
          <w:b/>
          <w:lang w:val="en-US"/>
        </w:rPr>
      </w:pPr>
      <w:r>
        <w:rPr>
          <w:b/>
        </w:rPr>
        <w:t xml:space="preserve">Month and year: </w:t>
      </w:r>
      <w:r/>
    </w:p>
    <w:p w14:paraId="6FF31835" w14:textId="77777777" w:rsidR="00E36B41" w:rsidRDefault="00000000">
      <w:pPr>
        <w:rPr>
          <w:b/>
          <w:lang w:val="en-US"/>
        </w:rPr>
      </w:pPr>
      <w:r>
        <w:rPr>
          <w:b/>
        </w:rPr>
        <w:t xml:space="preserve">Number of pages: </w:t>
      </w:r>
      <w:r>
        <w:t>To be updated before final submission</w:t>
      </w:r>
    </w:p>
    <w:p w14:paraId="5BF4A81B" w14:textId="77777777" w:rsidR="00E36B41" w:rsidRDefault="00000000">
      <w:pPr>
        <w:rPr>
          <w:b/>
          <w:lang w:val="en-US"/>
        </w:rPr>
      </w:pPr>
      <w:r>
        <w:rPr>
          <w:b/>
        </w:rPr>
        <w:t xml:space="preserve">Keywords: </w:t>
      </w:r>
      <w:r>
        <w:t>LLM agents, context bloat, runtime auditing, context provenance, retrieval-augmented generation, agent memory, tool use</w:t>
      </w:r>
    </w:p>
    <w:p w14:paraId="53E20194" w14:textId="77777777" w:rsidR="00E36B41" w:rsidRDefault="00000000">
      <w:pPr>
        <w:rPr>
          <w:lang w:val="en-US"/>
        </w:rPr>
      </w:pPr>
      <w:r>
        <w:rPr>
          <w:b/>
        </w:rPr>
        <w:t>Abstract:</w:t>
      </w:r>
    </w:p>
    <w:p w14:paraId="20636894" w14:textId="77777777" w:rsidR="00E36B41" w:rsidRDefault="00E36B41">
      <w:pPr>
        <w:pStyle w:val="Abstract"/>
        <w:spacing w:after="120"/>
        <w:rPr>
          <w:lang w:val="en-US"/>
        </w:rPr>
      </w:pPr>
      <w:r>
        <w:t>LLM-based agents construct model-visible context at runtime from system instructions, user messages, retrieved documents, conversational memory, tool definitions and outputs, and intermediate traces. This process can introduce context bloat: content that is redundant, irrelevant, stale, or unnecessarily verbose for a particular task. This thesis investigates how provenance-aware runtime auditing can detect, measure, localize, and control such content without treating token reduction as evidence of preserved utility.</w:t>
      </w:r>
    </w:p>
    <w:p w14:paraId="20AFB921" w14:textId="77777777" w:rsidR="00E36B41" w:rsidRDefault="00E36B41">
      <w:pPr>
        <w:pStyle w:val="Abstract"/>
        <w:spacing w:after="120"/>
        <w:rPr>
          <w:rFonts w:ascii="Arial" w:hAnsi="Arial" w:cs="Arial"/>
          <w:b/>
          <w:bCs/>
          <w:sz w:val="20"/>
          <w:szCs w:val="20"/>
        </w:rPr>
      </w:pPr>
      <w:r>
        <w:t>The thesis develops a versioned provenance schema and a Python auditing framework that capture the client-side serialized request before each model invocation. The framework records ordered segments, source attribution, token counts, normalized hashes, request-payload hashes, detector outputs, annotations, counterfactual outcomes, and mitigation decisions. Its evidence model separates injected perturbations, heuristic indicators, independent human reference labels, and counterfactual removability.</w:t>
      </w:r>
    </w:p>
    <w:p w14:paraId="105DE5C8" w14:textId="77777777" w:rsidR="00E36B41" w:rsidRDefault="00E36B41">
      <w:pPr>
        <w:pStyle w:val="Abstract"/>
        <w:jc w:val="right"/>
      </w:pPr>
      <w:r>
        <w:t>The empirical design contains three studies. Study A is a controlled perturbation benchmark covering retrieval, memory, and tool workflows through LangChain and Custom ReAct execution paths. It contains 1,188 completed task runs and 1,596 invocation traces. Its perfect agreement with 1,122 injected labels demonstrates pipeline consistency, not real-world detection accuracy. Study B adds 60 held-out public tasks, 120 natural final contexts, and full-overlap double-blind segment annotation. Study C adds paired counterfactual deletion and a budget-matched comparison between provenance-aware mitigation and LLMLingua-2. The Study B and Study C software has passed mock end-to-end validation; paid test execution remains gated by an external protocol registration.</w:t>
      </w:r>
    </w:p>
    <w:p w14:paraId="7D44E55F" w14:textId="77777777" w:rsidR="00E36B41" w:rsidRDefault="00E36B41">
      <w:pPr>
        <w:pStyle w:val="Abstract"/>
        <w:jc w:val="right"/>
        <w:rPr>
          <w:lang w:val="en-US"/>
        </w:rPr>
      </w:pPr>
      <w:r>
        <w:t>In Study A, the mitigation reduced context tokens by 48.85% on average (95% CI [42.67%, 55.31%]). Task success changed by -6.11 percentage points (95% CI [-12.22, -0.56]). Token reduction was therefore established for the controlled fixtures, but task-performance non-inferiority was not established, and the observed evidence was consistent with degradation. Tool output had the highest injected-bloat ratio under the designed fixtures, but this ranking is not generalized to natural agents.</w:t>
      </w:r>
    </w:p>
    <w:p w14:paraId="572064CC" w14:textId="77777777" w:rsidR="00E36B41" w:rsidRDefault="00E36B41">
      <w:pPr>
        <w:pStyle w:val="Abstract"/>
        <w:spacing w:after="200" w:line="276" w:lineRule="auto"/>
      </w:pPr>
      <w:r>
        <w:t>The thesis contributes a provenance-aware auditing framework, a controlled perturbation benchmark, and an independently testable protocol for natural trace validation and utility-aware mitigation. Final claims about external detection accuracy, human agreement, counterfactual removability, and compression baselines depend on the pending registered studies.</w:t>
      </w:r>
    </w:p>
    <w:p w14:paraId="46CB00B0" w14:textId="77777777" w:rsidR="00E36B41" w:rsidRDefault="00E36B41">
      <w:pPr>
        <w:pStyle w:val="Abstract"/>
      </w:pPr>
      <w:r>
        <w:rPr>
          <w:i/>
        </w:rPr>
        <w:t>Draft status: human blind review remains pending.</w:t>
      </w:r>
    </w:p>
    <w:p w14:paraId="74E62864" w14:textId="77777777" w:rsidR="00E36B41" w:rsidRDefault="00E36B41">
      <w:pPr>
        <w:rPr>
          <w:lang w:val="fi-FI"/>
        </w:rPr>
        <w:sectPr w:rsidR="00E36B41">
          <w:headerReference w:type="even" r:id="rId11"/>
          <w:headerReference w:type="first" r:id="rId12"/>
          <w:pgSz w:w="11906" w:h="16838"/>
          <w:pgMar w:top="1984" w:right="1418" w:bottom="1418" w:left="1418" w:header="1984" w:footer="0" w:gutter="0"/>
          <w:pgNumType w:start="1"/>
          <w:cols w:space="720"/>
          <w:formProt w:val="0"/>
          <w:titlePg/>
          <w:docGrid w:linePitch="360" w:charSpace="4096"/>
        </w:sectPr>
      </w:pPr>
    </w:p>
    <w:p>
      <w:pPr>
        <w:pStyle w:val="TOC"/>
      </w:pPr>
      <w:r>
        <w:t>Table of contents</w:t>
      </w:r>
    </w:p>
    <w:p>
      <w:fldSimple w:instr="TOC \o &quot;1-3&quot; \h \z \u">
        <w:r>
          <w:t>The table of contents will update when opened in Microsoft Word.</w:t>
        </w:r>
      </w:fldSimple>
    </w:p>
    <w:p>
      <w:pPr>
        <w:pStyle w:val="BodyText1"/>
        <w:sectPr w:rsidR="00E36B41">
          <w:headerReference w:type="even" r:id="rId14"/>
          <w:headerReference w:type="default" r:id="rId15"/>
          <w:headerReference w:type="first" r:id="rId16"/>
          <w:type w:val="oddPage"/>
          <w:pgSz w:w="11906" w:h="16838"/>
          <w:pgMar w:top="1341" w:right="1134" w:bottom="1418" w:left="1134" w:header="709" w:footer="0" w:gutter="0"/>
          <w:pgNumType w:start="1"/>
          <w:cols w:space="720"/>
          <w:formProt w:val="0"/>
          <w:docGrid w:linePitch="360" w:charSpace="4096"/>
        </w:sectPr>
      </w:pPr>
    </w:p>
    <w:p>
      <w:pPr>
        <w:pStyle w:val="1"/>
      </w:pPr>
      <w:r>
        <w:t>Introduction</w:t>
      </w:r>
    </w:p>
    <w:p>
      <w:pPr>
        <w:pStyle w:val="2"/>
      </w:pPr>
      <w:r>
        <w:t>Background and Motivation</w:t>
      </w:r>
    </w:p>
    <w:p>
      <w:pPr>
        <w:pStyle w:val="BodyText1"/>
      </w:pPr>
      <w:r>
        <w:t xml:space="preserve">Large language models are increasingly used as components of software agents that can retrieve information, call tools, retain memory, and carry out multi-step tasks. Unlike a single-turn language-model application, an agent typically invokes the model repeatedly. Before each invocation, the surrounding software constructs an input from several sources: system instructions, the current user request, conversation history, retrieved passages, stored memory, tool descriptions, tool outputs, and intermediate execution traces. ReAct, for example, interleaves model-generated reasoning and actions with observations returned by an external environment </w:t>
      </w:r>
      <w:r>
        <w:t>[1]</w:t>
      </w:r>
      <w:r>
        <w:t xml:space="preserve">. Retrieval-augmented generation adds documents selected from an external corpus </w:t>
      </w:r>
      <w:r>
        <w:t>[2]</w:t>
      </w:r>
      <w:r>
        <w:t xml:space="preserve">, while memory-oriented architectures retrieve previous observations or reflections to support longer-lived behavior </w:t>
      </w:r>
      <w:r>
        <w:t>[3], [4]</w:t>
      </w:r>
      <w:r>
        <w:t>. These mechanisms make an agent more capable, but they also make the model input a dynamic software artifact rather than a prompt written entirely by the user.</w:t>
      </w:r>
    </w:p>
    <w:p>
      <w:pPr>
        <w:pStyle w:val="BodyText1"/>
      </w:pPr>
      <w:r>
        <w:t xml:space="preserve">This thesis calls that artifact </w:t>
      </w:r>
      <w:r>
        <w:rPr>
          <w:i/>
        </w:rPr>
        <w:t>automatically constructed context</w:t>
      </w:r>
      <w:r>
        <w:t>. More precisely, the term refers to the complete model-visible input assembled by an agent runtime for a particular model invocation. The content may have been written by a developer, entered by a user, generated by an earlier model call, retrieved from storage, or returned by a tool. What matters is that the agent software selects, transforms, orders, and transmits it to the model. This invocation-level perspective is important because neither the user-facing conversation nor an application log necessarily reveals everything that the model received.</w:t>
      </w:r>
    </w:p>
    <w:p>
      <w:pPr>
        <w:pStyle w:val="BodyText1"/>
      </w:pPr>
      <w:r>
        <w:t xml:space="preserve">A larger context window does not remove the need to manage this constructed input. Long-context studies have shown that nominal capacity and effective use are different properties. Liu et al. found that model performance could change substantially with the position of relevant information and was often weaker when the information appeared in the middle of a long input </w:t>
      </w:r>
      <w:r>
        <w:t>[5]</w:t>
      </w:r>
      <w:r>
        <w:t xml:space="preserve">. RULER similarly showed that models that performed well on simple needle-in-a-haystack retrieval could degrade as context length and task complexity increased </w:t>
      </w:r>
      <w:r>
        <w:t>[6]</w:t>
      </w:r>
      <w:r>
        <w:t>. These studies do not examine agent context bloat directly, but they establish a key motivation for this thesis: placing more text inside the context window does not guarantee that the text is useful or that the model will use it robustly.</w:t>
      </w:r>
    </w:p>
    <w:p>
      <w:pPr>
        <w:pStyle w:val="BodyText1"/>
      </w:pPr>
      <w:r>
        <w:t>Agent workflows create several concrete routes by which unnecessary context can accumulate. A retriever may return overlapping passages or documents with low query relevance. A memory component may preserve stale facts or replay the same conversation details across turns. A tool may return verbose structured data when the next model call needs only one field. A multi-step loop may append the same tool observation, framework instruction, or intermediate trace more than once. Individually, such additions can look harmless. Across repeated invocations, however, they can increase input tokens, latency, and cost, while making it harder for developers to understand which source dominates the model's input.</w:t>
      </w:r>
    </w:p>
    <w:p>
      <w:pPr>
        <w:pStyle w:val="BodyText1"/>
      </w:pPr>
      <w:r>
        <w:t xml:space="preserve">The problem is therefore not simply that agent contexts can be long. A long context may be necessary when a task depends on many distinct facts. The problem is </w:t>
      </w:r>
      <w:r>
        <w:rPr>
          <w:i/>
        </w:rPr>
        <w:t>context bloat</w:t>
      </w:r>
      <w:r>
        <w:t>: avoidable model-visible content that is duplicated, irrelevant to the current task, stale, or more verbose than the task requires. This distinction makes context bloat a provenance and measurement problem as well as a compression problem. Before content can be removed safely, a developer needs to know what entered the context, where it came from, how much it contributed, and why it was classified as unnecessary.</w:t>
      </w:r>
    </w:p>
    <w:p>
      <w:pPr>
        <w:pStyle w:val="BodyText1"/>
      </w:pPr>
      <w:r>
        <w:t xml:space="preserve">General agent observability provides part of this foundation. Agent tracing can record model calls, tool calls, state changes, and execution paths, and recent AgentOps work has argued for observability across the lifecycle of LLM agents </w:t>
      </w:r>
      <w:r>
        <w:t>[7]</w:t>
      </w:r>
      <w:r>
        <w:t>. Yet a conventional execution trace does not by itself provide a source-level account of the exact text visible to the model, nor does it quantify redundancy and bloat within that text. This thesis narrows the observability problem to the model-call boundary and uses runtime auditing to turn automatically constructed context into an analyzable and reproducible artifact.</w:t>
      </w:r>
    </w:p>
    <w:p>
      <w:pPr>
        <w:pStyle w:val="BodyText1"/>
      </w:pPr>
      <w:r>
        <w:t>Figure 1.1 summarizes the thesis's complete problem-and-solution structure. Retrieval, memory, tool outputs, and interaction history contribute to the model-visible context; runtime auditing exposes avoidable bloat; and source-aware control is evaluated jointly for efficiency and task utility.</w:t>
      </w:r>
    </w:p>
    <w:p>
      <w:pPr>
        <w:keepNext/>
        <w:jc w:val="center"/>
      </w:pPr>
      <w:r>
        <w:drawing>
          <wp:inline xmlns:a="http://schemas.openxmlformats.org/drawingml/2006/main" xmlns:pic="http://schemas.openxmlformats.org/drawingml/2006/picture">
            <wp:extent cx="5897880" cy="3352479"/>
            <wp:docPr id="1" name="Picture 1" descr="Retrieval, memory, tool outputs, and history feed model-visible context. Runtime auditing captures, attributes, detects, localizes, and measures bloat before source-aware mitigation is evaluated for efficiency and task utility."/>
            <wp:cNvGraphicFramePr>
              <a:graphicFrameLocks noChangeAspect="1"/>
            </wp:cNvGraphicFramePr>
            <a:graphic>
              <a:graphicData uri="http://schemas.openxmlformats.org/drawingml/2006/picture">
                <pic:pic>
                  <pic:nvPicPr>
                    <pic:cNvPr id="0" name="figure_1_1_research_overview.png"/>
                    <pic:cNvPicPr/>
                  </pic:nvPicPr>
                  <pic:blipFill>
                    <a:blip r:embed="rId29"/>
                    <a:stretch>
                      <a:fillRect/>
                    </a:stretch>
                  </pic:blipFill>
                  <pic:spPr>
                    <a:xfrm>
                      <a:off x="0" y="0"/>
                      <a:ext cx="5897880" cy="3352479"/>
                    </a:xfrm>
                    <a:prstGeom prst="rect"/>
                  </pic:spPr>
                </pic:pic>
              </a:graphicData>
            </a:graphic>
          </wp:inline>
        </w:drawing>
      </w:r>
    </w:p>
    <w:p>
      <w:pPr>
        <w:pStyle w:val="Figurecaptiontext"/>
        <w:jc w:val="left"/>
      </w:pPr>
      <w:r>
        <w:t>Figure 1.1. Research overview linking automatically constructed context, context bloat, runtime auditing, source-aware control, and the four research questions.</w:t>
      </w:r>
    </w:p>
    <w:p>
      <w:pPr>
        <w:pStyle w:val="2"/>
      </w:pPr>
      <w:r>
        <w:t>Research Problem and Objectives</w:t>
      </w:r>
    </w:p>
    <w:p>
      <w:pPr>
        <w:pStyle w:val="BodyText1"/>
      </w:pPr>
      <w:r>
        <w:t>The central research problem is how to detect, localize, measure, and mitigate context bloat in LLM-based agents. The challenge has four parts. First, bloat is distributed across heterogeneous sources. The same invocation can contain retrieved passages, memory entries, tool results, framework instructions, and model-generated traces, each with different structure and provenance. Second, bloat is relational. A segment may be useful in one task but irrelevant in another, and a passage may be acceptable once but redundant when repeated. Third, raw token counts reveal size but not necessity. Measuring bloat requires distinguishing total context from the part judged avoidable under an explicit criterion. Fourth, mitigation introduces a utility risk: reducing tokens is not valuable if the removed content causes the agent to fail.</w:t>
      </w:r>
    </w:p>
    <w:p>
      <w:pPr>
        <w:pStyle w:val="BodyText1"/>
      </w:pPr>
      <w:r>
        <w:t>This thesis addresses the problem through a runtime auditing approach. The auditor captures the client-side serialized request immediately before each model invocation, divides its model-visible content into ordered segments, and labels each segment by source. It records character and token counts, raw and normalized content hashes, provider-request hashes, and invocation-level metrics. Injected labels, detected labels, human annotations, and counterfactual outcomes occupy separate fields so that one evidence type cannot silently substitute for another. Because the trace preserves the relationship between a flag and its originating segment, a detected problem can be localized to retrieval, memory, tool output, framework content, or another source rather than reported only as an aggregate token increase.</w:t>
      </w:r>
    </w:p>
    <w:p>
      <w:pPr>
        <w:pStyle w:val="BodyText1"/>
      </w:pPr>
      <w:r>
        <w:t>Study A operationalizes context bloat using patterns that can be introduced and verified reproducibly: exact duplicates, near duplicates, low-query-relevance content, verbose tool output, and combinations across sources. These injected labels check implementation consistency but are not an independent gold standard. Study B therefore constructs contexts without bloat metadata and uses blind human judgements as its reference. Study C adds a behavioral criterion by testing whether removing a candidate preserves task utility.</w:t>
      </w:r>
    </w:p>
    <w:p>
      <w:pPr>
        <w:pStyle w:val="BodyText1"/>
      </w:pPr>
      <w:r>
        <w:t>The empirical evaluation separates three kinds of evidence. Study A is a controlled perturbation benchmark. It determines whether the trace, labeling, metric, and reporting pipeline behaves consistently when the injected pattern is known. Study B uses natural agent traces and independent human annotations to test whether the heuristic signals transfer beyond the rules that generated the controlled fixtures. Study C then removes individual candidate segments and compares a provenance-aware mitigation with an equal-budget prompt compression baseline. This separation prevents an injected label from being used as if it were an independent reference standard.</w:t>
      </w:r>
    </w:p>
    <w:p>
      <w:pPr>
        <w:pStyle w:val="BodyText1"/>
      </w:pPr>
      <w:r>
        <w:t>The scope is deliberately narrower than a general-purpose safety or optimization system. The thesis does not attempt to identify every form of harmful prompt content, protect against all prompt-injection attacks, maximize model accuracy, or design an optimal compression algorithm. Runtime tracing and provenance are the research instruments; context bloat is the main phenomenon. Mitigation is evaluated as a bounded case study after detection and measurement have been established.</w:t>
      </w:r>
    </w:p>
    <w:p>
      <w:pPr>
        <w:pStyle w:val="2"/>
      </w:pPr>
      <w:r>
        <w:t>Research Questions</w:t>
      </w:r>
    </w:p>
    <w:p>
      <w:pPr>
        <w:pStyle w:val="BodyText1"/>
      </w:pPr>
      <w:r>
        <w:t>The investigation is organized around four research questions.</w:t>
      </w:r>
    </w:p>
    <w:p>
      <w:pPr>
        <w:pStyle w:val="BodyText1"/>
      </w:pPr>
      <w:r>
        <w:rPr>
          <w:b/>
        </w:rPr>
        <w:t>RQ1: How accurately can provenance-aware heuristic signals detect and localize independently annotated context bloat in natural LLM-agent traces?</w:t>
      </w:r>
    </w:p>
    <w:p>
      <w:pPr>
        <w:pStyle w:val="BodyText1"/>
      </w:pPr>
      <w:r>
        <w:t>RQ1 concerns both classification and location. Each heuristic signal must map to a specific model-visible segment. Its primary reference is the adjudicated judgement of two annotators who do not see framework identity, provenance labels, detector output, or model answer. Study A remains a software consistency check; external accuracy is estimated only from Study B.</w:t>
      </w:r>
    </w:p>
    <w:p>
      <w:pPr>
        <w:pStyle w:val="BodyText1"/>
      </w:pPr>
      <w:r>
        <w:rPr>
          <w:b/>
        </w:rPr>
        <w:t>RQ2: To what extent do automated context-bloat measures agree with independent human judgements and counterfactual removability?</w:t>
      </w:r>
    </w:p>
    <w:p>
      <w:pPr>
        <w:pStyle w:val="BodyText1"/>
      </w:pPr>
      <w:r>
        <w:t>RQ2 examines whether the detected token ratio is calibrated to a human-reference bloat ratio and whether a segment judged removable can in fact be deleted without lowering task performance. Agreement is reported using correlation, absolute error, calibration, and Bland-Altman bias. The counterfactual test is deliberately stricter than a label: deletion must preserve performance in both frozen repetitions.</w:t>
      </w:r>
    </w:p>
    <w:p>
      <w:pPr>
        <w:pStyle w:val="BodyText1"/>
      </w:pPr>
      <w:r>
        <w:rPr>
          <w:b/>
        </w:rPr>
        <w:t>RQ3: What bloat sources and patterns are observed across retrieval, memory, and tool workflows under controlled and naturalistic conditions?</w:t>
      </w:r>
    </w:p>
    <w:p>
      <w:pPr>
        <w:pStyle w:val="BodyText1"/>
      </w:pPr>
      <w:r>
        <w:t>RQ3 keeps injected and observed patterns separate. The controlled study shows how predefined perturbations appear in the metrics. The natural-trace study reports source-specific human-reference ratios, confidence intervals, and effect sizes. A source ranking is therefore scoped to the sampled tasks and execution design rather than presented as a universal property of agents.</w:t>
      </w:r>
    </w:p>
    <w:p>
      <w:pPr>
        <w:pStyle w:val="BodyText1"/>
      </w:pPr>
      <w:r>
        <w:rPr>
          <w:b/>
        </w:rPr>
        <w:t>RQ4: What token and cost savings, and what task-performance trade-offs, arise from provenance-aware mitigation compared with prompt compression?</w:t>
      </w:r>
    </w:p>
    <w:p>
      <w:pPr>
        <w:pStyle w:val="BodyText1"/>
      </w:pPr>
      <w:r>
        <w:t>RQ4 compares unmodified requests, provenance-aware mitigation, and LLMLingua-2 under the same retained-token budget. It reports token, cost, latency, and task-success differences separately. A -5 percentage-point non-inferiority margin means that the intervention may add at most one failure per twenty tasks; -2 and -10 percentage-point margins are included as sensitivity analyses. Token reduction is not interpreted as utility-preserving mitigation unless the human-scored task outcome supports that claim.</w:t>
      </w:r>
    </w:p>
    <w:p>
      <w:pPr>
        <w:pStyle w:val="2"/>
      </w:pPr>
      <w:r>
        <w:t>Contributions and Thesis Structure</w:t>
      </w:r>
    </w:p>
    <w:p>
      <w:pPr>
        <w:pStyle w:val="BodyText1"/>
      </w:pPr>
      <w:r>
        <w:t>The thesis is designed to make four linked contributions.</w:t>
      </w:r>
    </w:p>
    <w:p>
      <w:pPr>
        <w:pStyle w:val="BodyText1"/>
      </w:pPr>
      <w:r>
        <w:t>First, it presents an operational taxonomy and an evidence model for context bloat. The taxonomy distinguishes exact and near duplication, low-relevance or stale material, verbose tool output, and cross-source accumulation. The evidence model further distinguishes an injected perturbation, a heuristic indicator, a human reference label, and a counterfactually removable segment. These terms are not interchangeable.</w:t>
      </w:r>
    </w:p>
    <w:p>
      <w:pPr>
        <w:pStyle w:val="BodyText1"/>
      </w:pPr>
      <w:r>
        <w:t>Second, it defines a provenance-aware model of the client-side serialized request. The model represents messages, additional system instructions, tool definitions, generation parameters, and response formats for a particular invocation. Source-labeled segments support token attribution and normalized content identity, while paired framework-capture and provider-payload hashes make boundary mismatches explicit. This is a claim about the request sent by the client, not unobservable transformations inside the provider.</w:t>
      </w:r>
    </w:p>
    <w:p>
      <w:pPr>
        <w:pStyle w:val="BodyText1"/>
      </w:pPr>
      <w:r>
        <w:t>Third, it implements the model as a Python runtime auditing toolkit and a reproducible validation pipeline. The toolkit captures requests from LangChain and Custom ReAct execution paths, writes schema-versioned JSONL traces, rejects injected labels in external-validation runs, exports condition-blind annotation packages, enforces a shared provider-call budget, and associates every run with an immutable manifest and output hashes.</w:t>
      </w:r>
    </w:p>
    <w:p>
      <w:pPr>
        <w:pStyle w:val="BodyText1"/>
      </w:pPr>
      <w:r>
        <w:t>Fourth, it combines a controlled perturbation benchmark with an independently annotated natural-trace study and a utility-aware mitigation study. Study A contains 1,596 invocations and 1,188 completed task runs. Its perfect rule-matching scores demonstrate internal consistency only. The original source-aware mitigation reduced context tokens by 48.85% on average (95% CI [42.67%, 55.31%]), but task success changed by -6.11 percentage points (95% CI [-12.22, -0.56]). This is evidence of performance-degradation risk, not merely an inconclusive positive result. Studies B and C were introduced specifically to test the detector against independent labels and to compare mitigation with a prompt-compression baseline. Their numerical results are inserted only after the frozen held-out runs and adjudication are complete.</w:t>
      </w:r>
    </w:p>
    <w:p>
      <w:pPr>
        <w:pStyle w:val="BodyText1"/>
      </w:pPr>
      <w:r>
        <w:t>The remainder of the thesis is organized as follows. Chapter 2 reviews agent context construction, long-context limitations, context management, observability, and related mitigation work. Chapter 3 defines the bloat and evidence models, metrics, and auditing architecture. Chapter 4 presents Studies A, B, and C, including annotation, counterfactual, and statistical procedures. Chapter 5 reports controlled and independent evidence for RQ1-RQ3. Chapter 6 evaluates mitigation, answers RQ4, and discusses engineering implications and limitations. Chapter 7 consolidates the answers within their stated evidence boundaries.</w:t>
      </w:r>
    </w:p>
    <w:p>
      <w:pPr>
        <w:pStyle w:val="1"/>
      </w:pPr>
      <w:r>
        <w:t>Background and Related Work</w:t>
      </w:r>
    </w:p>
    <w:p>
      <w:pPr>
        <w:pStyle w:val="2"/>
      </w:pPr>
      <w:r>
        <w:t>Context Construction in LLM-Based Agents</w:t>
      </w:r>
    </w:p>
    <w:p>
      <w:pPr>
        <w:pStyle w:val="BodyText1"/>
      </w:pPr>
      <w:r>
        <w:t>An LLM-based agent combines a language model with an execution loop and external capabilities. The model is asked not only to produce a final answer, but also to select actions, interpret observations, update state, or decide what information should be obtained next. The surrounding application turns these decisions into model calls, retrieval requests, memory operations, and tool invocations. As a result, an agent's effective input is produced jointly by the model, the framework, and the environment.</w:t>
      </w:r>
    </w:p>
    <w:p>
      <w:pPr>
        <w:pStyle w:val="BodyText1"/>
      </w:pPr>
      <w:r>
        <w:t xml:space="preserve">ReAct is a representative example of this interaction pattern. It interleaves reasoning traces with task-specific actions and adds observations from external sources back into the trajectory </w:t>
      </w:r>
      <w:r>
        <w:t>[1]</w:t>
      </w:r>
      <w:r>
        <w:t xml:space="preserve">. This design supports planning and exception handling because a later model call can inspect earlier actions and observations. From the perspective of context construction, however, every step can also enlarge the next input. If an agent retains the full trajectory, the model may repeatedly receive instructions, past reasoning, action records, and tool results. Toolformer illustrates a related but different form of tool use: a model learns when to call an API, how to provide its arguments, and how to incorporate its result into subsequent token prediction </w:t>
      </w:r>
      <w:r>
        <w:t>[8]</w:t>
      </w:r>
      <w:r>
        <w:t>. Both approaches demonstrate why tool outputs are not merely external side effects. They become textual evidence that can influence later model behavior and therefore belong to the model-visible context.</w:t>
      </w:r>
    </w:p>
    <w:p>
      <w:pPr>
        <w:pStyle w:val="BodyText1"/>
      </w:pPr>
      <w:r>
        <w:t xml:space="preserve">Retrieval-augmented generation introduces another major context source. The original RAG formulation combines a parametric generator with documents retrieved from a non-parametric memory </w:t>
      </w:r>
      <w:r>
        <w:t>[2]</w:t>
      </w:r>
      <w:r>
        <w:t>. Retrieval makes external knowledge easier to update and can provide provenance for generated answers, but it also requires a selection decision: which passages, how many, and in what order should be included in the model input? A fixed top-</w:t>
      </w:r>
      <w:r>
        <w:rPr>
          <w:i/>
        </w:rPr>
        <w:t>k</w:t>
      </w:r>
      <w:r>
        <w:t xml:space="preserve"> policy may return overlapping passages, and a retrieved document can be topically related without containing information needed for the current question. Retrieval therefore creates both useful context and a possible mechanism for redundant or low-relevance context.</w:t>
      </w:r>
    </w:p>
    <w:p>
      <w:pPr>
        <w:pStyle w:val="BodyText1"/>
      </w:pPr>
      <w:r>
        <w:t xml:space="preserve">Agent memory extends construction across time. Generative Agents stores observations in a memory stream and retrieves records based on recency, importance, and relevance; it also generates higher-level reflections that can guide future behavior </w:t>
      </w:r>
      <w:r>
        <w:t>[3]</w:t>
      </w:r>
      <w:r>
        <w:t xml:space="preserve">. Reflexion stores linguistic feedback in an episodic memory buffer so that later trials can use earlier failures and reflections without changing the model weights </w:t>
      </w:r>
      <w:r>
        <w:t>[4]</w:t>
      </w:r>
      <w:r>
        <w:t>. These designs show that memory is not simply conversation history. It may include selected events, summaries, reflections, task outcomes, or other state derived from previous interactions. The selection policy determines whether the next invocation receives timely evidence or stale and repeated material.</w:t>
      </w:r>
    </w:p>
    <w:p>
      <w:pPr>
        <w:pStyle w:val="BodyText1"/>
      </w:pPr>
      <w:r>
        <w:t>Conversation history is a simpler form of memory but presents the same construction problem. A chat-oriented agent may append every earlier message, retain a sliding window, or insert a summary together with selected recent turns. Full history preserves detail but grows with the conversation. A summary reduces size but may omit information, become stale, or overlap with raw turns that are also retained. In either case, the runtime decides what is visible to the model.</w:t>
      </w:r>
    </w:p>
    <w:p>
      <w:pPr>
        <w:pStyle w:val="BodyText1"/>
      </w:pPr>
      <w:r>
        <w:t>Framework-generated content forms a less visible source. Agent frameworks may insert tool schemas, role instructions, formatting constraints, planning prompts, error messages, or intermediate message wrappers. Some of this content is stable across invocations; other parts are generated in response to the current state. The user may never see it, and an application log may record only the user request and final answer. This is why the unit of analysis in this thesis is the complete input immediately before a model call rather than the user-facing transcript.</w:t>
      </w:r>
    </w:p>
    <w:p>
      <w:pPr>
        <w:pStyle w:val="BodyText1"/>
      </w:pPr>
      <w:r>
        <w:t>These sources can be represented as a sequence</w:t>
      </w:r>
    </w:p>
    <w:p>
      <w:pPr>
        <w:spacing w:before="120" w:after="160"/>
        <w:jc w:val="center"/>
      </w:pPr>
      <w:r>
        <w:rPr>
          <w:rFonts w:ascii="Cambria Math" w:hAnsi="Cambria Math"/>
          <w:i/>
          <w:sz w:val="22"/>
        </w:rPr>
        <w:t>C_i = S_i || U_i || F_i || R_i || M_i || T_i || G_i,</w:t>
      </w:r>
    </w:p>
    <w:p>
      <w:pPr>
        <w:pStyle w:val="BodyText1"/>
      </w:pPr>
      <w:r>
        <w:t xml:space="preserve">where </w:t>
      </w:r>
      <w:r>
        <w:rPr>
          <w:rFonts w:ascii="Cambria Math" w:hAnsi="Cambria Math"/>
          <w:i/>
        </w:rPr>
        <w:t>C_i</w:t>
      </w:r>
      <w:r>
        <w:t xml:space="preserve"> is the context of invocation </w:t>
      </w:r>
      <w:r>
        <w:rPr>
          <w:rFonts w:ascii="Cambria Math" w:hAnsi="Cambria Math"/>
          <w:i/>
        </w:rPr>
        <w:t>i</w:t>
      </w:r>
      <w:r>
        <w:t xml:space="preserve"> and the components denote system, user, framework, retrieval, memory, tool, and generated-trace content. The notation does not require every framework to concatenate literal strings in this order. It states that the serialized model input can be decomposed into ordered segments with provenance. This decomposition is the conceptual bridge between agent architecture and context auditing.</w:t>
      </w:r>
    </w:p>
    <w:p>
      <w:pPr>
        <w:pStyle w:val="2"/>
      </w:pPr>
      <w:r>
        <w:t>Context Bloat and Context Management</w:t>
      </w:r>
    </w:p>
    <w:p>
      <w:pPr>
        <w:pStyle w:val="BodyText1"/>
      </w:pPr>
      <w:r>
        <w:t xml:space="preserve">Long-context capability is commonly described through the maximum number of tokens a model can accept. That limit is an important deployment constraint, but it does not measure how effectively the model uses the input. LongBench evaluates long-context understanding across tasks such as question answering, summarization, few-shot learning, synthetic reasoning, and code </w:t>
      </w:r>
      <w:r>
        <w:t>[9]</w:t>
      </w:r>
      <w:r>
        <w:t xml:space="preserve">. Lost in the Middle focuses more specifically on the position of relevant information and shows that performance can deteriorate when evidence is placed away from the beginning or end of the context </w:t>
      </w:r>
      <w:r>
        <w:t>[5]</w:t>
      </w:r>
      <w:r>
        <w:t xml:space="preserve">. RULER extends simple retrieval tests with multiple needles, multi-hop tracing, and aggregation; its results show that usable context can be substantially smaller than an advertised context window as length and complexity increase </w:t>
      </w:r>
      <w:r>
        <w:t>[6]</w:t>
      </w:r>
      <w:r>
        <w:t>.</w:t>
      </w:r>
    </w:p>
    <w:p>
      <w:pPr>
        <w:pStyle w:val="BodyText1"/>
      </w:pPr>
      <w:r>
        <w:t>These findings motivate context management but should not be conflated with context bloat. A difficult long-context task can contain no unnecessary information, while a short prompt can contain duplicated or irrelevant segments. This thesis treats bloat as a property of the relationship between content, source, invocation, and task. Context is bloated when a defined part is avoidable under the study's criterion, not merely when the total token count is high.</w:t>
      </w:r>
    </w:p>
    <w:p>
      <w:pPr>
        <w:pStyle w:val="BodyText1"/>
      </w:pPr>
      <w:r>
        <w:t xml:space="preserve">Retrieval evaluation provides useful concepts for this distinction. RAGAS separates properties such as the relevance and focus of retrieved context from the faithfulness and quality of the generated answer </w:t>
      </w:r>
      <w:r>
        <w:t>[10]</w:t>
      </w:r>
      <w:r>
        <w:t xml:space="preserve">. Self-RAG argues that indiscriminately retrieving a fixed number of passages can reduce quality and instead learns to retrieve and critique passages on demand </w:t>
      </w:r>
      <w:r>
        <w:t>[11]</w:t>
      </w:r>
      <w:r>
        <w:t>. Both approaches recognize that retrieval quantity and retrieval utility are not equivalent. In the present thesis, low-query-relevance retrieval is one controlled bloat pattern, while source provenance makes it possible to measure its contribution separately from memory or tool output.</w:t>
      </w:r>
    </w:p>
    <w:p>
      <w:pPr>
        <w:pStyle w:val="BodyText1"/>
      </w:pPr>
      <w:r>
        <w:t xml:space="preserve">Several lines of work reduce context before inference. RECOMP trains compressors for retrieved documents and supports selective augmentation, including the option to provide no retrieved context when it is not useful </w:t>
      </w:r>
      <w:r>
        <w:t>[12]</w:t>
      </w:r>
      <w:r>
        <w:t xml:space="preserve">. Selective Context removes less informative lexical units using self-information as a proxy </w:t>
      </w:r>
      <w:r>
        <w:t>[13]</w:t>
      </w:r>
      <w:r>
        <w:t xml:space="preserve">. LLMLingua uses a smaller language model to identify and compress less important prompt content under a token budget </w:t>
      </w:r>
      <w:r>
        <w:t>[14]</w:t>
      </w:r>
      <w:r>
        <w:t xml:space="preserve">, while LongLLMLingua adapts prompt compression to long-context settings and accounts for document relevance and the position of retained information </w:t>
      </w:r>
      <w:r>
        <w:t>[15]</w:t>
      </w:r>
      <w:r>
        <w:t xml:space="preserve">. Jha et al. compare prompt-compression families and show that extractive selection, summarization, and token-level pruning have different quality and efficiency trade-offs </w:t>
      </w:r>
      <w:r>
        <w:t>[16]</w:t>
      </w:r>
      <w:r>
        <w:t>.</w:t>
      </w:r>
    </w:p>
    <w:p>
      <w:pPr>
        <w:pStyle w:val="BodyText1"/>
      </w:pPr>
      <w:r>
        <w:t xml:space="preserve">LLMLingua-2 replaces the earlier coarse-to-fine pipeline with a data-distilled token-classification approach and reports gains in compression speed and task transfer </w:t>
      </w:r>
      <w:r>
        <w:t>[17]</w:t>
      </w:r>
      <w:r>
        <w:t xml:space="preserve">. It provides a relevant baseline for this thesis because it compresses prompts without requiring the provenance-specific rules used by the proposed mitigation. Compression quality also depends on information preservation: evaluation should examine whether a shortened request retains task-relevant information rather than treating compression rate as a sufficient outcome </w:t>
      </w:r>
      <w:r>
        <w:t>[18]</w:t>
      </w:r>
      <w:r>
        <w:t>. This motivates the token-budget-matched and utility-aware comparison in Study C.</w:t>
      </w:r>
    </w:p>
    <w:p>
      <w:pPr>
        <w:pStyle w:val="BodyText1"/>
      </w:pPr>
      <w:r>
        <w:t>This compression literature is closely related to mitigation, but its objective is not identical to runtime auditing. Compression methods generally start with a prompt or retrieved context and produce a shorter representation. They may optimize a token budget without identifying which agent subsystem introduced the content or how the same material accumulated across invocations. Conversely, a provenance auditor can localize and measure bloat without having a strong compressor. The two approaches are complementary: auditing establishes what should be examined and how an intervention is evaluated, while compression or filtering supplies a possible intervention.</w:t>
      </w:r>
    </w:p>
    <w:p>
      <w:pPr>
        <w:pStyle w:val="BodyText1"/>
      </w:pPr>
      <w:r>
        <w:t xml:space="preserve">The distinction also affects evaluation. A compression ratio by itself cannot show that an intervention was beneficial. A method could remove half of the tokens by deleting the only passage that contains the answer. For this reason, RECOMP, LLMLingua, LongLLMLingua, and Selective Context evaluate downstream quality in addition to reduction </w:t>
      </w:r>
      <w:r>
        <w:t>[12], [14], [15], [13]</w:t>
      </w:r>
      <w:r>
        <w:t>. The present study adopts the same general principle. Study A evaluates a deliberately conservative mitigation retrospectively, while the externally registered Study C protocol specifies a -5 percentage-point non-inferiority margin and -2/-5/-10 percentage-point sensitivity analyses for task success.</w:t>
      </w:r>
    </w:p>
    <w:p>
      <w:pPr>
        <w:pStyle w:val="BodyText1"/>
      </w:pPr>
      <w:r>
        <w:t>Context management in agents adds a temporal dimension that prompt compression does not always address. A segment can be locally useful yet become redundant when copied into every later invocation. A memory may be accurate but stale relative to the current user request. A verbose tool result may contain useful fields mixed with repeated metadata. These cases motivate invocation-level metrics for exact redundancy, near redundancy, context growth, source contribution, and source-specific bloat.</w:t>
      </w:r>
    </w:p>
    <w:p>
      <w:pPr>
        <w:pStyle w:val="2"/>
      </w:pPr>
      <w:r>
        <w:t>Agent Observability and Runtime Auditing</w:t>
      </w:r>
    </w:p>
    <w:p>
      <w:pPr>
        <w:pStyle w:val="BodyText1"/>
      </w:pPr>
      <w:r>
        <w:t xml:space="preserve">Observability makes the internal behavior of an agent inspectable through traces, metrics, and structured events. In a conventional distributed system, observability often centers on requests, services, latency, errors, and resource consumption. LLM agents add semantic artifacts: prompts, messages, model responses, retrieval results, tool calls, memory state, and evaluation scores. AgentOps describes an observability lifecycle for agent development and operation, emphasizing monitoring and analysis of agent behavior </w:t>
      </w:r>
      <w:r>
        <w:t>[7]</w:t>
      </w:r>
      <w:r>
        <w:t xml:space="preserve">. AgentScope similarly provides a framework for building and monitoring multi-agent applications and illustrates how message handling and execution infrastructure become part of agent engineering </w:t>
      </w:r>
      <w:r>
        <w:t>[19]</w:t>
      </w:r>
      <w:r>
        <w:t>.</w:t>
      </w:r>
    </w:p>
    <w:p>
      <w:pPr>
        <w:pStyle w:val="BodyText1"/>
      </w:pPr>
      <w:r>
        <w:t xml:space="preserve">Production-oriented open-source tools reinforce this engineering direction. AgentFootprint focuses on tracking context injected into model calls, which is close to the invocation-boundary instrumentation used here </w:t>
      </w:r>
      <w:r>
        <w:t>[20]</w:t>
      </w:r>
      <w:r>
        <w:t xml:space="preserve">. Opik supports tracing, evaluation, and monitoring for LLM applications, RAG systems, and agents </w:t>
      </w:r>
      <w:r>
        <w:t>[21]</w:t>
      </w:r>
      <w:r>
        <w:t xml:space="preserve">. RagaAI Catalyst presents agent and tool execution through timelines and execution traces </w:t>
      </w:r>
      <w:r>
        <w:t>[22]</w:t>
      </w:r>
      <w:r>
        <w:t>. These systems are useful implementation references because they demonstrate practical concerns such as trace identifiers, spans, framework integrations, evaluation records, and visual debugging. Their purpose, however, is broader than the specific measurement of context bloat.</w:t>
      </w:r>
    </w:p>
    <w:p>
      <w:pPr>
        <w:pStyle w:val="BodyText1"/>
      </w:pPr>
      <w:r>
        <w:t xml:space="preserve">OpenTelemetry's semantic conventions for generative AI systems provide a standard vocabulary for model, request, response, usage, and agent-operation telemetry </w:t>
      </w:r>
      <w:r>
        <w:t>[23]</w:t>
      </w:r>
      <w:r>
        <w:t>. These conventions improve interoperability, but they do not define segment-level bloat evidence or counterfactual necessity. The schema in this thesis therefore complements general telemetry with ordered source segments, evidence provenance, and mitigation decisions.</w:t>
      </w:r>
    </w:p>
    <w:p>
      <w:pPr>
        <w:pStyle w:val="BodyText1"/>
      </w:pPr>
      <w:r>
        <w:t xml:space="preserve">Two smaller projects illustrate adjacent boundaries. Cordum connects audit trails with pre-execution policies and approval gates </w:t>
      </w:r>
      <w:r>
        <w:t>[24]</w:t>
      </w:r>
      <w:r>
        <w:t xml:space="preserve">, whereas MCP Token Auditor focuses more narrowly on context-window use and token attribution for tool interfaces </w:t>
      </w:r>
      <w:r>
        <w:t>[25]</w:t>
      </w:r>
      <w:r>
        <w:t>. They are engineering references rather than empirical baselines, but they help distinguish observing context, attributing its cost, and controlling agent behavior.</w:t>
      </w:r>
    </w:p>
    <w:p>
      <w:pPr>
        <w:pStyle w:val="BodyText1"/>
      </w:pPr>
      <w:r>
        <w:t xml:space="preserve">The term </w:t>
      </w:r>
      <w:r>
        <w:rPr>
          <w:i/>
        </w:rPr>
        <w:t>auditing</w:t>
      </w:r>
      <w:r>
        <w:t xml:space="preserve"> is used in this thesis to indicate a more constrained form of observability. A runtime audit record must answer five questions for each model invocation:</w:t>
      </w:r>
    </w:p>
    <w:p>
      <w:pPr>
        <w:pStyle w:val="afc"/>
        <w:numPr>
          <w:ilvl w:val="0"/>
          <w:numId w:val="1"/>
        </w:numPr>
      </w:pPr>
      <w:r>
        <w:t>What exact messages and segments were visible to the model?</w:t>
      </w:r>
    </w:p>
    <w:p>
      <w:pPr>
        <w:pStyle w:val="afc"/>
        <w:numPr>
          <w:ilvl w:val="0"/>
          <w:numId w:val="1"/>
        </w:numPr>
      </w:pPr>
      <w:r>
        <w:t>Which source produced each segment?</w:t>
      </w:r>
    </w:p>
    <w:p>
      <w:pPr>
        <w:pStyle w:val="afc"/>
        <w:numPr>
          <w:ilvl w:val="0"/>
          <w:numId w:val="1"/>
        </w:numPr>
      </w:pPr>
      <w:r>
        <w:t>How large was each segment and the complete context?</w:t>
      </w:r>
    </w:p>
    <w:p>
      <w:pPr>
        <w:pStyle w:val="afc"/>
        <w:numPr>
          <w:ilvl w:val="0"/>
          <w:numId w:val="1"/>
        </w:numPr>
      </w:pPr>
      <w:r>
        <w:t>Which injected label, heuristic indicator, human annotation, or</w:t>
      </w:r>
    </w:p>
    <w:p>
      <w:pPr>
        <w:pStyle w:val="BodyText1"/>
      </w:pPr>
      <w:r>
        <w:t>counterfactual outcome applied, and where?</w:t>
      </w:r>
    </w:p>
    <w:p>
      <w:pPr>
        <w:pStyle w:val="afc"/>
        <w:numPr>
          <w:ilvl w:val="0"/>
          <w:numId w:val="1"/>
        </w:numPr>
      </w:pPr>
      <w:r>
        <w:t>Which code, configuration, dataset, model, and seed produced the record?</w:t>
      </w:r>
    </w:p>
    <w:p>
      <w:pPr>
        <w:pStyle w:val="BodyText1"/>
      </w:pPr>
      <w:r>
        <w:t>This definition links content provenance to experimental reproducibility. Capturing a prompt string without a source label is insufficient for localization. Recording source labels without the final serialized messages can miss transformations performed by a framework. Reporting aggregate token usage without invocation identifiers cannot reconstruct growth across a multi-step workflow. A useful audit trace therefore needs both semantic content structure and engineering provenance.</w:t>
      </w:r>
    </w:p>
    <w:p>
      <w:pPr>
        <w:pStyle w:val="BodyText1"/>
      </w:pPr>
      <w:r>
        <w:t>Privacy complicates this requirement. Full model-visible text is the most informative trace, but it may contain user data, retrieved confidential documents, or credentials accidentally exposed by an integration. The framework developed for this thesis consequently treats persisted text as a policy choice. Metrics are computed from the in-memory content, while persisted traces can store full, redacted, or hash-only representations. Raw and normalized hashes preserve segment identity and duplicate evidence without requiring all text to remain available. The formal experiments use redacted mode.</w:t>
      </w:r>
    </w:p>
    <w:p>
      <w:pPr>
        <w:pStyle w:val="BodyText1"/>
      </w:pPr>
      <w:r>
        <w:t xml:space="preserve">Runtime auditing also differs from application-level evaluation. RAGAS, for example, evaluates retrieval and generation quality </w:t>
      </w:r>
      <w:r>
        <w:t>[10]</w:t>
      </w:r>
      <w:r>
        <w:t>, whereas the auditor in this thesis records how retrieval, memory, tool, and framework content jointly compose an invocation. Evaluation can be built on top of the audit record, but the trace itself is intended to be a reusable measurement artifact. This separation is important for an engineering thesis: capture, storage, analysis, and mitigation are distinct components with testable interfaces.</w:t>
      </w:r>
    </w:p>
    <w:p>
      <w:pPr>
        <w:pStyle w:val="2"/>
      </w:pPr>
      <w:r>
        <w:t>Research Gap</w:t>
      </w:r>
    </w:p>
    <w:p>
      <w:pPr>
        <w:pStyle w:val="BodyText1"/>
      </w:pPr>
      <w:r>
        <w:t>The literature provides strong foundations for each part of the problem, but the parts are usually studied separately. Agent architectures explain why external observations, retrieved evidence, and memory are inserted into future model calls. Long-context benchmarks show that greater nominal capacity does not ensure robust use of longer inputs. RAG evaluation examines relevance and faithfulness. Prompt-compression methods reduce tokens while measuring downstream quality. Agent observability records complex execution behavior. What remains less developed is an end-to-end method that connects these areas at the level of automatically constructed context.</w:t>
      </w:r>
    </w:p>
    <w:p>
      <w:pPr>
        <w:pStyle w:val="BodyText1"/>
      </w:pPr>
      <w:r>
        <w:t>Table 2.1 summarizes the distinction.</w:t>
      </w:r>
    </w:p>
    <w:p>
      <w:pPr>
        <w:pStyle w:val="Tablecaptiontext"/>
        <w:keepNext/>
      </w:pPr>
      <w:r>
        <w:rPr>
          <w:b/>
        </w:rPr>
        <w:t>Table 2.1. Research areas related to runtime auditing of context bloat.</w:t>
      </w:r>
    </w:p>
    <w:tbl>
      <w:tblPr>
        <w:tblStyle w:val="afe"/>
        <w:tblW w:type="auto" w:w="0"/>
        <w:tblLayout w:type="fixed"/>
        <w:tblLook w:firstColumn="1" w:firstRow="1" w:lastColumn="0" w:lastRow="0" w:noHBand="0" w:noVBand="1" w:val="04A0"/>
      </w:tblPr>
      <w:tblGrid>
        <w:gridCol w:w="2409"/>
        <w:gridCol w:w="2409"/>
        <w:gridCol w:w="2409"/>
        <w:gridCol w:w="2409"/>
      </w:tblGrid>
      <w:tr>
        <w:trPr>
          <w:tblHeader w:val="true"/>
        </w:trPr>
        <w:tc>
          <w:tcPr>
            <w:tcW w:type="dxa" w:w="1456"/>
            <w:vAlign w:val="center"/>
            <w:tcMar>
              <w:top w:w="80" w:type="dxa"/>
              <w:start w:w="90" w:type="dxa"/>
              <w:bottom w:w="80" w:type="dxa"/>
              <w:end w:w="90" w:type="dxa"/>
            </w:tcMar>
            <w:shd w:fill="E8EEF3"/>
          </w:tcPr>
          <w:p>
            <w:pPr>
              <w:pStyle w:val="Tabletext"/>
              <w:jc w:val="left"/>
            </w:pPr>
            <w:r>
              <w:rPr>
                <w:b/>
              </w:rPr>
              <w:t>Research area</w:t>
            </w:r>
          </w:p>
        </w:tc>
        <w:tc>
          <w:tcPr>
            <w:tcW w:type="dxa" w:w="2659"/>
            <w:vAlign w:val="center"/>
            <w:tcMar>
              <w:top w:w="80" w:type="dxa"/>
              <w:start w:w="90" w:type="dxa"/>
              <w:bottom w:w="80" w:type="dxa"/>
              <w:end w:w="90" w:type="dxa"/>
            </w:tcMar>
            <w:shd w:fill="E8EEF3"/>
          </w:tcPr>
          <w:p>
            <w:pPr>
              <w:pStyle w:val="Tabletext"/>
              <w:jc w:val="center"/>
            </w:pPr>
            <w:r>
              <w:rPr>
                <w:b/>
              </w:rPr>
              <w:t>Primary object</w:t>
            </w:r>
          </w:p>
        </w:tc>
        <w:tc>
          <w:tcPr>
            <w:tcW w:type="dxa" w:w="2659"/>
            <w:vAlign w:val="center"/>
            <w:tcMar>
              <w:top w:w="80" w:type="dxa"/>
              <w:start w:w="90" w:type="dxa"/>
              <w:bottom w:w="80" w:type="dxa"/>
              <w:end w:w="90" w:type="dxa"/>
            </w:tcMar>
            <w:shd w:fill="E8EEF3"/>
          </w:tcPr>
          <w:p>
            <w:pPr>
              <w:pStyle w:val="Tabletext"/>
              <w:jc w:val="center"/>
            </w:pPr>
            <w:r>
              <w:rPr>
                <w:b/>
              </w:rPr>
              <w:t>Typical outcome</w:t>
            </w:r>
          </w:p>
        </w:tc>
        <w:tc>
          <w:tcPr>
            <w:tcW w:type="dxa" w:w="2659"/>
            <w:vAlign w:val="center"/>
            <w:tcMar>
              <w:top w:w="80" w:type="dxa"/>
              <w:start w:w="90" w:type="dxa"/>
              <w:bottom w:w="80" w:type="dxa"/>
              <w:end w:w="90" w:type="dxa"/>
            </w:tcMar>
            <w:shd w:fill="E8EEF3"/>
          </w:tcPr>
          <w:p>
            <w:pPr>
              <w:pStyle w:val="Tabletext"/>
              <w:jc w:val="left"/>
            </w:pPr>
            <w:r>
              <w:rPr>
                <w:b/>
              </w:rPr>
              <w:t>Gap addressed by this thesis</w:t>
            </w:r>
          </w:p>
        </w:tc>
      </w:tr>
      <w:tr>
        <w:tc>
          <w:tcPr>
            <w:tcW w:type="dxa" w:w="1456"/>
            <w:vAlign w:val="center"/>
            <w:tcMar>
              <w:top w:w="80" w:type="dxa"/>
              <w:start w:w="90" w:type="dxa"/>
              <w:bottom w:w="80" w:type="dxa"/>
              <w:end w:w="90" w:type="dxa"/>
            </w:tcMar>
          </w:tcPr>
          <w:p>
            <w:pPr>
              <w:pStyle w:val="Tabletext"/>
              <w:jc w:val="left"/>
            </w:pPr>
            <w:r>
              <w:t>Long-context evaluation</w:t>
            </w:r>
          </w:p>
        </w:tc>
        <w:tc>
          <w:tcPr>
            <w:tcW w:type="dxa" w:w="2659"/>
            <w:vAlign w:val="center"/>
            <w:tcMar>
              <w:top w:w="80" w:type="dxa"/>
              <w:start w:w="90" w:type="dxa"/>
              <w:bottom w:w="80" w:type="dxa"/>
              <w:end w:w="90" w:type="dxa"/>
            </w:tcMar>
          </w:tcPr>
          <w:p>
            <w:pPr>
              <w:pStyle w:val="Tabletext"/>
              <w:jc w:val="left"/>
            </w:pPr>
            <w:r>
              <w:t>Model behavior at increasing input lengths</w:t>
            </w:r>
          </w:p>
        </w:tc>
        <w:tc>
          <w:tcPr>
            <w:tcW w:type="dxa" w:w="2659"/>
            <w:vAlign w:val="center"/>
            <w:tcMar>
              <w:top w:w="80" w:type="dxa"/>
              <w:start w:w="90" w:type="dxa"/>
              <w:bottom w:w="80" w:type="dxa"/>
              <w:end w:w="90" w:type="dxa"/>
            </w:tcMar>
          </w:tcPr>
          <w:p>
            <w:pPr>
              <w:pStyle w:val="Tabletext"/>
              <w:jc w:val="left"/>
            </w:pPr>
            <w:r>
              <w:t>Accuracy or task score by length and position</w:t>
            </w:r>
          </w:p>
        </w:tc>
        <w:tc>
          <w:tcPr>
            <w:tcW w:type="dxa" w:w="2659"/>
            <w:vAlign w:val="center"/>
            <w:tcMar>
              <w:top w:w="80" w:type="dxa"/>
              <w:start w:w="90" w:type="dxa"/>
              <w:bottom w:w="80" w:type="dxa"/>
              <w:end w:w="90" w:type="dxa"/>
            </w:tcMar>
          </w:tcPr>
          <w:p>
            <w:pPr>
              <w:pStyle w:val="Tabletext"/>
              <w:jc w:val="left"/>
            </w:pPr>
            <w:r>
              <w:t>Does not localize avoidable agent context to runtime sources</w:t>
            </w:r>
          </w:p>
        </w:tc>
      </w:tr>
      <w:tr>
        <w:tc>
          <w:tcPr>
            <w:tcW w:type="dxa" w:w="1456"/>
            <w:vAlign w:val="center"/>
            <w:tcMar>
              <w:top w:w="80" w:type="dxa"/>
              <w:start w:w="90" w:type="dxa"/>
              <w:bottom w:w="80" w:type="dxa"/>
              <w:end w:w="90" w:type="dxa"/>
            </w:tcMar>
          </w:tcPr>
          <w:p>
            <w:pPr>
              <w:pStyle w:val="Tabletext"/>
              <w:jc w:val="left"/>
            </w:pPr>
            <w:r>
              <w:t>RAG and memory quality</w:t>
            </w:r>
          </w:p>
        </w:tc>
        <w:tc>
          <w:tcPr>
            <w:tcW w:type="dxa" w:w="2659"/>
            <w:vAlign w:val="center"/>
            <w:tcMar>
              <w:top w:w="80" w:type="dxa"/>
              <w:start w:w="90" w:type="dxa"/>
              <w:bottom w:w="80" w:type="dxa"/>
              <w:end w:w="90" w:type="dxa"/>
            </w:tcMar>
          </w:tcPr>
          <w:p>
            <w:pPr>
              <w:pStyle w:val="Tabletext"/>
              <w:jc w:val="left"/>
            </w:pPr>
            <w:r>
              <w:t>Retrieved or stored evidence</w:t>
            </w:r>
          </w:p>
        </w:tc>
        <w:tc>
          <w:tcPr>
            <w:tcW w:type="dxa" w:w="2659"/>
            <w:vAlign w:val="center"/>
            <w:tcMar>
              <w:top w:w="80" w:type="dxa"/>
              <w:start w:w="90" w:type="dxa"/>
              <w:bottom w:w="80" w:type="dxa"/>
              <w:end w:w="90" w:type="dxa"/>
            </w:tcMar>
          </w:tcPr>
          <w:p>
            <w:pPr>
              <w:pStyle w:val="Tabletext"/>
              <w:jc w:val="left"/>
            </w:pPr>
            <w:r>
              <w:t>Relevance, faithfulness, or answer quality</w:t>
            </w:r>
          </w:p>
        </w:tc>
        <w:tc>
          <w:tcPr>
            <w:tcW w:type="dxa" w:w="2659"/>
            <w:vAlign w:val="center"/>
            <w:tcMar>
              <w:top w:w="80" w:type="dxa"/>
              <w:start w:w="90" w:type="dxa"/>
              <w:bottom w:w="80" w:type="dxa"/>
              <w:end w:w="90" w:type="dxa"/>
            </w:tcMar>
          </w:tcPr>
          <w:p>
            <w:pPr>
              <w:pStyle w:val="Tabletext"/>
              <w:jc w:val="left"/>
            </w:pPr>
            <w:r>
              <w:t>Usually studies one source rather than the complete agent invocation</w:t>
            </w:r>
          </w:p>
        </w:tc>
      </w:tr>
      <w:tr>
        <w:tc>
          <w:tcPr>
            <w:tcW w:type="dxa" w:w="1456"/>
            <w:vAlign w:val="center"/>
            <w:tcMar>
              <w:top w:w="80" w:type="dxa"/>
              <w:start w:w="90" w:type="dxa"/>
              <w:bottom w:w="80" w:type="dxa"/>
              <w:end w:w="90" w:type="dxa"/>
            </w:tcMar>
          </w:tcPr>
          <w:p>
            <w:pPr>
              <w:pStyle w:val="Tabletext"/>
              <w:jc w:val="left"/>
            </w:pPr>
            <w:r>
              <w:t>Prompt compression</w:t>
            </w:r>
          </w:p>
        </w:tc>
        <w:tc>
          <w:tcPr>
            <w:tcW w:type="dxa" w:w="2659"/>
            <w:vAlign w:val="center"/>
            <w:tcMar>
              <w:top w:w="80" w:type="dxa"/>
              <w:start w:w="90" w:type="dxa"/>
              <w:bottom w:w="80" w:type="dxa"/>
              <w:end w:w="90" w:type="dxa"/>
            </w:tcMar>
          </w:tcPr>
          <w:p>
            <w:pPr>
              <w:pStyle w:val="Tabletext"/>
              <w:jc w:val="left"/>
            </w:pPr>
            <w:r>
              <w:t>A prompt or document set</w:t>
            </w:r>
          </w:p>
        </w:tc>
        <w:tc>
          <w:tcPr>
            <w:tcW w:type="dxa" w:w="2659"/>
            <w:vAlign w:val="center"/>
            <w:tcMar>
              <w:top w:w="80" w:type="dxa"/>
              <w:start w:w="90" w:type="dxa"/>
              <w:bottom w:w="80" w:type="dxa"/>
              <w:end w:w="90" w:type="dxa"/>
            </w:tcMar>
          </w:tcPr>
          <w:p>
            <w:pPr>
              <w:pStyle w:val="Tabletext"/>
              <w:jc w:val="left"/>
            </w:pPr>
            <w:r>
              <w:t>Token reduction and downstream quality</w:t>
            </w:r>
          </w:p>
        </w:tc>
        <w:tc>
          <w:tcPr>
            <w:tcW w:type="dxa" w:w="2659"/>
            <w:vAlign w:val="center"/>
            <w:tcMar>
              <w:top w:w="80" w:type="dxa"/>
              <w:start w:w="90" w:type="dxa"/>
              <w:bottom w:w="80" w:type="dxa"/>
              <w:end w:w="90" w:type="dxa"/>
            </w:tcMar>
          </w:tcPr>
          <w:p>
            <w:pPr>
              <w:pStyle w:val="Tabletext"/>
              <w:jc w:val="left"/>
            </w:pPr>
            <w:r>
              <w:t>Does not necessarily preserve source provenance or longitudinal growth</w:t>
            </w:r>
          </w:p>
        </w:tc>
      </w:tr>
      <w:tr>
        <w:tc>
          <w:tcPr>
            <w:tcW w:type="dxa" w:w="1456"/>
            <w:vAlign w:val="center"/>
            <w:tcMar>
              <w:top w:w="80" w:type="dxa"/>
              <w:start w:w="90" w:type="dxa"/>
              <w:bottom w:w="80" w:type="dxa"/>
              <w:end w:w="90" w:type="dxa"/>
            </w:tcMar>
          </w:tcPr>
          <w:p>
            <w:pPr>
              <w:pStyle w:val="Tabletext"/>
              <w:jc w:val="left"/>
            </w:pPr>
            <w:r>
              <w:t>Agent observability</w:t>
            </w:r>
          </w:p>
        </w:tc>
        <w:tc>
          <w:tcPr>
            <w:tcW w:type="dxa" w:w="2659"/>
            <w:vAlign w:val="center"/>
            <w:tcMar>
              <w:top w:w="80" w:type="dxa"/>
              <w:start w:w="90" w:type="dxa"/>
              <w:bottom w:w="80" w:type="dxa"/>
              <w:end w:w="90" w:type="dxa"/>
            </w:tcMar>
          </w:tcPr>
          <w:p>
            <w:pPr>
              <w:pStyle w:val="Tabletext"/>
              <w:jc w:val="left"/>
            </w:pPr>
            <w:r>
              <w:t>Calls, tools, events, and execution paths</w:t>
            </w:r>
          </w:p>
        </w:tc>
        <w:tc>
          <w:tcPr>
            <w:tcW w:type="dxa" w:w="2659"/>
            <w:vAlign w:val="center"/>
            <w:tcMar>
              <w:top w:w="80" w:type="dxa"/>
              <w:start w:w="90" w:type="dxa"/>
              <w:bottom w:w="80" w:type="dxa"/>
              <w:end w:w="90" w:type="dxa"/>
            </w:tcMar>
          </w:tcPr>
          <w:p>
            <w:pPr>
              <w:pStyle w:val="Tabletext"/>
              <w:jc w:val="left"/>
            </w:pPr>
            <w:r>
              <w:t>Traces, spans, latency, errors, evaluations</w:t>
            </w:r>
          </w:p>
        </w:tc>
        <w:tc>
          <w:tcPr>
            <w:tcW w:type="dxa" w:w="2659"/>
            <w:vAlign w:val="center"/>
            <w:tcMar>
              <w:top w:w="80" w:type="dxa"/>
              <w:start w:w="90" w:type="dxa"/>
              <w:bottom w:w="80" w:type="dxa"/>
              <w:end w:w="90" w:type="dxa"/>
            </w:tcMar>
          </w:tcPr>
          <w:p>
            <w:pPr>
              <w:pStyle w:val="Tabletext"/>
              <w:jc w:val="left"/>
            </w:pPr>
            <w:r>
              <w:t>Does not by itself define or validate source-level bloat metrics</w:t>
            </w:r>
          </w:p>
        </w:tc>
      </w:tr>
      <w:tr>
        <w:tc>
          <w:tcPr>
            <w:tcW w:type="dxa" w:w="1456"/>
            <w:vAlign w:val="center"/>
            <w:tcMar>
              <w:top w:w="80" w:type="dxa"/>
              <w:start w:w="90" w:type="dxa"/>
              <w:bottom w:w="80" w:type="dxa"/>
              <w:end w:w="90" w:type="dxa"/>
            </w:tcMar>
          </w:tcPr>
          <w:p>
            <w:pPr>
              <w:pStyle w:val="Tabletext"/>
              <w:jc w:val="left"/>
            </w:pPr>
            <w:r>
              <w:t>This thesis</w:t>
            </w:r>
          </w:p>
        </w:tc>
        <w:tc>
          <w:tcPr>
            <w:tcW w:type="dxa" w:w="2659"/>
            <w:vAlign w:val="center"/>
            <w:tcMar>
              <w:top w:w="80" w:type="dxa"/>
              <w:start w:w="90" w:type="dxa"/>
              <w:bottom w:w="80" w:type="dxa"/>
              <w:end w:w="90" w:type="dxa"/>
            </w:tcMar>
          </w:tcPr>
          <w:p>
            <w:pPr>
              <w:pStyle w:val="Tabletext"/>
              <w:jc w:val="left"/>
            </w:pPr>
            <w:r>
              <w:t>Complete model-visible context per invocation</w:t>
            </w:r>
          </w:p>
        </w:tc>
        <w:tc>
          <w:tcPr>
            <w:tcW w:type="dxa" w:w="2659"/>
            <w:vAlign w:val="center"/>
            <w:tcMar>
              <w:top w:w="80" w:type="dxa"/>
              <w:start w:w="90" w:type="dxa"/>
              <w:bottom w:w="80" w:type="dxa"/>
              <w:end w:w="90" w:type="dxa"/>
            </w:tcMar>
          </w:tcPr>
          <w:p>
            <w:pPr>
              <w:pStyle w:val="Tabletext"/>
              <w:jc w:val="left"/>
            </w:pPr>
            <w:r>
              <w:t>Detection, localization, measurement, source analysis, and constrained mitigation</w:t>
            </w:r>
          </w:p>
        </w:tc>
        <w:tc>
          <w:tcPr>
            <w:tcW w:type="dxa" w:w="2659"/>
            <w:vAlign w:val="center"/>
            <w:tcMar>
              <w:top w:w="80" w:type="dxa"/>
              <w:start w:w="90" w:type="dxa"/>
              <w:bottom w:w="80" w:type="dxa"/>
              <w:end w:w="90" w:type="dxa"/>
            </w:tcMar>
          </w:tcPr>
          <w:p>
            <w:pPr>
              <w:pStyle w:val="Tabletext"/>
              <w:jc w:val="left"/>
            </w:pPr>
            <w:r>
              <w:t>Integrates provenance, bloat metrics, reproducible runs, and utility-aware evaluation</w:t>
            </w:r>
          </w:p>
        </w:tc>
      </w:tr>
    </w:tbl>
    <w:p>
      <w:pPr>
        <w:pStyle w:val="BodyText1"/>
      </w:pPr>
    </w:p>
    <w:p>
      <w:pPr>
        <w:pStyle w:val="BodyText1"/>
      </w:pPr>
      <w:r>
        <w:t>Three specific gaps motivate the research design. First, context-size metrics do not explain composition. A total of 1,000 tokens can be dominated by retrieval in one invocation and by tool output in another. Source-labeled segments are needed to compare those cases. Second, most observed context has no independent label indicating whether it is necessary. Controlled bloat patterns provide a reproducible starting point for validating detection and measurement, provided their limited external validity is acknowledged. Third, mitigation needs a joint criterion. A reduction should be interpreted together with task success rather than presented as an isolated efficiency gain.</w:t>
      </w:r>
    </w:p>
    <w:p>
      <w:pPr>
        <w:pStyle w:val="BodyText1"/>
      </w:pPr>
      <w:r>
        <w:t xml:space="preserve">Public benchmarks make it possible to address the independence gap without inventing every task and label inside the detector. HotpotQA supplies multi-hop retrieval questions and supporting documents </w:t>
      </w:r>
      <w:r>
        <w:t>[26]</w:t>
      </w:r>
      <w:r>
        <w:t xml:space="preserve">. LongMemEval tests long-term conversational memory across lengthy sessions </w:t>
      </w:r>
      <w:r>
        <w:t>[27]</w:t>
      </w:r>
      <w:r>
        <w:t xml:space="preserve">. BFCL evaluates tool and function calling, including multi-turn and multi-step settings </w:t>
      </w:r>
      <w:r>
        <w:t>[28]</w:t>
      </w:r>
      <w:r>
        <w:t>. These datasets were not designed specifically for context bloat, which is useful here: their natural agent traces can be annotated independently of the heuristic detector.</w:t>
      </w:r>
    </w:p>
    <w:p>
      <w:pPr>
        <w:pStyle w:val="BodyText1"/>
      </w:pPr>
      <w:r>
        <w:t>The thesis responds with a framework-independent provenance schema exercised through two adapters, client-side request capture, separated evidence namespaces, source-level metrics, a controlled perturbation benchmark, independently annotated natural traces, and paired counterfactual and compression analyses. The contribution is not a claim to solve context management in general. It is a reproducible engineering and empirical foundation for asking where suspected bloat appears, whether independent judges agree, how much it contributes, and what is lost when it is removed.</w:t>
      </w:r>
    </w:p>
    <w:p>
      <w:pPr>
        <w:pStyle w:val="1"/>
      </w:pPr>
      <w:r>
        <w:t>Context Bloat Model and Auditing Framework</w:t>
      </w:r>
    </w:p>
    <w:p>
      <w:pPr>
        <w:pStyle w:val="2"/>
      </w:pPr>
      <w:r>
        <w:t>Definition and Taxonomy of Context Bloat</w:t>
      </w:r>
    </w:p>
    <w:p>
      <w:pPr>
        <w:pStyle w:val="BodyText1"/>
      </w:pPr>
      <w:r>
        <w:t>The conceptual object of this thesis is the context visible to a language model at one invocation of an agent workflow. Let</w:t>
      </w:r>
    </w:p>
    <w:p>
      <w:pPr>
        <w:spacing w:before="120" w:after="160"/>
        <w:jc w:val="center"/>
      </w:pPr>
      <w:r>
        <w:rPr>
          <w:rFonts w:ascii="Cambria Math" w:hAnsi="Cambria Math"/>
          <w:i/>
          <w:sz w:val="22"/>
        </w:rPr>
        <w:t>C_i = &lt;m_(i,1), m_(i,2), ..., m_(i,n_i)&gt;</w:t>
      </w:r>
    </w:p>
    <w:p>
      <w:pPr>
        <w:pStyle w:val="BodyText1"/>
      </w:pPr>
      <w:r>
        <w:t xml:space="preserve">denote the ordered message sequence sent at invocation </w:t>
      </w:r>
      <w:r>
        <w:rPr>
          <w:rFonts w:ascii="Cambria Math" w:hAnsi="Cambria Math"/>
          <w:i/>
        </w:rPr>
        <w:t>i</w:t>
      </w:r>
      <w:r>
        <w:t>. A message has a role, content, optional name, and source metadata. Messages are further divided into ordered text segments:</w:t>
      </w:r>
    </w:p>
    <w:p>
      <w:pPr>
        <w:spacing w:before="120" w:after="160"/>
        <w:jc w:val="center"/>
      </w:pPr>
      <w:r>
        <w:rPr>
          <w:rFonts w:ascii="Cambria Math" w:hAnsi="Cambria Math"/>
          <w:i/>
          <w:sz w:val="22"/>
        </w:rPr>
        <w:t>S_i = &lt;s_(i,1), s_(i,2), ..., s_(i,k_i)&gt;.</w:t>
      </w:r>
    </w:p>
    <w:p>
      <w:pPr>
        <w:pStyle w:val="BodyText1"/>
      </w:pPr>
      <w:r>
        <w:t>The segment is the smallest unit to which the auditor assigns a source, identity, size, and bloat label. A segment records its parent message, message index, ordinal position, role, source type, character count, token count, raw content hash, normalized content hash, and optional source identifier or relevance score. This representation retains message ordering while supporting source-level analysis.</w:t>
      </w:r>
    </w:p>
    <w:p>
      <w:pPr>
        <w:pStyle w:val="BodyText1"/>
      </w:pPr>
      <w:r>
        <w:t xml:space="preserve">The framework uses eight source types: </w:t>
      </w:r>
      <w:r>
        <w:rPr>
          <w:rFonts w:ascii="Consolas" w:hAnsi="Consolas"/>
          <w:sz w:val="20"/>
        </w:rPr>
        <w:t>system</w:t>
      </w:r>
      <w:r>
        <w:t xml:space="preserve">, </w:t>
      </w:r>
      <w:r>
        <w:rPr>
          <w:rFonts w:ascii="Consolas" w:hAnsi="Consolas"/>
          <w:sz w:val="20"/>
        </w:rPr>
        <w:t>user</w:t>
      </w:r>
      <w:r>
        <w:t xml:space="preserve">, </w:t>
      </w:r>
      <w:r>
        <w:rPr>
          <w:rFonts w:ascii="Consolas" w:hAnsi="Consolas"/>
          <w:sz w:val="20"/>
        </w:rPr>
        <w:t>framework</w:t>
      </w:r>
      <w:r>
        <w:t xml:space="preserve">, </w:t>
      </w:r>
      <w:r>
        <w:rPr>
          <w:rFonts w:ascii="Consolas" w:hAnsi="Consolas"/>
          <w:sz w:val="20"/>
        </w:rPr>
        <w:t>retrieval</w:t>
      </w:r>
      <w:r>
        <w:t xml:space="preserve">, </w:t>
      </w:r>
      <w:r>
        <w:rPr>
          <w:rFonts w:ascii="Consolas" w:hAnsi="Consolas"/>
          <w:sz w:val="20"/>
        </w:rPr>
        <w:t>memory</w:t>
      </w:r>
      <w:r>
        <w:t xml:space="preserve">, </w:t>
      </w:r>
      <w:r>
        <w:rPr>
          <w:rFonts w:ascii="Consolas" w:hAnsi="Consolas"/>
          <w:sz w:val="20"/>
        </w:rPr>
        <w:t>tool</w:t>
      </w:r>
      <w:r>
        <w:t xml:space="preserve">, </w:t>
      </w:r>
      <w:r>
        <w:rPr>
          <w:rFonts w:ascii="Consolas" w:hAnsi="Consolas"/>
          <w:sz w:val="20"/>
        </w:rPr>
        <w:t>generated_trace</w:t>
      </w:r>
      <w:r>
        <w:t xml:space="preserve">, and </w:t>
      </w:r>
      <w:r>
        <w:rPr>
          <w:rFonts w:ascii="Consolas" w:hAnsi="Consolas"/>
          <w:sz w:val="20"/>
        </w:rPr>
        <w:t>other</w:t>
      </w:r>
      <w:r>
        <w:t xml:space="preserve">. System and user content represent explicit instructions and requests. Framework content includes orchestration instructions and tool-use formatting inserted by the runtime. Retrieval and memory distinguish external documents from stored interaction state. Tool content represents observations returned by a tool, while generated traces contain intermediate assistant output such as a plan or action selection. </w:t>
      </w:r>
      <w:r>
        <w:rPr>
          <w:rFonts w:ascii="Consolas" w:hAnsi="Consolas"/>
          <w:sz w:val="20"/>
        </w:rPr>
        <w:t>other</w:t>
      </w:r>
      <w:r>
        <w:t xml:space="preserve"> is a fallback for content that cannot be assigned reliably.</w:t>
      </w:r>
    </w:p>
    <w:p>
      <w:pPr>
        <w:pStyle w:val="BodyText1"/>
      </w:pPr>
      <w:r>
        <w:t xml:space="preserve">This thesis defines </w:t>
      </w:r>
      <w:r>
        <w:rPr>
          <w:i/>
        </w:rPr>
        <w:t>context bloat</w:t>
      </w:r>
      <w:r>
        <w:t xml:space="preserve"> as model-visible content that is avoidable under an explicit task- and invocation-specific criterion. Three properties of the definition matter.</w:t>
      </w:r>
    </w:p>
    <w:p>
      <w:pPr>
        <w:pStyle w:val="BodyText1"/>
      </w:pPr>
      <w:r>
        <w:t>First, bloat is not equivalent to length. A long set of distinct evidence can be necessary, and a short input can contain an exact duplicate. Second, bloat is label-dependent. A segment is not classified as unnecessary merely because it comes from a particular source. Third, bloat is assessed at the time of use. A memory item may have been useful when created but be stale for the current query.</w:t>
      </w:r>
    </w:p>
    <w:p>
      <w:pPr>
        <w:pStyle w:val="BodyText1"/>
      </w:pPr>
      <w:r>
        <w:t>The controlled taxonomy contains four evaluated labels.</w:t>
      </w:r>
    </w:p>
    <w:p>
      <w:pPr>
        <w:pStyle w:val="BodyText1"/>
      </w:pPr>
      <w:r>
        <w:rPr>
          <w:b/>
        </w:rPr>
        <w:t>Exact duplicate.</w:t>
      </w:r>
      <w:r>
        <w:t xml:space="preserve"> A retrieval, memory, or tool segment is an exact duplicate when its normalized hash matches an earlier segment from the same source. Text normalization removes leading and trailing whitespace, collapses whitespace, and applies case folding before SHA-256 hashing. The later occurrence is marked as bloat; the first occurrence remains available as evidence.</w:t>
      </w:r>
    </w:p>
    <w:p>
      <w:pPr>
        <w:pStyle w:val="BodyText1"/>
      </w:pPr>
      <w:r>
        <w:rPr>
          <w:b/>
        </w:rPr>
        <w:t>Near duplicate.</w:t>
      </w:r>
      <w:r>
        <w:t xml:space="preserve"> A segment is a near duplicate when the Jaccard similarity between its case-folded lexical token set and that of an earlier segment from the same source is at least 0.8. If </w:t>
      </w:r>
      <w:r>
        <w:rPr>
          <w:rFonts w:ascii="Cambria Math" w:hAnsi="Cambria Math"/>
          <w:i/>
        </w:rPr>
        <w:t>W(a)</w:t>
      </w:r>
      <w:r>
        <w:t xml:space="preserve"> is the token set of segment </w:t>
      </w:r>
      <w:r>
        <w:rPr>
          <w:rFonts w:ascii="Cambria Math" w:hAnsi="Cambria Math"/>
          <w:i/>
        </w:rPr>
        <w:t>a</w:t>
      </w:r>
      <w:r>
        <w:t>, then</w:t>
      </w:r>
    </w:p>
    <w:p>
      <w:pPr>
        <w:spacing w:before="120" w:after="160"/>
        <w:jc w:val="center"/>
      </w:pPr>
      <w:r>
        <w:rPr>
          <w:rFonts w:ascii="Cambria Math" w:hAnsi="Cambria Math"/>
          <w:i/>
          <w:sz w:val="22"/>
        </w:rPr>
        <w:t>J(a,b) = |W(a) intersect W(b)| / |W(a) union W(b)|.</w:t>
      </w:r>
    </w:p>
    <w:p>
      <w:pPr>
        <w:pStyle w:val="BodyText1"/>
      </w:pPr>
      <w:r>
        <w:t>Near duplication captures paraphrased or slightly modified repetition that does not share a normalized hash.</w:t>
      </w:r>
    </w:p>
    <w:p>
      <w:pPr>
        <w:pStyle w:val="BodyText1"/>
      </w:pPr>
      <w:r>
        <w:rPr>
          <w:b/>
        </w:rPr>
        <w:t>Low query relevance.</w:t>
      </w:r>
      <w:r>
        <w:t xml:space="preserve"> A retrieval or memory segment is labeled </w:t>
      </w:r>
      <w:r>
        <w:rPr>
          <w:rFonts w:ascii="Consolas" w:hAnsi="Consolas"/>
          <w:sz w:val="20"/>
        </w:rPr>
        <w:t>low_query_relevance</w:t>
      </w:r>
      <w:r>
        <w:t xml:space="preserve"> when an explicit relevance score is below 0.05. If no score is available, the detector uses query-token overlap:</w:t>
      </w:r>
    </w:p>
    <w:p>
      <w:pPr>
        <w:spacing w:before="120" w:after="160"/>
        <w:jc w:val="center"/>
      </w:pPr>
      <w:r>
        <w:rPr>
          <w:rFonts w:ascii="Cambria Math" w:hAnsi="Cambria Math"/>
          <w:i/>
          <w:sz w:val="22"/>
        </w:rPr>
        <w:t>Q(s,q) = |W(s) intersect W(q)| / |W(q)|.</w:t>
      </w:r>
    </w:p>
    <w:p>
      <w:pPr>
        <w:pStyle w:val="BodyText1"/>
      </w:pPr>
      <w:r>
        <w:t>In the controlled dataset, a stale memory is represented through this label because it is unrelated to the current query. The label does not claim to model every semantic form of staleness.</w:t>
      </w:r>
    </w:p>
    <w:p>
      <w:pPr>
        <w:pStyle w:val="BodyText1"/>
      </w:pPr>
      <w:r>
        <w:rPr>
          <w:b/>
        </w:rPr>
        <w:t>Verbose tool output.</w:t>
      </w:r>
      <w:r>
        <w:t xml:space="preserve"> A tool segment is labeled </w:t>
      </w:r>
      <w:r>
        <w:rPr>
          <w:rFonts w:ascii="Consolas" w:hAnsi="Consolas"/>
          <w:sz w:val="20"/>
        </w:rPr>
        <w:t>verbose_tool_output</w:t>
      </w:r>
      <w:r>
        <w:t xml:space="preserve"> when its token count is at least 80. Formal tool fixtures contain a concise result followed by repeated diagnostic and provenance detail that is not required to answer the task. The threshold is therefore tied to the controlled generator and should not be used as a universal production rule.</w:t>
      </w:r>
    </w:p>
    <w:p>
      <w:pPr>
        <w:pStyle w:val="BodyText1"/>
      </w:pPr>
      <w:r>
        <w:t>The stress cohort combines retrieval, memory, and tool bloat in one workflow. This is called cross-source accumulation rather than a fifth segment label, because the underlying segments retain the same four labels. The distinction allows the auditor to localize each contribution even when several sources grow together.</w:t>
      </w:r>
    </w:p>
    <w:p>
      <w:pPr>
        <w:pStyle w:val="2"/>
      </w:pPr>
      <w:r>
        <w:t>Context Provenance and Measurement Model</w:t>
      </w:r>
    </w:p>
    <w:p>
      <w:pPr>
        <w:pStyle w:val="BodyText1"/>
      </w:pPr>
      <w:r>
        <w:t xml:space="preserve">For a segment </w:t>
      </w:r>
      <w:r>
        <w:rPr>
          <w:rFonts w:ascii="Cambria Math" w:hAnsi="Cambria Math"/>
          <w:i/>
        </w:rPr>
        <w:t>s</w:t>
      </w:r>
      <w:r>
        <w:t xml:space="preserve">, let </w:t>
      </w:r>
      <w:r>
        <w:rPr>
          <w:rFonts w:ascii="Cambria Math" w:hAnsi="Cambria Math"/>
          <w:i/>
        </w:rPr>
        <w:t>t(s)</w:t>
      </w:r>
      <w:r>
        <w:t xml:space="preserve"> be its token count and </w:t>
      </w:r>
      <w:r>
        <w:rPr>
          <w:rFonts w:ascii="Cambria Math" w:hAnsi="Cambria Math"/>
          <w:i/>
        </w:rPr>
        <w:t>sigma(s)</w:t>
      </w:r>
      <w:r>
        <w:t xml:space="preserve"> its source. The total context size of invocation </w:t>
      </w:r>
      <w:r>
        <w:rPr>
          <w:rFonts w:ascii="Cambria Math" w:hAnsi="Cambria Math"/>
          <w:i/>
        </w:rPr>
        <w:t>i</w:t>
      </w:r>
      <w:r>
        <w:t xml:space="preserve"> is</w:t>
      </w:r>
    </w:p>
    <w:p>
      <w:pPr>
        <w:spacing w:before="120" w:after="160"/>
        <w:jc w:val="center"/>
      </w:pPr>
      <w:r>
        <w:rPr>
          <w:rFonts w:ascii="Cambria Math" w:hAnsi="Cambria Math"/>
          <w:i/>
          <w:sz w:val="22"/>
        </w:rPr>
        <w:t>T_i = sum_(s in S_i) t(s).</w:t>
      </w:r>
    </w:p>
    <w:p>
      <w:pPr>
        <w:pStyle w:val="BodyText1"/>
      </w:pPr>
      <w:r>
        <w:t xml:space="preserve">The corresponding character total is calculated in the same way. The source contribution ratio for source </w:t>
      </w:r>
      <w:r>
        <w:rPr>
          <w:rFonts w:ascii="Cambria Math" w:hAnsi="Cambria Math"/>
          <w:i/>
        </w:rPr>
        <w:t>x</w:t>
      </w:r>
      <w:r>
        <w:t xml:space="preserve"> is</w:t>
      </w:r>
    </w:p>
    <w:p>
      <w:pPr>
        <w:spacing w:before="120" w:after="160"/>
        <w:jc w:val="center"/>
      </w:pPr>
      <w:r>
        <w:rPr>
          <w:rFonts w:ascii="Cambria Math" w:hAnsi="Cambria Math"/>
          <w:i/>
          <w:sz w:val="22"/>
        </w:rPr>
        <w:t>SC_(i,x) = sum_(s in S_i: sigma(s)=x) t(s) / T_i.</w:t>
      </w:r>
    </w:p>
    <w:p>
      <w:pPr>
        <w:pStyle w:val="BodyText1"/>
      </w:pPr>
      <w:r>
        <w:t xml:space="preserve">The ratios sum to one when </w:t>
      </w:r>
      <w:r>
        <w:rPr>
          <w:rFonts w:ascii="Cambria Math" w:hAnsi="Cambria Math"/>
          <w:i/>
        </w:rPr>
        <w:t>T_i&gt;0</w:t>
      </w:r>
      <w:r>
        <w:t xml:space="preserve"> and reveal which sources dominate an invocation. A runtime warning is emitted when a non-system, non-user source accounts for at least 65% of the context.</w:t>
      </w:r>
    </w:p>
    <w:p>
      <w:pPr>
        <w:pStyle w:val="BodyText1"/>
      </w:pPr>
      <w:r>
        <w:t xml:space="preserve">Exact redundant tokens are the tokens of every normalized-hash occurrence after the first. If </w:t>
      </w:r>
      <w:r>
        <w:rPr>
          <w:rFonts w:ascii="Cambria Math" w:hAnsi="Cambria Math"/>
          <w:i/>
        </w:rPr>
        <w:t>R_i</w:t>
      </w:r>
      <w:r>
        <w:t xml:space="preserve"> is that set of later segments, exact redundancy is</w:t>
      </w:r>
    </w:p>
    <w:p>
      <w:pPr>
        <w:spacing w:before="120" w:after="160"/>
        <w:jc w:val="center"/>
      </w:pPr>
      <w:r>
        <w:rPr>
          <w:rFonts w:ascii="Cambria Math" w:hAnsi="Cambria Math"/>
          <w:i/>
          <w:sz w:val="22"/>
        </w:rPr>
        <w:t>RR_i = sum_(s in R_i) t(s) / T_i.</w:t>
      </w:r>
    </w:p>
    <w:p>
      <w:pPr>
        <w:pStyle w:val="BodyText1"/>
      </w:pPr>
      <w:r>
        <w:t xml:space="preserve">The near-redundancy ratio </w:t>
      </w:r>
      <w:r>
        <w:rPr>
          <w:rFonts w:ascii="Cambria Math" w:hAnsi="Cambria Math"/>
          <w:i/>
        </w:rPr>
        <w:t>NRR_i</w:t>
      </w:r>
      <w:r>
        <w:t xml:space="preserve"> is defined analogously using later segments whose within-source Jaccard similarity reaches 0.8. The implementation also reports duplicate and near-duplicate segment counts. </w:t>
      </w:r>
      <w:r>
        <w:rPr>
          <w:rFonts w:ascii="Consolas" w:hAnsi="Consolas"/>
          <w:sz w:val="20"/>
        </w:rPr>
        <w:t>Unique Information Ratio</w:t>
      </w:r>
      <w:r>
        <w:t xml:space="preserve"> is retained in the artifact as the complement </w:t>
      </w:r>
      <w:r>
        <w:rPr>
          <w:rFonts w:ascii="Cambria Math" w:hAnsi="Cambria Math"/>
          <w:i/>
        </w:rPr>
        <w:t>1-RR_i</w:t>
      </w:r>
      <w:r>
        <w:t>, but the name should be interpreted conservatively: it measures non-repeated tokens under normalization, not semantic information in the information-theoretic sense.</w:t>
      </w:r>
    </w:p>
    <w:p>
      <w:pPr>
        <w:pStyle w:val="BodyText1"/>
      </w:pPr>
      <w:r>
        <w:t xml:space="preserve">The framework stores four evidence namespaces. </w:t>
      </w:r>
      <w:r>
        <w:rPr>
          <w:rFonts w:ascii="Cambria Math" w:hAnsi="Cambria Math"/>
          <w:i/>
        </w:rPr>
        <w:t>I_i</w:t>
      </w:r>
      <w:r>
        <w:t xml:space="preserve"> is the set of segments marked by an injected perturbation in Study A; </w:t>
      </w:r>
      <w:r>
        <w:rPr>
          <w:rFonts w:ascii="Cambria Math" w:hAnsi="Cambria Math"/>
          <w:i/>
        </w:rPr>
        <w:t>D_i</w:t>
      </w:r>
      <w:r>
        <w:t xml:space="preserve"> is the set identified by the heuristic detector; </w:t>
      </w:r>
      <w:r>
        <w:rPr>
          <w:rFonts w:ascii="Cambria Math" w:hAnsi="Cambria Math"/>
          <w:i/>
        </w:rPr>
        <w:t>H_i</w:t>
      </w:r>
      <w:r>
        <w:t xml:space="preserve"> is the set receiving an adjudicated human-reference </w:t>
      </w:r>
      <w:r>
        <w:rPr>
          <w:rFonts w:ascii="Consolas" w:hAnsi="Consolas"/>
          <w:sz w:val="20"/>
        </w:rPr>
        <w:t>remove</w:t>
      </w:r>
      <w:r>
        <w:t xml:space="preserve"> decision in Study B; and </w:t>
      </w:r>
      <w:r>
        <w:rPr>
          <w:rFonts w:ascii="Cambria Math" w:hAnsi="Cambria Math"/>
          <w:i/>
        </w:rPr>
        <w:t>C_i</w:t>
      </w:r>
      <w:r>
        <w:t xml:space="preserve"> is the subset whose removal preserves task performance in the Study C counterfactual test. An external-validation trace is rejected if it contains injected labels.</w:t>
      </w:r>
    </w:p>
    <w:p>
      <w:pPr>
        <w:pStyle w:val="BodyText1"/>
      </w:pPr>
      <w:r>
        <w:t>The injected, detected, and human-reference token ratios are respectively</w:t>
      </w:r>
    </w:p>
    <w:p>
      <w:pPr>
        <w:spacing w:before="120" w:after="160"/>
        <w:jc w:val="center"/>
      </w:pPr>
      <w:r>
        <w:rPr>
          <w:rFonts w:ascii="Cambria Math" w:hAnsi="Cambria Math"/>
          <w:i/>
          <w:sz w:val="22"/>
        </w:rPr>
        <w:t>IBR_i = \frac\sum_s in I_it(s)T_i,     DBR_i = \frac\sum_s in D_it(s)T_i.</w:t>
      </w:r>
    </w:p>
    <w:p>
      <w:pPr>
        <w:spacing w:before="120" w:after="160"/>
        <w:jc w:val="center"/>
      </w:pPr>
      <w:r>
        <w:rPr>
          <w:rFonts w:ascii="Cambria Math" w:hAnsi="Cambria Math"/>
          <w:i/>
          <w:sz w:val="22"/>
        </w:rPr>
        <w:t>HBR_i = \frac\sum_s in H_it(s)T_i.</w:t>
      </w:r>
    </w:p>
    <w:p>
      <w:pPr>
        <w:pStyle w:val="BodyText1"/>
      </w:pPr>
      <w:r>
        <w:t xml:space="preserve">No composite measure includes both detector output and the reference used to validate that detector. In particular, the former </w:t>
      </w:r>
      <w:r>
        <w:rPr>
          <w:rFonts w:ascii="Cambria Math" w:hAnsi="Cambria Math"/>
          <w:i/>
        </w:rPr>
        <w:t>\max(RR_i,NRR_i,DBR_i)</w:t>
      </w:r>
      <w:r>
        <w:t xml:space="preserve"> construction is not used for RQ2 because correlating it with a reference generated by the same rule family would be circular. Study B instead compares </w:t>
      </w:r>
      <w:r>
        <w:rPr>
          <w:rFonts w:ascii="Cambria Math" w:hAnsi="Cambria Math"/>
          <w:i/>
        </w:rPr>
        <w:t>DBR_i</w:t>
      </w:r>
      <w:r>
        <w:t xml:space="preserve"> directly with </w:t>
      </w:r>
      <w:r>
        <w:rPr>
          <w:rFonts w:ascii="Cambria Math" w:hAnsi="Cambria Math"/>
          <w:i/>
        </w:rPr>
        <w:t>HBR_i</w:t>
      </w:r>
      <w:r>
        <w:t>. Study C evaluates the stronger property of counterfactual removability separately.</w:t>
      </w:r>
    </w:p>
    <w:p>
      <w:pPr>
        <w:pStyle w:val="BodyText1"/>
      </w:pPr>
      <w:r>
        <w:t>Context growth is calculated within the same run, task, condition, and repetition. For two consecutive invocations,</w:t>
      </w:r>
    </w:p>
    <w:p>
      <w:pPr>
        <w:spacing w:before="120" w:after="160"/>
        <w:jc w:val="center"/>
      </w:pPr>
      <w:r>
        <w:rPr>
          <w:rFonts w:ascii="Cambria Math" w:hAnsi="Cambria Math"/>
          <w:i/>
          <w:sz w:val="22"/>
        </w:rPr>
        <w:t>CGR_i = (T_i - T_(i-1)) / T_(i-1),</w:t>
      </w:r>
    </w:p>
    <w:p>
      <w:pPr>
        <w:pStyle w:val="BodyText1"/>
      </w:pPr>
      <w:r>
        <w:t xml:space="preserve">when </w:t>
      </w:r>
      <w:r>
        <w:rPr>
          <w:rFonts w:ascii="Cambria Math" w:hAnsi="Cambria Math"/>
          <w:i/>
        </w:rPr>
        <w:t>T_i-1&gt;0</w:t>
      </w:r>
      <w:r>
        <w:t>. This is particularly relevant to tool workflows, which use a planning invocation followed by a final invocation containing the plan and tool observation. A growth-spike flag is emitted when the current context exceeds 150% of the previous context.</w:t>
      </w:r>
    </w:p>
    <w:p>
      <w:pPr>
        <w:pStyle w:val="BodyText1"/>
      </w:pPr>
      <w:r>
        <w:t xml:space="preserve">Source-specific bloat is reported in two forms. For Study A, the numerator is injected bloat tokens. For Study B, it is tokens in adjudicated </w:t>
      </w:r>
      <w:r>
        <w:rPr>
          <w:rFonts w:ascii="Consolas" w:hAnsi="Consolas"/>
          <w:sz w:val="20"/>
        </w:rPr>
        <w:t>remove</w:t>
      </w:r>
      <w:r>
        <w:t xml:space="preserve"> segments. The aggregate ratio divides labeled tokens of a source by all tokens of that source. The mean ratio is first computed per trace and then averaged within real task IDs. Task-cluster bootstrap intervals and pairwise Hedges' </w:t>
      </w:r>
      <w:r>
        <w:rPr>
          <w:rFonts w:ascii="Cambria Math" w:hAnsi="Cambria Math"/>
          <w:i/>
        </w:rPr>
        <w:t>g</w:t>
      </w:r>
      <w:r>
        <w:t xml:space="preserve"> values accompany the natural-trace estimates. Controlled and natural rankings are never pooled.</w:t>
      </w:r>
    </w:p>
    <w:p>
      <w:pPr>
        <w:pStyle w:val="BodyText1"/>
      </w:pPr>
      <w:r>
        <w:t xml:space="preserve">Detection is evaluated both as binary segment identification and as subtype classification. Binary precision, recall, and F1 compare the set of detected segment locations with the human-reference </w:t>
      </w:r>
      <w:r>
        <w:rPr>
          <w:rFonts w:ascii="Consolas" w:hAnsi="Consolas"/>
          <w:sz w:val="20"/>
        </w:rPr>
        <w:t>remove</w:t>
      </w:r>
      <w:r>
        <w:t xml:space="preserve"> locations. Subtype metrics compare </w:t>
      </w:r>
      <w:r>
        <w:rPr>
          <w:rFonts w:ascii="Consolas" w:hAnsi="Consolas"/>
          <w:sz w:val="20"/>
        </w:rPr>
        <w:t>(trace, segment, reason)</w:t>
      </w:r>
      <w:r>
        <w:t xml:space="preserve"> tuples. Localization accuracy is the proportion of human-reference locations also identified by the detector, regardless of whether its subtype name matches. Task-macro estimates average within the 60 independent task IDs before uncertainty is calculated.</w:t>
      </w:r>
    </w:p>
    <w:p>
      <w:pPr>
        <w:pStyle w:val="2"/>
      </w:pPr>
      <w:r>
        <w:t>Runtime Auditing Framework</w:t>
      </w:r>
    </w:p>
    <w:p>
      <w:pPr>
        <w:pStyle w:val="BodyText1"/>
      </w:pPr>
      <w:r>
        <w:t>The artifact is organized around a domain/application/ports/adapters architecture. Figure 3.1 presents the runtime data flow.</w:t>
      </w:r>
    </w:p>
    <w:p>
      <w:pPr>
        <w:keepNext/>
        <w:jc w:val="center"/>
      </w:pPr>
      <w:r>
        <w:drawing>
          <wp:inline xmlns:a="http://schemas.openxmlformats.org/drawingml/2006/main" xmlns:pic="http://schemas.openxmlformats.org/drawingml/2006/picture">
            <wp:extent cx="5806440" cy="2185954"/>
            <wp:docPr id="2" name="Picture 2" descr="Five-stage flow from agent runtime through instrumentation, provenance, analysis, and mitigation, with immutable trace artifacts."/>
            <wp:cNvGraphicFramePr>
              <a:graphicFrameLocks noChangeAspect="1"/>
            </wp:cNvGraphicFramePr>
            <a:graphic>
              <a:graphicData uri="http://schemas.openxmlformats.org/drawingml/2006/picture">
                <pic:pic>
                  <pic:nvPicPr>
                    <pic:cNvPr id="0" name="runtime_auditing_architecture.png"/>
                    <pic:cNvPicPr/>
                  </pic:nvPicPr>
                  <pic:blipFill>
                    <a:blip r:embed="rId30"/>
                    <a:stretch>
                      <a:fillRect/>
                    </a:stretch>
                  </pic:blipFill>
                  <pic:spPr>
                    <a:xfrm>
                      <a:off x="0" y="0"/>
                      <a:ext cx="5806440" cy="2185954"/>
                    </a:xfrm>
                    <a:prstGeom prst="rect"/>
                  </pic:spPr>
                </pic:pic>
              </a:graphicData>
            </a:graphic>
          </wp:inline>
        </w:drawing>
      </w:r>
    </w:p>
    <w:p>
      <w:pPr>
        <w:pStyle w:val="Figurecaptiontext"/>
        <w:jc w:val="left"/>
      </w:pPr>
      <w:r>
        <w:t>Figure 3.1. Runtime auditing architecture used to capture, attribute, analyze, and mitigate automatically constructed context.</w:t>
      </w:r>
    </w:p>
    <w:p>
      <w:pPr>
        <w:pStyle w:val="BodyText1"/>
      </w:pPr>
      <w:r>
        <w:t xml:space="preserve">The domain layer defines immutable models such as </w:t>
      </w:r>
      <w:r>
        <w:rPr>
          <w:rFonts w:ascii="Consolas" w:hAnsi="Consolas"/>
          <w:sz w:val="20"/>
        </w:rPr>
        <w:t>Message</w:t>
      </w:r>
      <w:r>
        <w:t xml:space="preserve">, </w:t>
      </w:r>
      <w:r>
        <w:rPr>
          <w:rFonts w:ascii="Consolas" w:hAnsi="Consolas"/>
          <w:sz w:val="20"/>
        </w:rPr>
        <w:t>TextSegment</w:t>
      </w:r>
      <w:r>
        <w:t xml:space="preserve">, </w:t>
      </w:r>
      <w:r>
        <w:rPr>
          <w:rFonts w:ascii="Consolas" w:hAnsi="Consolas"/>
          <w:sz w:val="20"/>
        </w:rPr>
        <w:t>AuditTrace</w:t>
      </w:r>
      <w:r>
        <w:t xml:space="preserve">, </w:t>
      </w:r>
      <w:r>
        <w:rPr>
          <w:rFonts w:ascii="Consolas" w:hAnsi="Consolas"/>
          <w:sz w:val="20"/>
        </w:rPr>
        <w:t>ProviderUsage</w:t>
      </w:r>
      <w:r>
        <w:t xml:space="preserve">, </w:t>
      </w:r>
      <w:r>
        <w:rPr>
          <w:rFonts w:ascii="Consolas" w:hAnsi="Consolas"/>
          <w:sz w:val="20"/>
        </w:rPr>
        <w:t>MitigationDecision</w:t>
      </w:r>
      <w:r>
        <w:t xml:space="preserve">, and </w:t>
      </w:r>
      <w:r>
        <w:rPr>
          <w:rFonts w:ascii="Consolas" w:hAnsi="Consolas"/>
          <w:sz w:val="20"/>
        </w:rPr>
        <w:t>RunManifest</w:t>
      </w:r>
      <w:r>
        <w:t>. It has no file-system, provider, or framework dependency. The application layer implements capture, localization, mitigation, evaluation, reporting, study bundling, and annotation export. Ports define the contracts for a chat provider, tokenizer, trace repository, dataset repository, clock, and identifier generator. Adapters implement those contracts for LangChain, DeepSeek, mock execution, JSONL storage, versioned datasets, and run directories.</w:t>
      </w:r>
    </w:p>
    <w:p>
      <w:pPr>
        <w:pStyle w:val="BodyText1"/>
      </w:pPr>
      <w:r>
        <w:t xml:space="preserve">The principal instrumentation point is the provider transport immediately before an HTTP invocation. A </w:t>
      </w:r>
      <w:r>
        <w:rPr>
          <w:rFonts w:ascii="Consolas" w:hAnsi="Consolas"/>
          <w:sz w:val="20"/>
        </w:rPr>
        <w:t>ModelRequestEnvelope</w:t>
      </w:r>
      <w:r>
        <w:t xml:space="preserve"> contains messages, separately supplied system instructions, tool definitions, generation parameters, and a response format. For LangChain, the runtime executes an actual </w:t>
      </w:r>
      <w:r>
        <w:rPr>
          <w:rFonts w:ascii="Consolas" w:hAnsi="Consolas"/>
          <w:sz w:val="20"/>
        </w:rPr>
        <w:t>BaseChatModel.invoke()</w:t>
      </w:r>
      <w:r>
        <w:t xml:space="preserve"> path, binds tool schemas, and records the framework message batch. Custom ReAct reaches the same provider port directly. The provider adapter serializes the final OpenAI-compatible body, computes its canonical SHA-256, and stores a redacted </w:t>
      </w:r>
      <w:r>
        <w:rPr>
          <w:rFonts w:ascii="Consolas" w:hAnsi="Consolas"/>
          <w:sz w:val="20"/>
        </w:rPr>
        <w:t>ProviderRequestRecord</w:t>
      </w:r>
      <w:r>
        <w:t xml:space="preserve">. A separate framework-capture hash is compared with that hash; disagreement creates a </w:t>
      </w:r>
      <w:r>
        <w:rPr>
          <w:rFonts w:ascii="Consolas" w:hAnsi="Consolas"/>
          <w:sz w:val="20"/>
        </w:rPr>
        <w:t>payload_mismatch</w:t>
      </w:r>
      <w:r>
        <w:t xml:space="preserve"> flag.</w:t>
      </w:r>
    </w:p>
    <w:p>
      <w:pPr>
        <w:pStyle w:val="BodyText1"/>
      </w:pPr>
      <w:r>
        <w:t>The instrumentation therefore supports a precise but bounded claim: it records the complete request serialized by the client. It cannot observe undocumented rewriting, tokenization, or routing performed after the provider receives the request. This boundary is reported rather than hidden behind the broader term "the exact prompt seen by the model."</w:t>
      </w:r>
    </w:p>
    <w:p>
      <w:pPr>
        <w:pStyle w:val="BodyText1"/>
      </w:pPr>
      <w:r>
        <w:t xml:space="preserve">Source labeling first uses explicit message metadata. If metadata is absent, the fallback labeler examines roles and conservative text markers for retrieval, memory, framework instructions, and generated traces. A retrieved document or memory session carrying a source identifier remains an atomic segment; line-level splitting would make independent annotation infeasible and would break the provenance unit. Tool definitions are represented as </w:t>
      </w:r>
      <w:r>
        <w:rPr>
          <w:rFonts w:ascii="Consolas" w:hAnsi="Consolas"/>
          <w:sz w:val="20"/>
        </w:rPr>
        <w:t>tool_schema</w:t>
      </w:r>
      <w:r>
        <w:t xml:space="preserve"> segments, whereas returned observations remain </w:t>
      </w:r>
      <w:r>
        <w:rPr>
          <w:rFonts w:ascii="Consolas" w:hAnsi="Consolas"/>
          <w:sz w:val="20"/>
        </w:rPr>
        <w:t>tool</w:t>
      </w:r>
      <w:r>
        <w:t xml:space="preserve"> segments. Additional system instructions and response formats are also included in the measurement model.</w:t>
      </w:r>
    </w:p>
    <w:p>
      <w:pPr>
        <w:pStyle w:val="BodyText1"/>
      </w:pPr>
      <w:r>
        <w:t>Each capture request includes task, framework, provider, model, configuration, workflow, dataset version, split, analysis cohort, repetition, seed, invocation index, generation parameters, and configuration hash. The resulting trace adds a unique trace identifier, timestamp, request envelope, provider request record, segments, metrics, risk flags, evidence-tier labels, usage, latency, task output, score, and mitigation decisions. Schema 1.2.0 is the current writer. Schema 1.1.0 remains read-only for the immutable Study A archive.</w:t>
      </w:r>
    </w:p>
    <w:p>
      <w:pPr>
        <w:pStyle w:val="BodyText1"/>
      </w:pPr>
      <w:r>
        <w:t xml:space="preserve">Traces are appended to </w:t>
      </w:r>
      <w:r>
        <w:rPr>
          <w:rFonts w:ascii="Consolas" w:hAnsi="Consolas"/>
          <w:sz w:val="20"/>
        </w:rPr>
        <w:t>traces/invocations.jsonl</w:t>
      </w:r>
      <w:r>
        <w:t xml:space="preserve">. Derived invocation and task tables are written as CSV, while summaries and RQ evidence use JSON. Every experiment receives a unique directory. A collision is an error rather than an overwrite. The run manifest begins in </w:t>
      </w:r>
      <w:r>
        <w:rPr>
          <w:rFonts w:ascii="Consolas" w:hAnsi="Consolas"/>
          <w:sz w:val="20"/>
        </w:rPr>
        <w:t>running</w:t>
      </w:r>
      <w:r>
        <w:t xml:space="preserve"> state and ends as </w:t>
      </w:r>
      <w:r>
        <w:rPr>
          <w:rFonts w:ascii="Consolas" w:hAnsi="Consolas"/>
          <w:sz w:val="20"/>
        </w:rPr>
        <w:t>completed</w:t>
      </w:r>
      <w:r>
        <w:t xml:space="preserve"> or </w:t>
      </w:r>
      <w:r>
        <w:rPr>
          <w:rFonts w:ascii="Consolas" w:hAnsi="Consolas"/>
          <w:sz w:val="20"/>
        </w:rPr>
        <w:t>failed</w:t>
      </w:r>
      <w:r>
        <w:t>. It records the project and schema versions, Git commit, dependency versions, model call date, configuration and dataset hashes, seed, token usage, output file list, SHA-256 hashes, and a redacted failure reason. Real-provider runs require a clean Git worktree so that the recorded commit identifies the executed code.</w:t>
      </w:r>
    </w:p>
    <w:p>
      <w:pPr>
        <w:pStyle w:val="BodyText1"/>
      </w:pPr>
      <w:r>
        <w:t xml:space="preserve">Text persistence is governed by </w:t>
      </w:r>
      <w:r>
        <w:rPr>
          <w:rFonts w:ascii="Consolas" w:hAnsi="Consolas"/>
          <w:sz w:val="20"/>
        </w:rPr>
        <w:t>full</w:t>
      </w:r>
      <w:r>
        <w:t xml:space="preserve">, </w:t>
      </w:r>
      <w:r>
        <w:rPr>
          <w:rFonts w:ascii="Consolas" w:hAnsi="Consolas"/>
          <w:sz w:val="20"/>
        </w:rPr>
        <w:t>redacted</w:t>
      </w:r>
      <w:r>
        <w:t xml:space="preserve">, and </w:t>
      </w:r>
      <w:r>
        <w:rPr>
          <w:rFonts w:ascii="Consolas" w:hAnsi="Consolas"/>
          <w:sz w:val="20"/>
        </w:rPr>
        <w:t>hash-only</w:t>
      </w:r>
      <w:r>
        <w:t xml:space="preserve"> privacy modes. Redaction removes bearer credentials, common secret assignments, email addresses, and phone-like strings before persistence. Hash-only mode replaces text with its SHA-256 identity. Character counts, token counts, and hashes are computed from the original in-memory text before the stored representation is applied. The formal study uses redacted mode. This policy does not provide complete data-loss prevention, but it separates measurement from the decision to retain raw text.</w:t>
      </w:r>
    </w:p>
    <w:p>
      <w:pPr>
        <w:pStyle w:val="2"/>
      </w:pPr>
      <w:r>
        <w:t>Detection, Localization, and Mitigation</w:t>
      </w:r>
    </w:p>
    <w:p>
      <w:pPr>
        <w:pStyle w:val="BodyText1"/>
      </w:pPr>
      <w:r>
        <w:t>Detection processes segments in message order and maintains prior segments by source. Exact matching is checked first, followed by near duplication. A retrieval or memory segment is then evaluated for query relevance, and a tool segment for verbosity. More than one label may be attached to a segment. Each finding records the segment identifier, source, label, score, and, for duplication, the earlier evidence segment. Localization is therefore part of the detector output rather than a separate post-hoc explanation.</w:t>
      </w:r>
    </w:p>
    <w:p>
      <w:pPr>
        <w:pStyle w:val="BodyText1"/>
      </w:pPr>
      <w:r>
        <w:t xml:space="preserve">The auditing guard also emits three operational signals. </w:t>
      </w:r>
      <w:r>
        <w:rPr>
          <w:rFonts w:ascii="Consolas" w:hAnsi="Consolas"/>
          <w:sz w:val="20"/>
        </w:rPr>
        <w:t>duplicate_segments</w:t>
      </w:r>
      <w:r>
        <w:t xml:space="preserve"> indicates at least one repeated normalized hash. </w:t>
      </w:r>
      <w:r>
        <w:rPr>
          <w:rFonts w:ascii="Consolas" w:hAnsi="Consolas"/>
          <w:sz w:val="20"/>
        </w:rPr>
        <w:t>context_growth_spike</w:t>
      </w:r>
      <w:r>
        <w:t xml:space="preserve"> indicates more than 50% growth from the preceding invocation in the same sequence. </w:t>
      </w:r>
      <w:r>
        <w:rPr>
          <w:rFonts w:ascii="Consolas" w:hAnsi="Consolas"/>
          <w:sz w:val="20"/>
        </w:rPr>
        <w:t>source_dominance:&lt;source&gt;</w:t>
      </w:r>
      <w:r>
        <w:t xml:space="preserve"> indicates that a managed source reaches 65% of context tokens. These signals are descriptive warnings and are not used as independent RQ1 reference labels.</w:t>
      </w:r>
    </w:p>
    <w:p>
      <w:pPr>
        <w:pStyle w:val="BodyText1"/>
      </w:pPr>
      <w:r>
        <w:t xml:space="preserve">The Study A </w:t>
      </w:r>
      <w:r>
        <w:rPr>
          <w:rFonts w:ascii="Consolas" w:hAnsi="Consolas"/>
          <w:sz w:val="20"/>
        </w:rPr>
        <w:t>source-aware</w:t>
      </w:r>
      <w:r>
        <w:t xml:space="preserve"> mitigation manages retrieval, memory, and tool messages. It removes later exact duplicates, removes later near duplicates at the same 0.8 threshold, removes retrieval or memory messages below the 0.05 query-overlap threshold, and compresses tool output at or above 80 tokens. Tool compression retains the first non-empty line and replaces the remaining details with a marker. System and user messages are not removed by this strategy.</w:t>
      </w:r>
    </w:p>
    <w:p>
      <w:pPr>
        <w:pStyle w:val="BodyText1"/>
      </w:pPr>
      <w:r>
        <w:t xml:space="preserve">Every intervention creates a </w:t>
      </w:r>
      <w:r>
        <w:rPr>
          <w:rFonts w:ascii="Consolas" w:hAnsi="Consolas"/>
          <w:sz w:val="20"/>
        </w:rPr>
        <w:t>MitigationDecision</w:t>
      </w:r>
      <w:r>
        <w:t xml:space="preserve"> with the affected message identifier, action, reason, source, and number of removed tokens. This makes the reduced context auditable: a smaller prompt can be traced back to specific decisions rather than appearing as an unexplained transformed string. The framework also implements exact-only and last-</w:t>
      </w:r>
      <w:r>
        <w:rPr>
          <w:i/>
        </w:rPr>
        <w:t>n</w:t>
      </w:r>
      <w:r>
        <w:t xml:space="preserve"> strategies. Their existence does not change the Study A finding that source-aware removal was associated with a task-success decrease.</w:t>
      </w:r>
    </w:p>
    <w:p>
      <w:pPr>
        <w:pStyle w:val="BodyText1"/>
      </w:pPr>
      <w:r>
        <w:t>Mitigation is applied before the final model invocation. For retrieval and memory tasks, it operates on the constructed single-invocation context. For tool tasks, the planning invocation remains unchanged; after the tool output and planning response have been added, mitigation operates on the messages used for the final answer. This ordering ensures that the comparison measures the context actually presented when the task result is generated.</w:t>
      </w:r>
    </w:p>
    <w:p>
      <w:pPr>
        <w:pStyle w:val="BodyText1"/>
      </w:pPr>
      <w:r>
        <w:t xml:space="preserve">Study C compares three final-request replay arms: unmodified, provenance-aware, and LLMLingua-2 </w:t>
      </w:r>
      <w:r>
        <w:t>[17]</w:t>
      </w:r>
      <w:r>
        <w:t xml:space="preserve">. System instructions, user messages, and tool schemas are protected. LLMLingua-2 receives the same managed-source token budget retained by the provenance-aware method, preventing a larger compression budget from confounding the comparison. Separately, single-segment counterfactual variants remove either a consensus </w:t>
      </w:r>
      <w:r>
        <w:rPr>
          <w:rFonts w:ascii="Consolas" w:hAnsi="Consolas"/>
          <w:sz w:val="20"/>
        </w:rPr>
        <w:t>remove</w:t>
      </w:r>
      <w:r>
        <w:t xml:space="preserve"> candidate or a token-matched consensus </w:t>
      </w:r>
      <w:r>
        <w:rPr>
          <w:rFonts w:ascii="Consolas" w:hAnsi="Consolas"/>
          <w:sz w:val="20"/>
        </w:rPr>
        <w:t>keep</w:t>
      </w:r>
      <w:r>
        <w:t xml:space="preserve"> segment. A candidate is called counterfactually removable only when both frozen repetitions preserve task success and do not score below their paired unmodified baseline.</w:t>
      </w:r>
    </w:p>
    <w:p>
      <w:pPr>
        <w:pStyle w:val="BodyText1"/>
      </w:pPr>
      <w:r>
        <w:t>The approach is intentionally simple. Lexical similarity can miss semantic duplicates, token overlap is a weak relevance model, and retaining only the first line of a tool result is appropriate only for the controlled fixtures. These choices make decisions deterministic, transparent, and reproducible, which is suitable for testing the auditing framework. They do not establish a production-ready context optimizer.</w:t>
      </w:r>
    </w:p>
    <w:p>
      <w:pPr>
        <w:pStyle w:val="1"/>
      </w:pPr>
      <w:r>
        <w:t>Research Methodology</w:t>
      </w:r>
    </w:p>
    <w:p>
      <w:pPr>
        <w:pStyle w:val="2"/>
      </w:pPr>
      <w:r>
        <w:t>Experimental Design</w:t>
      </w:r>
    </w:p>
    <w:p>
      <w:pPr>
        <w:pStyle w:val="BodyText1"/>
      </w:pPr>
      <w:r>
        <w:t>The empirical design contains three studies with different evidential roles. Study A is the existing controlled perturbation benchmark. Study B validates the heuristic detector against independently annotated natural traces. Study C tests counterfactual removability and compares mitigation strategies. Results from one study are not promoted to a stronger evidence category merely because they are numerically favorable.</w:t>
      </w:r>
    </w:p>
    <w:p>
      <w:pPr>
        <w:pStyle w:val="BodyText1"/>
      </w:pPr>
      <w:r>
        <w:t>### Study A: controlled perturbation benchmark</w:t>
      </w:r>
    </w:p>
    <w:p>
      <w:pPr>
        <w:pStyle w:val="BodyText1"/>
      </w:pPr>
      <w:r>
        <w:t xml:space="preserve">Study A uses </w:t>
      </w:r>
      <w:r>
        <w:rPr>
          <w:rFonts w:ascii="Consolas" w:hAnsi="Consolas"/>
          <w:sz w:val="20"/>
        </w:rPr>
        <w:t>context_bloat_benchmark/v1</w:t>
      </w:r>
      <w:r>
        <w:t xml:space="preserve">, containing six calibration tasks and 30 held-out tasks divided equally among retrieval QA, memory-based interaction, and multi-step tool use. Each held-out task is run under </w:t>
      </w:r>
      <w:r>
        <w:rPr>
          <w:rFonts w:ascii="Consolas" w:hAnsi="Consolas"/>
          <w:sz w:val="20"/>
        </w:rPr>
        <w:t>baseline</w:t>
      </w:r>
      <w:r>
        <w:t xml:space="preserve">, </w:t>
      </w:r>
      <w:r>
        <w:rPr>
          <w:rFonts w:ascii="Consolas" w:hAnsi="Consolas"/>
          <w:sz w:val="20"/>
        </w:rPr>
        <w:t>sufficient</w:t>
      </w:r>
      <w:r>
        <w:t xml:space="preserve">, </w:t>
      </w:r>
      <w:r>
        <w:rPr>
          <w:rFonts w:ascii="Consolas" w:hAnsi="Consolas"/>
          <w:sz w:val="20"/>
        </w:rPr>
        <w:t>exact_bloat</w:t>
      </w:r>
      <w:r>
        <w:t xml:space="preserve">, </w:t>
      </w:r>
      <w:r>
        <w:rPr>
          <w:rFonts w:ascii="Consolas" w:hAnsi="Consolas"/>
          <w:sz w:val="20"/>
        </w:rPr>
        <w:t>source_specific_bloat</w:t>
      </w:r>
      <w:r>
        <w:t xml:space="preserve">, </w:t>
      </w:r>
      <w:r>
        <w:rPr>
          <w:rFonts w:ascii="Consolas" w:hAnsi="Consolas"/>
          <w:sz w:val="20"/>
        </w:rPr>
        <w:t>combined_bloat</w:t>
      </w:r>
      <w:r>
        <w:t xml:space="preserve">, and </w:t>
      </w:r>
      <w:r>
        <w:rPr>
          <w:rFonts w:ascii="Consolas" w:hAnsi="Consolas"/>
          <w:sz w:val="20"/>
        </w:rPr>
        <w:t>mitigated</w:t>
      </w:r>
      <w:r>
        <w:t xml:space="preserve"> conditions in both frameworks and three repetitions. A separate six-task cross-source stress cohort uses three conditions.</w:t>
      </w:r>
    </w:p>
    <w:p>
      <w:pPr>
        <w:pStyle w:val="BodyText1"/>
      </w:pPr>
      <w:r>
        <w:t>The accepted Study A artifact contains 1,188 completed task runs and 1,596 model invocations. The injected labels are derived from the same controlled construction rules that create duplicate, low-relevance, stale, and verbose segments. Study A therefore verifies trace capture, provenance propagation, metric calculation, and report consistency. It does not independently validate detection accuracy.</w:t>
      </w:r>
    </w:p>
    <w:p>
      <w:pPr>
        <w:pStyle w:val="BodyText1"/>
      </w:pPr>
      <w:r>
        <w:t>### Study B: independently annotated natural traces</w:t>
      </w:r>
    </w:p>
    <w:p>
      <w:pPr>
        <w:pStyle w:val="BodyText1"/>
      </w:pPr>
      <w:r>
        <w:t xml:space="preserve">Study B uses </w:t>
      </w:r>
      <w:r>
        <w:rPr>
          <w:rFonts w:ascii="Consolas" w:hAnsi="Consolas"/>
          <w:sz w:val="20"/>
        </w:rPr>
        <w:t>external_validation/v1</w:t>
      </w:r>
      <w:r>
        <w:t xml:space="preserve">, a frozen 72-task research view with 12 calibration and 60 held-out tasks. Each workflow contributes four calibration and twenty test tasks. Retrieval tasks are sampled from the HotpotQA distractor development set </w:t>
      </w:r>
      <w:r>
        <w:t>[26]</w:t>
      </w:r>
      <w:r>
        <w:t xml:space="preserve">. Memory tasks are sampled from the cleaned LongMemEval-S release </w:t>
      </w:r>
      <w:r>
        <w:t>[27]</w:t>
      </w:r>
      <w:r>
        <w:t xml:space="preserve">. Tool tasks are a documented two-turn adaptation of BFCL v4 </w:t>
      </w:r>
      <w:r>
        <w:t>[28]</w:t>
      </w:r>
      <w:r>
        <w:t>. The adaptation keeps the first two user turns and corresponding function calls, retains required function definitions, and adds at most eight deterministic distractor definitions. Consequently, it is a BFCL-derived call-planning condition, not a reproduction of the full stateful BFCL evaluator.</w:t>
      </w:r>
    </w:p>
    <w:p>
      <w:pPr>
        <w:pStyle w:val="BodyText1"/>
      </w:pPr>
      <w:r>
        <w:t xml:space="preserve">Sampling uses seed </w:t>
      </w:r>
      <w:r>
        <w:rPr>
          <w:rFonts w:ascii="Consolas" w:hAnsi="Consolas"/>
          <w:sz w:val="20"/>
        </w:rPr>
        <w:t>20260727</w:t>
      </w:r>
      <w:r>
        <w:t>. The dataset manifest records all selected IDs, source-file hashes, upstream version or repository commit, acquisition time, licence, and the BFCL transformation. The 12 calibration tasks may be used to clarify the annotation codebook and choose heuristic thresholds. The 60 test tasks may not be used for tuning.</w:t>
      </w:r>
    </w:p>
    <w:p>
      <w:pPr>
        <w:pStyle w:val="BodyText1"/>
      </w:pPr>
      <w:r>
        <w:t>Both LangChain and Custom ReAct execute the same 60 held-out tasks, yielding 120 final contexts. Retrieval and memory use one model invocation. Tool tasks use a planning call and, when a tool call is returned, one final call containing the generated trace and deterministic tool observations. Study B therefore requires at most 160 provider calls. No duplicate, relevance, stale-memory, or verbosity label is embedded in task messages. The external runner rejects any message containing Study A bloat metadata.</w:t>
      </w:r>
    </w:p>
    <w:p>
      <w:pPr>
        <w:pStyle w:val="BodyText1"/>
      </w:pPr>
      <w:r>
        <w:t xml:space="preserve">Two annotators independently label every segment in all 120 final contexts. They see the task, ordered role, and text, but not task ID, framework, provenance source, detector output, model answer, or automatic score. Each segment receives </w:t>
      </w:r>
      <w:r>
        <w:rPr>
          <w:rFonts w:ascii="Consolas" w:hAnsi="Consolas"/>
          <w:sz w:val="20"/>
        </w:rPr>
        <w:t>keep</w:t>
      </w:r>
      <w:r>
        <w:t xml:space="preserve">, </w:t>
      </w:r>
      <w:r>
        <w:rPr>
          <w:rFonts w:ascii="Consolas" w:hAnsi="Consolas"/>
          <w:sz w:val="20"/>
        </w:rPr>
        <w:t>remove</w:t>
      </w:r>
      <w:r>
        <w:t xml:space="preserve">, or </w:t>
      </w:r>
      <w:r>
        <w:rPr>
          <w:rFonts w:ascii="Consolas" w:hAnsi="Consolas"/>
          <w:sz w:val="20"/>
        </w:rPr>
        <w:t>uncertain</w:t>
      </w:r>
      <w:r>
        <w:t>, one or more reason codes, and a confidence value. Reasons are exact duplicate, near duplicate, low query relevance, stale or conflicting context, verbose tool output, and other. Agreement is calculated before discussion; disagreements are then adjudicated without replacing the two original files.</w:t>
      </w:r>
    </w:p>
    <w:p>
      <w:pPr>
        <w:pStyle w:val="BodyText1"/>
      </w:pPr>
      <w:r>
        <w:t>### Study C: counterfactual and mitigation evaluation</w:t>
      </w:r>
    </w:p>
    <w:p>
      <w:pPr>
        <w:pStyle w:val="BodyText1"/>
      </w:pPr>
      <w:r>
        <w:t xml:space="preserve">The counterfactual component selects three eligible contexts from every workflow-framework combination, for 18 contexts in total. Each contributes an unmodified request, a request with one consensus </w:t>
      </w:r>
      <w:r>
        <w:rPr>
          <w:rFonts w:ascii="Consolas" w:hAnsi="Consolas"/>
          <w:sz w:val="20"/>
        </w:rPr>
        <w:t>remove</w:t>
      </w:r>
      <w:r>
        <w:t xml:space="preserve"> segment deleted, and a request with a token-matched consensus </w:t>
      </w:r>
      <w:r>
        <w:rPr>
          <w:rFonts w:ascii="Consolas" w:hAnsi="Consolas"/>
          <w:sz w:val="20"/>
        </w:rPr>
        <w:t>keep</w:t>
      </w:r>
      <w:r>
        <w:t xml:space="preserve"> segment deleted. All three variants are executed with seeds </w:t>
      </w:r>
      <w:r>
        <w:rPr>
          <w:rFonts w:ascii="Consolas" w:hAnsi="Consolas"/>
          <w:sz w:val="20"/>
        </w:rPr>
        <w:t>20260727</w:t>
      </w:r>
      <w:r>
        <w:t xml:space="preserve"> and </w:t>
      </w:r>
      <w:r>
        <w:rPr>
          <w:rFonts w:ascii="Consolas" w:hAnsi="Consolas"/>
          <w:sz w:val="20"/>
        </w:rPr>
        <w:t>20260728</w:t>
      </w:r>
      <w:r>
        <w:t>, giving 108 calls. A candidate is classified as counterfactually removable only if both deletion repetitions succeed and neither score is below its paired unmodified baseline.</w:t>
      </w:r>
    </w:p>
    <w:p>
      <w:pPr>
        <w:pStyle w:val="BodyText1"/>
      </w:pPr>
      <w:r>
        <w:t xml:space="preserve">The mitigation component preselects ten task IDs per workflow. Both frameworks are replayed under </w:t>
      </w:r>
      <w:r>
        <w:rPr>
          <w:rFonts w:ascii="Consolas" w:hAnsi="Consolas"/>
          <w:sz w:val="20"/>
        </w:rPr>
        <w:t>unmodified</w:t>
      </w:r>
      <w:r>
        <w:t xml:space="preserve">, </w:t>
      </w:r>
      <w:r>
        <w:rPr>
          <w:rFonts w:ascii="Consolas" w:hAnsi="Consolas"/>
          <w:sz w:val="20"/>
        </w:rPr>
        <w:t>provenance_aware</w:t>
      </w:r>
      <w:r>
        <w:t xml:space="preserve">, and </w:t>
      </w:r>
      <w:r>
        <w:rPr>
          <w:rFonts w:ascii="Consolas" w:hAnsi="Consolas"/>
          <w:sz w:val="20"/>
        </w:rPr>
        <w:t>llmlingua2_budget_matched</w:t>
      </w:r>
      <w:r>
        <w:t xml:space="preserve">, giving 180 calls. LLMLingua-2 is an extractive, task-agnostic compression baseline </w:t>
      </w:r>
      <w:r>
        <w:t>[17]</w:t>
      </w:r>
      <w:r>
        <w:t>. It receives the same managed-source token budget retained by the provenance-aware arm. System and user instructions, response contracts, and tool definitions are protected. Two annotators score all 180 mitigation outputs while condition and automatic score remain hidden.</w:t>
      </w:r>
    </w:p>
    <w:p>
      <w:pPr>
        <w:pStyle w:val="BodyText1"/>
      </w:pPr>
      <w:r>
        <w:t>Study B and Study C share a persistent, process-locked ledger capped at 500 HTTP attempts. Their frozen maximum is 448, leaving 52 attempts for failures or documented recovery. The 501st reservation fails before a provider request can be created. API failures remain failures under intention-to-treat analysis; a completed-run analysis is secondary.</w:t>
      </w:r>
    </w:p>
    <w:p>
      <w:pPr>
        <w:pStyle w:val="BodyText1"/>
      </w:pPr>
      <w:r>
        <w:t>Figure 4.1 summarizes the three-study design.</w:t>
      </w:r>
    </w:p>
    <w:p>
      <w:pPr>
        <w:keepNext/>
        <w:jc w:val="center"/>
      </w:pPr>
      <w:r>
        <w:drawing>
          <wp:inline xmlns:a="http://schemas.openxmlformats.org/drawingml/2006/main" xmlns:pic="http://schemas.openxmlformats.org/drawingml/2006/picture">
            <wp:extent cx="5897880" cy="3476645"/>
            <wp:docPr id="3" name="Picture 3" descr="Study A tests controlled pipeline consistency, Study B uses independently annotated natural traces, and Study C compares counterfactual removal and budget-matched mitigation."/>
            <wp:cNvGraphicFramePr>
              <a:graphicFrameLocks noChangeAspect="1"/>
            </wp:cNvGraphicFramePr>
            <a:graphic>
              <a:graphicData uri="http://schemas.openxmlformats.org/drawingml/2006/picture">
                <pic:pic>
                  <pic:nvPicPr>
                    <pic:cNvPr id="0" name="figure_4_1_experimental_workflow.png"/>
                    <pic:cNvPicPr/>
                  </pic:nvPicPr>
                  <pic:blipFill>
                    <a:blip r:embed="rId31"/>
                    <a:stretch>
                      <a:fillRect/>
                    </a:stretch>
                  </pic:blipFill>
                  <pic:spPr>
                    <a:xfrm>
                      <a:off x="0" y="0"/>
                      <a:ext cx="5897880" cy="3476645"/>
                    </a:xfrm>
                    <a:prstGeom prst="rect"/>
                  </pic:spPr>
                </pic:pic>
              </a:graphicData>
            </a:graphic>
          </wp:inline>
        </w:drawing>
      </w:r>
    </w:p>
    <w:p>
      <w:pPr>
        <w:pStyle w:val="Figurecaptiontext"/>
        <w:jc w:val="left"/>
      </w:pPr>
      <w:r>
        <w:t>Figure 4.1. Study A/B/C workflow from shared request capture through separated injected, heuristic, human-reference, and counterfactual evidence.</w:t>
      </w:r>
    </w:p>
    <w:p>
      <w:pPr>
        <w:pStyle w:val="2"/>
      </w:pPr>
      <w:r>
        <w:t>Agent Implementations and Execution Environment</w:t>
      </w:r>
    </w:p>
    <w:p>
      <w:pPr>
        <w:pStyle w:val="BodyText1"/>
      </w:pPr>
      <w:r>
        <w:t xml:space="preserve">The two execution paths use the same domain models, dataset repository, tokenizer, detector, provider port, storage adapter, and report builder. The LangChain path invokes an actual </w:t>
      </w:r>
      <w:r>
        <w:rPr>
          <w:rFonts w:ascii="Consolas" w:hAnsi="Consolas"/>
          <w:sz w:val="20"/>
        </w:rPr>
        <w:t>BaseChatModel</w:t>
      </w:r>
      <w:r>
        <w:t>, binds the available tool schemas, and captures the framework message batch. The Custom ReAct path constructs the same class of request directly. This comparison demonstrates that both controlled integration paths can use one auditing core. Because the context constructors and provider adapter remain shared, it is not treated as proof of universal framework independence.</w:t>
      </w:r>
    </w:p>
    <w:p>
      <w:pPr>
        <w:pStyle w:val="BodyText1"/>
      </w:pPr>
      <w:r>
        <w:t xml:space="preserve">Before transport, each path creates a </w:t>
      </w:r>
      <w:r>
        <w:rPr>
          <w:rFonts w:ascii="Consolas" w:hAnsi="Consolas"/>
          <w:sz w:val="20"/>
        </w:rPr>
        <w:t>ModelRequestEnvelope</w:t>
      </w:r>
      <w:r>
        <w:t xml:space="preserve">. The DeepSeek adapter serializes this envelope into an OpenAI-compatible request body. The framework capture and serialized payload receive independent canonical hashes. The actual bytes supplied to the HTTP request are hashed again in the </w:t>
      </w:r>
      <w:r>
        <w:rPr>
          <w:rFonts w:ascii="Consolas" w:hAnsi="Consolas"/>
          <w:sz w:val="20"/>
        </w:rPr>
        <w:t>ProviderRequestRecord</w:t>
      </w:r>
      <w:r>
        <w:t>; a mismatch becomes a trace risk flag. The study can therefore claim observation of the client-side serialized request, but not provider-internal transformations.</w:t>
      </w:r>
    </w:p>
    <w:p>
      <w:pPr>
        <w:pStyle w:val="BodyText1"/>
      </w:pPr>
      <w:r>
        <w:t xml:space="preserve">Study A uses </w:t>
      </w:r>
      <w:r>
        <w:rPr>
          <w:rFonts w:ascii="Consolas" w:hAnsi="Consolas"/>
          <w:sz w:val="20"/>
        </w:rPr>
        <w:t>deepseek-v4-flash</w:t>
      </w:r>
      <w:r>
        <w:t>, temperature 0.0, a maximum output length of 256 tokens, and the archived schema-1.1 configurations. Study B and Study C use the same provider condition with schema 1.2.0, temperature 0.0, a 256-token output limit, a 90-second timeout, and no automatic retry. Disabling retries makes the call ledger and intention-to-treat denominator unambiguous. The exact model identifier, provider, call date, generation parameters, dependency versions, configuration hash, dataset hash, and Git commit are retained in each run manifest.</w:t>
      </w:r>
    </w:p>
    <w:p>
      <w:pPr>
        <w:pStyle w:val="BodyText1"/>
      </w:pPr>
      <w:r>
        <w:t xml:space="preserve">Every run receives a unique non-overwriting directory and begins in </w:t>
      </w:r>
      <w:r>
        <w:rPr>
          <w:rFonts w:ascii="Consolas" w:hAnsi="Consolas"/>
          <w:sz w:val="20"/>
        </w:rPr>
        <w:t>running</w:t>
      </w:r>
      <w:r>
        <w:t xml:space="preserve"> state. Completion records output-file SHA-256 values, token usage, estimated cost, and status. Real Study B/C runs require a clean worktree and an externally timestamped OSF registration containing the frozen protocol, codebook, configuration, conclusion rules, schema, and dataset manifest. Study A predates this procedure and is described as frozen, not preregistered.</w:t>
      </w:r>
    </w:p>
    <w:p>
      <w:pPr>
        <w:pStyle w:val="BodyText1"/>
      </w:pPr>
      <w:r>
        <w:t>Persisted requests use redacted mode. Full text is permitted only as an explicit private condition, while hash-only traces cannot be used for textual annotation or replay. Public artifacts must not contain full traces, provider credentials, authorization headers, or raw source downloads.</w:t>
      </w:r>
    </w:p>
    <w:p>
      <w:pPr>
        <w:pStyle w:val="2"/>
      </w:pPr>
      <w:r>
        <w:t>Evaluation and Statistical Analysis</w:t>
      </w:r>
    </w:p>
    <w:p>
      <w:pPr>
        <w:pStyle w:val="BodyText1"/>
      </w:pPr>
      <w:r>
        <w:t xml:space="preserve">The independent analysis unit is the 60 held-out </w:t>
      </w:r>
      <w:r>
        <w:rPr>
          <w:rFonts w:ascii="Consolas" w:hAnsi="Consolas"/>
          <w:sz w:val="20"/>
        </w:rPr>
        <w:t>task_id</w:t>
      </w:r>
      <w:r>
        <w:t xml:space="preserve"> values. Framework, intervention, invocation, and repetition are within-task observations. Confidence intervals use 10,000 deterministic hierarchical bootstrap samples: task IDs are sampled with replacement, and all observations belonging to each sampled task remain together.</w:t>
      </w:r>
    </w:p>
    <w:p>
      <w:pPr>
        <w:pStyle w:val="BodyText1"/>
      </w:pPr>
      <w:r>
        <w:t xml:space="preserve">RQ1 reports binary segment precision, recall, and F1; task-macro binary F1; reason-subtype metrics; and segment localization accuracy. Binary localization requires the correct segment, not the same reason name. Study A results are reported separately as injected-rule consistency. Study B results use only adjudicated human </w:t>
      </w:r>
      <w:r>
        <w:rPr>
          <w:rFonts w:ascii="Consolas" w:hAnsi="Consolas"/>
          <w:sz w:val="20"/>
        </w:rPr>
        <w:t>remove</w:t>
      </w:r>
      <w:r>
        <w:t xml:space="preserve"> segments as the reference.</w:t>
      </w:r>
    </w:p>
    <w:p>
      <w:pPr>
        <w:pStyle w:val="BodyText1"/>
      </w:pPr>
      <w:r>
        <w:t xml:space="preserve">For RQ2, the Human Bloat Ratio is the token share of adjudicated </w:t>
      </w:r>
      <w:r>
        <w:rPr>
          <w:rFonts w:ascii="Consolas" w:hAnsi="Consolas"/>
          <w:sz w:val="20"/>
        </w:rPr>
        <w:t>remove</w:t>
      </w:r>
      <w:r>
        <w:t xml:space="preserve"> segments in a final request. It is compared with the detected token share using Spearman correlation, mean absolute error, calibration intercept and slope, and Bland-Altman mean bias and limits of agreement. The former composite measure </w:t>
      </w:r>
      <w:r>
        <w:rPr>
          <w:rFonts w:ascii="Consolas" w:hAnsi="Consolas"/>
          <w:sz w:val="20"/>
        </w:rPr>
        <w:t>max(RR, NRR, DBR)</w:t>
      </w:r>
      <w:r>
        <w:t xml:space="preserve"> is excluded because it contains detector output and cannot independently validate the detector. Counterfactual removability is reported as a separate behavioral result rather than folded into the same ratio.</w:t>
      </w:r>
    </w:p>
    <w:p>
      <w:pPr>
        <w:pStyle w:val="BodyText1"/>
      </w:pPr>
      <w:r>
        <w:t xml:space="preserve">RQ3 reports controlled injected ratios and natural human-reference ratios in separate tables. Source and workflow means include task-cluster bootstrap intervals. Pairwise workflow contrasts include mean differences and Hedges' </w:t>
      </w:r>
      <w:r>
        <w:rPr>
          <w:rFonts w:ascii="Cambria Math" w:hAnsi="Cambria Math"/>
          <w:i/>
        </w:rPr>
        <w:t>g</w:t>
      </w:r>
      <w:r>
        <w:t>. A ranking is written as an observation under the sampled tasks and context-construction policy, not as a general causal ordering.</w:t>
      </w:r>
    </w:p>
    <w:p>
      <w:pPr>
        <w:pStyle w:val="BodyText1"/>
      </w:pPr>
      <w:r>
        <w:t>RQ4 pairs each mitigation arm with the unmodified request within task and framework. Outcomes are context-token reduction, provider-reported cost, latency, deterministic score, and adjudicated human task success. The primary task-success statistic is the risk difference</w:t>
      </w:r>
    </w:p>
    <w:p>
      <w:pPr>
        <w:spacing w:before="120" w:after="160"/>
        <w:jc w:val="center"/>
      </w:pPr>
      <w:r>
        <w:rPr>
          <w:rFonts w:ascii="Cambria Math" w:hAnsi="Cambria Math"/>
          <w:i/>
          <w:sz w:val="22"/>
        </w:rPr>
        <w:t>Delta p = p_intervention - p_unmodified.</w:t>
      </w:r>
    </w:p>
    <w:p>
      <w:pPr>
        <w:pStyle w:val="BodyText1"/>
      </w:pPr>
      <w:r>
        <w:t>Non-inferiority is established at the main margin only if the lower 95% confidence bound is at least -0.05. Sensitivity analyses repeat the decision at -0.02 and -0.10. A task-clustered logistic GEE is reported as a validation analysis; if the contrast is non-estimable, that fact is retained rather than converted to a finite value. Study A's repetition-level McNemar result remains exploratory.</w:t>
      </w:r>
    </w:p>
    <w:p>
      <w:pPr>
        <w:pStyle w:val="BodyText1"/>
      </w:pPr>
      <w:r>
        <w:t>HotpotQA outputs use the benchmark-style normalized token F1 with a frozen 0.8 success threshold. LongMemEval uses a deterministic contains score as a reproducible secondary measure because its semantic answers can exceed the scope of exact matching. BFCL-derived tasks use canonical function name and argument matching, including positional-to-schema argument conversion. Human task-success labels are primary for the mitigation comparison precisely because all three automatic procedures can reject semantically valid outputs or accept misleading ones.</w:t>
      </w:r>
    </w:p>
    <w:p>
      <w:pPr>
        <w:pStyle w:val="2"/>
      </w:pPr>
      <w:r>
        <w:t>Human Evaluation, Ethics, and Validity</w:t>
      </w:r>
    </w:p>
    <w:p>
      <w:pPr>
        <w:pStyle w:val="BodyText1"/>
      </w:pPr>
      <w:r>
        <w:t>Context annotation uses 100% reviewer overlap. Before adjudication, the study reports percent agreement, Cohen's kappa, Gwet's AC1, and nominal Krippendorff's alpha. Outcome annotation uses the same overlap and agreement procedure. Original reviewer files, answer keys, adjudication decisions, input hashes, and agreement reports are retained as distinct artifacts.</w:t>
      </w:r>
    </w:p>
    <w:p>
      <w:pPr>
        <w:pStyle w:val="BodyText1"/>
      </w:pPr>
      <w:r>
        <w:t xml:space="preserve">The main construct-validity risk is that context bloat is not directly observable. A human </w:t>
      </w:r>
      <w:r>
        <w:rPr>
          <w:rFonts w:ascii="Consolas" w:hAnsi="Consolas"/>
          <w:sz w:val="20"/>
        </w:rPr>
        <w:t>remove</w:t>
      </w:r>
      <w:r>
        <w:t xml:space="preserve"> judgement may still be wrong, and removability can depend on a particular model sample. The evidence hierarchy addresses this without claiming to eliminate it: injected patterns validate software, independent annotations validate perceived avoidability, and counterfactual deletion tests utility under two fixed repetitions.</w:t>
      </w:r>
    </w:p>
    <w:p>
      <w:pPr>
        <w:pStyle w:val="BodyText1"/>
      </w:pPr>
      <w:r>
        <w:t>Internal validity benefits from frozen IDs, shared configurations, payload hashes, task-cluster analysis, and intention-to-treat handling. Remaining risks include provider-side model changes, lexical retrieval, deterministic mock tool observations, and possible annotation discussion effects. Deviations are recorded before analysis is rerun.</w:t>
      </w:r>
    </w:p>
    <w:p>
      <w:pPr>
        <w:pStyle w:val="BodyText1"/>
      </w:pPr>
      <w:r>
        <w:t>External validity remains bounded by one provider condition, sixty held-out tasks, English-language benchmarks, two controlled execution paths, and a two-turn BFCL adaptation. HotpotQA, LongMemEval, and BFCL improve realism over synthetic fixtures but do not represent every deployed retriever, memory system, or external API. Findings are therefore scoped to observed traces.</w:t>
      </w:r>
    </w:p>
    <w:p>
      <w:pPr>
        <w:pStyle w:val="BodyText1"/>
      </w:pPr>
      <w:r>
        <w:t xml:space="preserve">For conclusion validity, three repetitions in Study A and two counterfactual seeds do not create new independent tasks. All uncertainty calculations retain </w:t>
      </w:r>
      <w:r>
        <w:rPr>
          <w:rFonts w:ascii="Consolas" w:hAnsi="Consolas"/>
          <w:sz w:val="20"/>
        </w:rPr>
        <w:t>task_id</w:t>
      </w:r>
      <w:r>
        <w:t xml:space="preserve"> as the cluster. The -5 percentage-point margin is interpreted as at most one additional failure per twenty tasks rather than presented as a domain-independent standard. Information-preservation research similarly shows why compression ratio must be evaluated with downstream utility and retained content </w:t>
      </w:r>
      <w:r>
        <w:t>[18]</w:t>
      </w:r>
      <w:r>
        <w:t>.</w:t>
      </w:r>
    </w:p>
    <w:p>
      <w:pPr>
        <w:pStyle w:val="1"/>
      </w:pPr>
      <w:r>
        <w:t>Empirical Results</w:t>
      </w:r>
    </w:p>
    <w:p>
      <w:pPr>
        <w:pStyle w:val="BodyText1"/>
      </w:pPr>
      <w:r>
        <w:t>This chapter currently reports the frozen Study A evidence and defines the tables into which Study B results will be inserted. Study B has not yet passed the external-registration and human-adjudication gates. Consequently, this draft does not assign a final positive status to RQ1, RQ2, or RQ3.</w:t>
      </w:r>
    </w:p>
    <w:p>
      <w:pPr>
        <w:pStyle w:val="BodyText1"/>
      </w:pPr>
      <w:r>
        <w:t>Study A contains 1,596 model invocations and 1,188 completed task runs. The primary cohort contributes 1,380 traces and 1,080 final results from 30 held-out tasks; the cross-source stress cohort contributes 216 traces and 108 final results from six reused tasks. The provider reported 218,434 input tokens and 205,164 output tokens. Estimated API cost was USD 0.0787, and mean invocation latency was 2,448.8 ms. These are provenance facts for one provider condition and date, not general cost estimates.</w:t>
      </w:r>
    </w:p>
    <w:p>
      <w:pPr>
        <w:pStyle w:val="2"/>
      </w:pPr>
      <w:r>
        <w:t>Controlled Detection and Localization Consistency</w:t>
      </w:r>
    </w:p>
    <w:p>
      <w:pPr>
        <w:pStyle w:val="BodyText1"/>
      </w:pPr>
      <w:r>
        <w:t xml:space="preserve">The Study A primary cohort contains 1,122 injected </w:t>
      </w:r>
      <w:r>
        <w:rPr>
          <w:rFonts w:ascii="Consolas" w:hAnsi="Consolas"/>
          <w:sz w:val="20"/>
        </w:rPr>
        <w:t>(trace, segment, label)</w:t>
      </w:r>
      <w:r>
        <w:t xml:space="preserve"> tuples. Table 5.1 reports their agreement with the heuristic detector.</w:t>
      </w:r>
    </w:p>
    <w:p>
      <w:pPr>
        <w:pStyle w:val="Tablecaptiontext"/>
        <w:keepNext/>
      </w:pPr>
      <w:r>
        <w:rPr>
          <w:b/>
        </w:rPr>
        <w:t>Table 5.1. Controlled detection results by bloat label.</w:t>
      </w:r>
    </w:p>
    <w:tbl>
      <w:tblPr>
        <w:tblStyle w:val="afe"/>
        <w:tblW w:type="auto" w:w="0"/>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867"/>
            <w:vAlign w:val="center"/>
            <w:tcMar>
              <w:top w:w="80" w:type="dxa"/>
              <w:start w:w="90" w:type="dxa"/>
              <w:bottom w:w="80" w:type="dxa"/>
              <w:end w:w="90" w:type="dxa"/>
            </w:tcMar>
            <w:shd w:fill="E8EEF3"/>
          </w:tcPr>
          <w:p>
            <w:pPr>
              <w:pStyle w:val="Tabletext"/>
              <w:jc w:val="left"/>
            </w:pPr>
            <w:r>
              <w:rPr>
                <w:b/>
              </w:rPr>
              <w:t>Injected label</w:t>
            </w:r>
          </w:p>
        </w:tc>
        <w:tc>
          <w:tcPr>
            <w:tcW w:type="dxa" w:w="1572"/>
            <w:vAlign w:val="center"/>
            <w:tcMar>
              <w:top w:w="80" w:type="dxa"/>
              <w:start w:w="90" w:type="dxa"/>
              <w:bottom w:w="80" w:type="dxa"/>
              <w:end w:w="90" w:type="dxa"/>
            </w:tcMar>
            <w:shd w:fill="E8EEF3"/>
          </w:tcPr>
          <w:p>
            <w:pPr>
              <w:pStyle w:val="Tabletext"/>
              <w:jc w:val="center"/>
            </w:pPr>
            <w:r>
              <w:rPr>
                <w:b/>
              </w:rPr>
              <w:t>Reference tuples</w:t>
            </w:r>
          </w:p>
        </w:tc>
        <w:tc>
          <w:tcPr>
            <w:tcW w:type="dxa" w:w="1375"/>
            <w:vAlign w:val="center"/>
            <w:tcMar>
              <w:top w:w="80" w:type="dxa"/>
              <w:start w:w="90" w:type="dxa"/>
              <w:bottom w:w="80" w:type="dxa"/>
              <w:end w:w="90" w:type="dxa"/>
            </w:tcMar>
            <w:shd w:fill="E8EEF3"/>
          </w:tcPr>
          <w:p>
            <w:pPr>
              <w:pStyle w:val="Tabletext"/>
              <w:jc w:val="center"/>
            </w:pPr>
            <w:r>
              <w:rPr>
                <w:b/>
              </w:rPr>
              <w:t>True positives</w:t>
            </w:r>
          </w:p>
        </w:tc>
        <w:tc>
          <w:tcPr>
            <w:tcW w:type="dxa" w:w="1474"/>
            <w:vAlign w:val="center"/>
            <w:tcMar>
              <w:top w:w="80" w:type="dxa"/>
              <w:start w:w="90" w:type="dxa"/>
              <w:bottom w:w="80" w:type="dxa"/>
              <w:end w:w="90" w:type="dxa"/>
            </w:tcMar>
            <w:shd w:fill="E8EEF3"/>
          </w:tcPr>
          <w:p>
            <w:pPr>
              <w:pStyle w:val="Tabletext"/>
              <w:jc w:val="center"/>
            </w:pPr>
            <w:r>
              <w:rPr>
                <w:b/>
              </w:rPr>
              <w:t>False positives</w:t>
            </w:r>
          </w:p>
        </w:tc>
        <w:tc>
          <w:tcPr>
            <w:tcW w:type="dxa" w:w="1474"/>
            <w:vAlign w:val="center"/>
            <w:tcMar>
              <w:top w:w="80" w:type="dxa"/>
              <w:start w:w="90" w:type="dxa"/>
              <w:bottom w:w="80" w:type="dxa"/>
              <w:end w:w="90" w:type="dxa"/>
            </w:tcMar>
            <w:shd w:fill="E8EEF3"/>
          </w:tcPr>
          <w:p>
            <w:pPr>
              <w:pStyle w:val="Tabletext"/>
              <w:jc w:val="center"/>
            </w:pPr>
            <w:r>
              <w:rPr>
                <w:b/>
              </w:rPr>
              <w:t>False negatives</w:t>
            </w:r>
          </w:p>
        </w:tc>
        <w:tc>
          <w:tcPr>
            <w:tcW w:type="dxa" w:w="1670"/>
            <w:vAlign w:val="center"/>
            <w:tcMar>
              <w:top w:w="80" w:type="dxa"/>
              <w:start w:w="90" w:type="dxa"/>
              <w:bottom w:w="80" w:type="dxa"/>
              <w:end w:w="90" w:type="dxa"/>
            </w:tcMar>
            <w:shd w:fill="E8EEF3"/>
          </w:tcPr>
          <w:p>
            <w:pPr>
              <w:pStyle w:val="Tabletext"/>
              <w:jc w:val="center"/>
            </w:pPr>
            <w:r>
              <w:rPr>
                <w:b/>
              </w:rPr>
              <w:t>F1</w:t>
            </w:r>
          </w:p>
        </w:tc>
      </w:tr>
      <w:tr>
        <w:tc>
          <w:tcPr>
            <w:tcW w:type="dxa" w:w="1867"/>
            <w:vAlign w:val="center"/>
            <w:tcMar>
              <w:top w:w="80" w:type="dxa"/>
              <w:start w:w="90" w:type="dxa"/>
              <w:bottom w:w="80" w:type="dxa"/>
              <w:end w:w="90" w:type="dxa"/>
            </w:tcMar>
          </w:tcPr>
          <w:p>
            <w:pPr>
              <w:pStyle w:val="Tabletext"/>
              <w:jc w:val="left"/>
            </w:pPr>
            <w:r>
              <w:t>Exact duplicate</w:t>
            </w:r>
          </w:p>
        </w:tc>
        <w:tc>
          <w:tcPr>
            <w:tcW w:type="dxa" w:w="1572"/>
            <w:vAlign w:val="center"/>
            <w:tcMar>
              <w:top w:w="80" w:type="dxa"/>
              <w:start w:w="90" w:type="dxa"/>
              <w:bottom w:w="80" w:type="dxa"/>
              <w:end w:w="90" w:type="dxa"/>
            </w:tcMar>
          </w:tcPr>
          <w:p>
            <w:pPr>
              <w:pStyle w:val="Tabletext"/>
              <w:jc w:val="center"/>
            </w:pPr>
            <w:r>
              <w:t>360</w:t>
            </w:r>
          </w:p>
        </w:tc>
        <w:tc>
          <w:tcPr>
            <w:tcW w:type="dxa" w:w="1375"/>
            <w:vAlign w:val="center"/>
            <w:tcMar>
              <w:top w:w="80" w:type="dxa"/>
              <w:start w:w="90" w:type="dxa"/>
              <w:bottom w:w="80" w:type="dxa"/>
              <w:end w:w="90" w:type="dxa"/>
            </w:tcMar>
          </w:tcPr>
          <w:p>
            <w:pPr>
              <w:pStyle w:val="Tabletext"/>
              <w:jc w:val="center"/>
            </w:pPr>
            <w:r>
              <w:t>360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Low query relevance</w:t>
            </w:r>
          </w:p>
        </w:tc>
        <w:tc>
          <w:tcPr>
            <w:tcW w:type="dxa" w:w="1572"/>
            <w:vAlign w:val="center"/>
            <w:tcMar>
              <w:top w:w="80" w:type="dxa"/>
              <w:start w:w="90" w:type="dxa"/>
              <w:bottom w:w="80" w:type="dxa"/>
              <w:end w:w="90" w:type="dxa"/>
            </w:tcMar>
          </w:tcPr>
          <w:p>
            <w:pPr>
              <w:pStyle w:val="Tabletext"/>
              <w:jc w:val="center"/>
            </w:pPr>
            <w:r>
              <w:t>342</w:t>
            </w:r>
          </w:p>
        </w:tc>
        <w:tc>
          <w:tcPr>
            <w:tcW w:type="dxa" w:w="1375"/>
            <w:vAlign w:val="center"/>
            <w:tcMar>
              <w:top w:w="80" w:type="dxa"/>
              <w:start w:w="90" w:type="dxa"/>
              <w:bottom w:w="80" w:type="dxa"/>
              <w:end w:w="90" w:type="dxa"/>
            </w:tcMar>
          </w:tcPr>
          <w:p>
            <w:pPr>
              <w:pStyle w:val="Tabletext"/>
              <w:jc w:val="center"/>
            </w:pPr>
            <w:r>
              <w:t>342</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Near duplicate</w:t>
            </w:r>
          </w:p>
        </w:tc>
        <w:tc>
          <w:tcPr>
            <w:tcW w:type="dxa" w:w="1572"/>
            <w:vAlign w:val="center"/>
            <w:tcMar>
              <w:top w:w="80" w:type="dxa"/>
              <w:start w:w="90" w:type="dxa"/>
              <w:bottom w:w="80" w:type="dxa"/>
              <w:end w:w="90" w:type="dxa"/>
            </w:tcMar>
          </w:tcPr>
          <w:p>
            <w:pPr>
              <w:pStyle w:val="Tabletext"/>
              <w:jc w:val="center"/>
            </w:pPr>
            <w:r>
              <w:t>240</w:t>
            </w:r>
          </w:p>
        </w:tc>
        <w:tc>
          <w:tcPr>
            <w:tcW w:type="dxa" w:w="1375"/>
            <w:vAlign w:val="center"/>
            <w:tcMar>
              <w:top w:w="80" w:type="dxa"/>
              <w:start w:w="90" w:type="dxa"/>
              <w:bottom w:w="80" w:type="dxa"/>
              <w:end w:w="90" w:type="dxa"/>
            </w:tcMar>
          </w:tcPr>
          <w:p>
            <w:pPr>
              <w:pStyle w:val="Tabletext"/>
              <w:jc w:val="center"/>
            </w:pPr>
            <w:r>
              <w:t>240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t>Verbose tool output</w:t>
            </w:r>
          </w:p>
        </w:tc>
        <w:tc>
          <w:tcPr>
            <w:tcW w:type="dxa" w:w="1572"/>
            <w:vAlign w:val="center"/>
            <w:tcMar>
              <w:top w:w="80" w:type="dxa"/>
              <w:start w:w="90" w:type="dxa"/>
              <w:bottom w:w="80" w:type="dxa"/>
              <w:end w:w="90" w:type="dxa"/>
            </w:tcMar>
          </w:tcPr>
          <w:p>
            <w:pPr>
              <w:pStyle w:val="Tabletext"/>
              <w:jc w:val="center"/>
            </w:pPr>
            <w:r>
              <w:t>180</w:t>
            </w:r>
          </w:p>
        </w:tc>
        <w:tc>
          <w:tcPr>
            <w:tcW w:type="dxa" w:w="1375"/>
            <w:vAlign w:val="center"/>
            <w:tcMar>
              <w:top w:w="80" w:type="dxa"/>
              <w:start w:w="90" w:type="dxa"/>
              <w:bottom w:w="80" w:type="dxa"/>
              <w:end w:w="90" w:type="dxa"/>
            </w:tcMar>
          </w:tcPr>
          <w:p>
            <w:pPr>
              <w:pStyle w:val="Tabletext"/>
              <w:jc w:val="center"/>
            </w:pPr>
            <w:r>
              <w:t>180</w:t>
            </w:r>
          </w:p>
        </w:tc>
        <w:tc>
          <w:tcPr>
            <w:tcW w:type="dxa" w:w="1474"/>
            <w:vAlign w:val="center"/>
            <w:tcMar>
              <w:top w:w="80" w:type="dxa"/>
              <w:start w:w="90" w:type="dxa"/>
              <w:bottom w:w="80" w:type="dxa"/>
              <w:end w:w="90" w:type="dxa"/>
            </w:tcMar>
          </w:tcPr>
          <w:p>
            <w:pPr>
              <w:pStyle w:val="Tabletext"/>
              <w:jc w:val="center"/>
            </w:pPr>
            <w:r>
              <w:t>0</w:t>
            </w:r>
          </w:p>
        </w:tc>
        <w:tc>
          <w:tcPr>
            <w:tcW w:type="dxa" w:w="1474"/>
            <w:vAlign w:val="center"/>
            <w:tcMar>
              <w:top w:w="80" w:type="dxa"/>
              <w:start w:w="90" w:type="dxa"/>
              <w:bottom w:w="80" w:type="dxa"/>
              <w:end w:w="90" w:type="dxa"/>
            </w:tcMar>
          </w:tcPr>
          <w:p>
            <w:pPr>
              <w:pStyle w:val="Tabletext"/>
              <w:jc w:val="center"/>
            </w:pPr>
            <w:r>
              <w:t>0</w:t>
            </w:r>
          </w:p>
        </w:tc>
        <w:tc>
          <w:tcPr>
            <w:tcW w:type="dxa" w:w="1670"/>
            <w:vAlign w:val="center"/>
            <w:tcMar>
              <w:top w:w="80" w:type="dxa"/>
              <w:start w:w="90" w:type="dxa"/>
              <w:bottom w:w="80" w:type="dxa"/>
              <w:end w:w="90" w:type="dxa"/>
            </w:tcMar>
          </w:tcPr>
          <w:p>
            <w:pPr>
              <w:pStyle w:val="Tabletext"/>
              <w:jc w:val="center"/>
            </w:pPr>
            <w:r>
              <w:t>1.000</w:t>
            </w:r>
          </w:p>
        </w:tc>
      </w:tr>
      <w:tr>
        <w:tc>
          <w:tcPr>
            <w:tcW w:type="dxa" w:w="1867"/>
            <w:vAlign w:val="center"/>
            <w:tcMar>
              <w:top w:w="80" w:type="dxa"/>
              <w:start w:w="90" w:type="dxa"/>
              <w:bottom w:w="80" w:type="dxa"/>
              <w:end w:w="90" w:type="dxa"/>
            </w:tcMar>
          </w:tcPr>
          <w:p>
            <w:pPr>
              <w:pStyle w:val="Tabletext"/>
              <w:jc w:val="left"/>
            </w:pPr>
            <w:r>
              <w:rPr>
                <w:b/>
              </w:rPr>
              <w:t>Total</w:t>
            </w:r>
          </w:p>
        </w:tc>
        <w:tc>
          <w:tcPr>
            <w:tcW w:type="dxa" w:w="1572"/>
            <w:vAlign w:val="center"/>
            <w:tcMar>
              <w:top w:w="80" w:type="dxa"/>
              <w:start w:w="90" w:type="dxa"/>
              <w:bottom w:w="80" w:type="dxa"/>
              <w:end w:w="90" w:type="dxa"/>
            </w:tcMar>
          </w:tcPr>
          <w:p>
            <w:pPr>
              <w:pStyle w:val="Tabletext"/>
              <w:jc w:val="center"/>
            </w:pPr>
            <w:r>
              <w:rPr>
                <w:b/>
              </w:rPr>
              <w:t>1,122</w:t>
            </w:r>
          </w:p>
        </w:tc>
        <w:tc>
          <w:tcPr>
            <w:tcW w:type="dxa" w:w="1375"/>
            <w:vAlign w:val="center"/>
            <w:tcMar>
              <w:top w:w="80" w:type="dxa"/>
              <w:start w:w="90" w:type="dxa"/>
              <w:bottom w:w="80" w:type="dxa"/>
              <w:end w:w="90" w:type="dxa"/>
            </w:tcMar>
          </w:tcPr>
          <w:p>
            <w:pPr>
              <w:pStyle w:val="Tabletext"/>
              <w:jc w:val="center"/>
            </w:pPr>
            <w:r>
              <w:rPr>
                <w:b/>
              </w:rPr>
              <w:t>1,122</w:t>
            </w:r>
          </w:p>
        </w:tc>
        <w:tc>
          <w:tcPr>
            <w:tcW w:type="dxa" w:w="1474"/>
            <w:vAlign w:val="center"/>
            <w:tcMar>
              <w:top w:w="80" w:type="dxa"/>
              <w:start w:w="90" w:type="dxa"/>
              <w:bottom w:w="80" w:type="dxa"/>
              <w:end w:w="90" w:type="dxa"/>
            </w:tcMar>
          </w:tcPr>
          <w:p>
            <w:pPr>
              <w:pStyle w:val="Tabletext"/>
              <w:jc w:val="center"/>
            </w:pPr>
            <w:r>
              <w:rPr>
                <w:b/>
              </w:rPr>
              <w:t>0</w:t>
            </w:r>
          </w:p>
        </w:tc>
        <w:tc>
          <w:tcPr>
            <w:tcW w:type="dxa" w:w="1474"/>
            <w:vAlign w:val="center"/>
            <w:tcMar>
              <w:top w:w="80" w:type="dxa"/>
              <w:start w:w="90" w:type="dxa"/>
              <w:bottom w:w="80" w:type="dxa"/>
              <w:end w:w="90" w:type="dxa"/>
            </w:tcMar>
          </w:tcPr>
          <w:p>
            <w:pPr>
              <w:pStyle w:val="Tabletext"/>
              <w:jc w:val="center"/>
            </w:pPr>
            <w:r>
              <w:rPr>
                <w:b/>
              </w:rPr>
              <w:t>0</w:t>
            </w:r>
          </w:p>
        </w:tc>
        <w:tc>
          <w:tcPr>
            <w:tcW w:type="dxa" w:w="1670"/>
            <w:vAlign w:val="center"/>
            <w:tcMar>
              <w:top w:w="80" w:type="dxa"/>
              <w:start w:w="90" w:type="dxa"/>
              <w:bottom w:w="80" w:type="dxa"/>
              <w:end w:w="90" w:type="dxa"/>
            </w:tcMar>
          </w:tcPr>
          <w:p>
            <w:pPr>
              <w:pStyle w:val="Tabletext"/>
              <w:jc w:val="center"/>
            </w:pPr>
            <w:r>
              <w:rPr>
                <w:b/>
              </w:rPr>
              <w:t>1.000 overall</w:t>
            </w:r>
          </w:p>
        </w:tc>
      </w:tr>
    </w:tbl>
    <w:p>
      <w:pPr>
        <w:pStyle w:val="BodyText1"/>
      </w:pPr>
    </w:p>
    <w:p>
      <w:pPr>
        <w:pStyle w:val="BodyText1"/>
      </w:pPr>
      <w:r>
        <w:t>Macro-F1 and same-segment localization are both 1.000, with task-cluster bootstrap intervals [1.000, 1.000]. This result verifies internal consistency: the context constructor placed the intended perturbation, instrumentation preserved its provenance, and the matching deterministic rule recovered it. The label generator and detector share the same source metadata and thresholds. The result therefore cannot estimate accuracy on independently labelled context.</w:t>
      </w:r>
    </w:p>
    <w:p>
      <w:pPr>
        <w:pStyle w:val="BodyText1"/>
      </w:pPr>
      <w:r>
        <w:t xml:space="preserve">The guard also produced 468 </w:t>
      </w:r>
      <w:r>
        <w:rPr>
          <w:rFonts w:ascii="Consolas" w:hAnsi="Consolas"/>
          <w:sz w:val="20"/>
        </w:rPr>
        <w:t>duplicate_segments</w:t>
      </w:r>
      <w:r>
        <w:t xml:space="preserve"> flags, 259 </w:t>
      </w:r>
      <w:r>
        <w:rPr>
          <w:rFonts w:ascii="Consolas" w:hAnsi="Consolas"/>
          <w:sz w:val="20"/>
        </w:rPr>
        <w:t>context_growth_spike</w:t>
      </w:r>
      <w:r>
        <w:t xml:space="preserve"> flags, 156 tool-dominance flags, and 33 retrieval-dominance flags across both cohorts. These invocation-level signals are operational diagnostics, not additional reference labels.</w:t>
      </w:r>
    </w:p>
    <w:p>
      <w:pPr>
        <w:pStyle w:val="BodyText1"/>
      </w:pPr>
      <w:r>
        <w:t>Study B will replace the injected reference with the adjudicated decisions of two annotators. Its main RQ1 table reports binary task-macro precision, recall, and F1, subtype errors, localization accuracy, 95% task-cluster intervals, and the number of independently labelled tasks. Until those values are frozen, the defensible conclusion is:</w:t>
      </w:r>
    </w:p>
    <w:p>
      <w:pPr>
        <w:pStyle w:val="BodyText1"/>
      </w:pPr>
      <w:r>
        <w:t>&gt; The detector is internally consistent with the controlled perturbation &gt; rules; accuracy and localization in natural traces remain to be established.</w:t>
      </w:r>
    </w:p>
    <w:p>
      <w:pPr>
        <w:pStyle w:val="2"/>
      </w:pPr>
      <w:r>
        <w:t>Controlled Measurement and Source Patterns</w:t>
      </w:r>
    </w:p>
    <w:p>
      <w:pPr>
        <w:pStyle w:val="BodyText1"/>
      </w:pPr>
      <w:r>
        <w:t>Across the 1,080 final Study A primary invocations, the injected bloat ratio and detector-derived ratio are identical by construction, and their Spearman correlation is 1.000. This is not an independent validation of measurement. The former schema-1.1 analysis included detector output in its measured composite and compared it with labels derived from matching fixture rules. Schema 1.2 removes that circular comparison from RQ2.</w:t>
      </w:r>
    </w:p>
    <w:p>
      <w:pPr>
        <w:pStyle w:val="BodyText1"/>
      </w:pPr>
      <w:r>
        <w:t>The controlled condition progression remains useful as a perturbation check.</w:t>
      </w:r>
    </w:p>
    <w:p>
      <w:pPr>
        <w:pStyle w:val="Tablecaptiontext"/>
        <w:keepNext/>
      </w:pPr>
      <w:r>
        <w:rPr>
          <w:b/>
        </w:rPr>
        <w:t>Table 5.2. Context metrics by experimental condition.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817"/>
            <w:vAlign w:val="center"/>
            <w:tcMar>
              <w:top w:w="80" w:type="dxa"/>
              <w:start w:w="90" w:type="dxa"/>
              <w:bottom w:w="80" w:type="dxa"/>
              <w:end w:w="90" w:type="dxa"/>
            </w:tcMar>
            <w:shd w:fill="E8EEF3"/>
          </w:tcPr>
          <w:p>
            <w:pPr>
              <w:pStyle w:val="Tabletext"/>
              <w:jc w:val="left"/>
            </w:pPr>
            <w:r>
              <w:rPr>
                <w:b/>
              </w:rPr>
              <w:t>Condition</w:t>
            </w:r>
          </w:p>
        </w:tc>
        <w:tc>
          <w:tcPr>
            <w:tcW w:type="dxa" w:w="1471"/>
            <w:vAlign w:val="center"/>
            <w:tcMar>
              <w:top w:w="80" w:type="dxa"/>
              <w:start w:w="90" w:type="dxa"/>
              <w:bottom w:w="80" w:type="dxa"/>
              <w:end w:w="90" w:type="dxa"/>
            </w:tcMar>
            <w:shd w:fill="E8EEF3"/>
          </w:tcPr>
          <w:p>
            <w:pPr>
              <w:pStyle w:val="Tabletext"/>
              <w:jc w:val="center"/>
            </w:pPr>
            <w:r>
              <w:rPr>
                <w:b/>
              </w:rPr>
              <w:t>Invocation traces</w:t>
            </w:r>
          </w:p>
        </w:tc>
        <w:tc>
          <w:tcPr>
            <w:tcW w:type="dxa" w:w="1644"/>
            <w:vAlign w:val="center"/>
            <w:tcMar>
              <w:top w:w="80" w:type="dxa"/>
              <w:start w:w="90" w:type="dxa"/>
              <w:bottom w:w="80" w:type="dxa"/>
              <w:end w:w="90" w:type="dxa"/>
            </w:tcMar>
            <w:shd w:fill="E8EEF3"/>
          </w:tcPr>
          <w:p>
            <w:pPr>
              <w:pStyle w:val="Tabletext"/>
              <w:jc w:val="center"/>
            </w:pPr>
            <w:r>
              <w:rPr>
                <w:b/>
              </w:rPr>
              <w:t>Mean context tokens</w:t>
            </w:r>
          </w:p>
        </w:tc>
        <w:tc>
          <w:tcPr>
            <w:tcW w:type="dxa" w:w="2336"/>
            <w:vAlign w:val="center"/>
            <w:tcMar>
              <w:top w:w="80" w:type="dxa"/>
              <w:start w:w="90" w:type="dxa"/>
              <w:bottom w:w="80" w:type="dxa"/>
              <w:end w:w="90" w:type="dxa"/>
            </w:tcMar>
            <w:shd w:fill="E8EEF3"/>
          </w:tcPr>
          <w:p>
            <w:pPr>
              <w:pStyle w:val="Tabletext"/>
              <w:jc w:val="left"/>
            </w:pPr>
            <w:r>
              <w:rPr>
                <w:b/>
              </w:rPr>
              <w:t>Mean exact redundancy ratio</w:t>
            </w:r>
          </w:p>
        </w:tc>
        <w:tc>
          <w:tcPr>
            <w:tcW w:type="dxa" w:w="2163"/>
            <w:vAlign w:val="center"/>
            <w:tcMar>
              <w:top w:w="80" w:type="dxa"/>
              <w:start w:w="90" w:type="dxa"/>
              <w:bottom w:w="80" w:type="dxa"/>
              <w:end w:w="90" w:type="dxa"/>
            </w:tcMar>
            <w:shd w:fill="E8EEF3"/>
          </w:tcPr>
          <w:p>
            <w:pPr>
              <w:pStyle w:val="Tabletext"/>
              <w:jc w:val="left"/>
            </w:pPr>
            <w:r>
              <w:rPr>
                <w:b/>
              </w:rPr>
              <w:t>Mean injected bloat ratio</w:t>
            </w:r>
          </w:p>
        </w:tc>
      </w:tr>
      <w:tr>
        <w:tc>
          <w:tcPr>
            <w:tcW w:type="dxa" w:w="1817"/>
            <w:vAlign w:val="center"/>
            <w:tcMar>
              <w:top w:w="80" w:type="dxa"/>
              <w:start w:w="90" w:type="dxa"/>
              <w:bottom w:w="80" w:type="dxa"/>
              <w:end w:w="90" w:type="dxa"/>
            </w:tcMar>
          </w:tcPr>
          <w:p>
            <w:pPr>
              <w:pStyle w:val="Tabletext"/>
              <w:jc w:val="left"/>
            </w:pPr>
            <w:r>
              <w:t>Baseline</w:t>
            </w:r>
          </w:p>
        </w:tc>
        <w:tc>
          <w:tcPr>
            <w:tcW w:type="dxa" w:w="1471"/>
            <w:vAlign w:val="center"/>
            <w:tcMar>
              <w:top w:w="80" w:type="dxa"/>
              <w:start w:w="90" w:type="dxa"/>
              <w:bottom w:w="80" w:type="dxa"/>
              <w:end w:w="90" w:type="dxa"/>
            </w:tcMar>
          </w:tcPr>
          <w:p>
            <w:pPr>
              <w:pStyle w:val="Tabletext"/>
              <w:jc w:val="center"/>
            </w:pPr>
            <w:r>
              <w:t>180</w:t>
            </w:r>
          </w:p>
        </w:tc>
        <w:tc>
          <w:tcPr>
            <w:tcW w:type="dxa" w:w="1644"/>
            <w:vAlign w:val="center"/>
            <w:tcMar>
              <w:top w:w="80" w:type="dxa"/>
              <w:start w:w="90" w:type="dxa"/>
              <w:bottom w:w="80" w:type="dxa"/>
              <w:end w:w="90" w:type="dxa"/>
            </w:tcMar>
          </w:tcPr>
          <w:p>
            <w:pPr>
              <w:pStyle w:val="Tabletext"/>
              <w:jc w:val="center"/>
            </w:pPr>
            <w:r>
              <w:t>42.70</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0.000</w:t>
            </w:r>
          </w:p>
        </w:tc>
      </w:tr>
      <w:tr>
        <w:tc>
          <w:tcPr>
            <w:tcW w:type="dxa" w:w="1817"/>
            <w:vAlign w:val="center"/>
            <w:tcMar>
              <w:top w:w="80" w:type="dxa"/>
              <w:start w:w="90" w:type="dxa"/>
              <w:bottom w:w="80" w:type="dxa"/>
              <w:end w:w="90" w:type="dxa"/>
            </w:tcMar>
          </w:tcPr>
          <w:p>
            <w:pPr>
              <w:pStyle w:val="Tabletext"/>
              <w:jc w:val="left"/>
            </w:pPr>
            <w:r>
              <w:t>Sufficient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68.20</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0.000</w:t>
            </w:r>
          </w:p>
        </w:tc>
      </w:tr>
      <w:tr>
        <w:tc>
          <w:tcPr>
            <w:tcW w:type="dxa" w:w="1817"/>
            <w:vAlign w:val="center"/>
            <w:tcMar>
              <w:top w:w="80" w:type="dxa"/>
              <w:start w:w="90" w:type="dxa"/>
              <w:bottom w:w="80" w:type="dxa"/>
              <w:end w:w="90" w:type="dxa"/>
            </w:tcMar>
          </w:tcPr>
          <w:p>
            <w:pPr>
              <w:pStyle w:val="Tabletext"/>
              <w:jc w:val="left"/>
            </w:pPr>
            <w:r>
              <w:t>Exact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76.03</w:t>
            </w:r>
          </w:p>
        </w:tc>
        <w:tc>
          <w:tcPr>
            <w:tcW w:type="dxa" w:w="2336"/>
            <w:vAlign w:val="center"/>
            <w:tcMar>
              <w:top w:w="80" w:type="dxa"/>
              <w:start w:w="90" w:type="dxa"/>
              <w:bottom w:w="80" w:type="dxa"/>
              <w:end w:w="90" w:type="dxa"/>
            </w:tcMar>
          </w:tcPr>
          <w:p>
            <w:pPr>
              <w:pStyle w:val="Tabletext"/>
              <w:jc w:val="center"/>
            </w:pPr>
            <w:r>
              <w:t>0.113</w:t>
            </w:r>
          </w:p>
        </w:tc>
        <w:tc>
          <w:tcPr>
            <w:tcW w:type="dxa" w:w="2163"/>
            <w:vAlign w:val="center"/>
            <w:tcMar>
              <w:top w:w="80" w:type="dxa"/>
              <w:start w:w="90" w:type="dxa"/>
              <w:bottom w:w="80" w:type="dxa"/>
              <w:end w:w="90" w:type="dxa"/>
            </w:tcMar>
          </w:tcPr>
          <w:p>
            <w:pPr>
              <w:pStyle w:val="Tabletext"/>
              <w:jc w:val="center"/>
            </w:pPr>
            <w:r>
              <w:t>0.113</w:t>
            </w:r>
          </w:p>
        </w:tc>
      </w:tr>
      <w:tr>
        <w:tc>
          <w:tcPr>
            <w:tcW w:type="dxa" w:w="1817"/>
            <w:vAlign w:val="center"/>
            <w:tcMar>
              <w:top w:w="80" w:type="dxa"/>
              <w:start w:w="90" w:type="dxa"/>
              <w:bottom w:w="80" w:type="dxa"/>
              <w:end w:w="90" w:type="dxa"/>
            </w:tcMar>
          </w:tcPr>
          <w:p>
            <w:pPr>
              <w:pStyle w:val="Tabletext"/>
              <w:jc w:val="left"/>
            </w:pPr>
            <w:r>
              <w:t>Source-specific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150.05</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0.364</w:t>
            </w:r>
          </w:p>
        </w:tc>
      </w:tr>
      <w:tr>
        <w:tc>
          <w:tcPr>
            <w:tcW w:type="dxa" w:w="1817"/>
            <w:vAlign w:val="center"/>
            <w:tcMar>
              <w:top w:w="80" w:type="dxa"/>
              <w:start w:w="90" w:type="dxa"/>
              <w:bottom w:w="80" w:type="dxa"/>
              <w:end w:w="90" w:type="dxa"/>
            </w:tcMar>
          </w:tcPr>
          <w:p>
            <w:pPr>
              <w:pStyle w:val="Tabletext"/>
              <w:jc w:val="left"/>
            </w:pPr>
            <w:r>
              <w:t>Combined bloat</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224.73</w:t>
            </w:r>
          </w:p>
        </w:tc>
        <w:tc>
          <w:tcPr>
            <w:tcW w:type="dxa" w:w="2336"/>
            <w:vAlign w:val="center"/>
            <w:tcMar>
              <w:top w:w="80" w:type="dxa"/>
              <w:start w:w="90" w:type="dxa"/>
              <w:bottom w:w="80" w:type="dxa"/>
              <w:end w:w="90" w:type="dxa"/>
            </w:tcMar>
          </w:tcPr>
          <w:p>
            <w:pPr>
              <w:pStyle w:val="Tabletext"/>
              <w:jc w:val="center"/>
            </w:pPr>
            <w:r>
              <w:t>0.178</w:t>
            </w:r>
          </w:p>
        </w:tc>
        <w:tc>
          <w:tcPr>
            <w:tcW w:type="dxa" w:w="2163"/>
            <w:vAlign w:val="center"/>
            <w:tcMar>
              <w:top w:w="80" w:type="dxa"/>
              <w:start w:w="90" w:type="dxa"/>
              <w:bottom w:w="80" w:type="dxa"/>
              <w:end w:w="90" w:type="dxa"/>
            </w:tcMar>
          </w:tcPr>
          <w:p>
            <w:pPr>
              <w:pStyle w:val="Tabletext"/>
              <w:jc w:val="center"/>
            </w:pPr>
            <w:r>
              <w:t>0.437</w:t>
            </w:r>
          </w:p>
        </w:tc>
      </w:tr>
      <w:tr>
        <w:tc>
          <w:tcPr>
            <w:tcW w:type="dxa" w:w="1817"/>
            <w:vAlign w:val="center"/>
            <w:tcMar>
              <w:top w:w="80" w:type="dxa"/>
              <w:start w:w="90" w:type="dxa"/>
              <w:bottom w:w="80" w:type="dxa"/>
              <w:end w:w="90" w:type="dxa"/>
            </w:tcMar>
          </w:tcPr>
          <w:p>
            <w:pPr>
              <w:pStyle w:val="Tabletext"/>
              <w:jc w:val="left"/>
            </w:pPr>
            <w:r>
              <w:t>Mitigated</w:t>
            </w:r>
          </w:p>
        </w:tc>
        <w:tc>
          <w:tcPr>
            <w:tcW w:type="dxa" w:w="1471"/>
            <w:vAlign w:val="center"/>
            <w:tcMar>
              <w:top w:w="80" w:type="dxa"/>
              <w:start w:w="90" w:type="dxa"/>
              <w:bottom w:w="80" w:type="dxa"/>
              <w:end w:w="90" w:type="dxa"/>
            </w:tcMar>
          </w:tcPr>
          <w:p>
            <w:pPr>
              <w:pStyle w:val="Tabletext"/>
              <w:jc w:val="center"/>
            </w:pPr>
            <w:r>
              <w:t>240</w:t>
            </w:r>
          </w:p>
        </w:tc>
        <w:tc>
          <w:tcPr>
            <w:tcW w:type="dxa" w:w="1644"/>
            <w:vAlign w:val="center"/>
            <w:tcMar>
              <w:top w:w="80" w:type="dxa"/>
              <w:start w:w="90" w:type="dxa"/>
              <w:bottom w:w="80" w:type="dxa"/>
              <w:end w:w="90" w:type="dxa"/>
            </w:tcMar>
          </w:tcPr>
          <w:p>
            <w:pPr>
              <w:pStyle w:val="Tabletext"/>
              <w:jc w:val="center"/>
            </w:pPr>
            <w:r>
              <w:t>75.87</w:t>
            </w:r>
          </w:p>
        </w:tc>
        <w:tc>
          <w:tcPr>
            <w:tcW w:type="dxa" w:w="2336"/>
            <w:vAlign w:val="center"/>
            <w:tcMar>
              <w:top w:w="80" w:type="dxa"/>
              <w:start w:w="90" w:type="dxa"/>
              <w:bottom w:w="80" w:type="dxa"/>
              <w:end w:w="90" w:type="dxa"/>
            </w:tcMar>
          </w:tcPr>
          <w:p>
            <w:pPr>
              <w:pStyle w:val="Tabletext"/>
              <w:jc w:val="center"/>
            </w:pPr>
            <w:r>
              <w:t>0.000</w:t>
            </w:r>
          </w:p>
        </w:tc>
        <w:tc>
          <w:tcPr>
            <w:tcW w:type="dxa" w:w="2163"/>
            <w:vAlign w:val="center"/>
            <w:tcMar>
              <w:top w:w="80" w:type="dxa"/>
              <w:start w:w="90" w:type="dxa"/>
              <w:bottom w:w="80" w:type="dxa"/>
              <w:end w:w="90" w:type="dxa"/>
            </w:tcMar>
          </w:tcPr>
          <w:p>
            <w:pPr>
              <w:pStyle w:val="Tabletext"/>
              <w:jc w:val="center"/>
            </w:pPr>
            <w:r>
              <w:t>0.096</w:t>
            </w:r>
          </w:p>
        </w:tc>
      </w:tr>
    </w:tbl>
    <w:p>
      <w:pPr>
        <w:pStyle w:val="BodyText1"/>
      </w:pPr>
    </w:p>
    <w:p>
      <w:pPr>
        <w:keepNext/>
        <w:jc w:val="center"/>
      </w:pPr>
      <w:r>
        <w:drawing>
          <wp:inline xmlns:a="http://schemas.openxmlformats.org/drawingml/2006/main" xmlns:pic="http://schemas.openxmlformats.org/drawingml/2006/picture">
            <wp:extent cx="5806440" cy="2903220"/>
            <wp:docPr id="4" name="Picture 4" descr="Horizontal bars show mean tokens increasing from baseline and sufficient context to source-specific and combined bloat, then decreasing in the mitigated condition."/>
            <wp:cNvGraphicFramePr>
              <a:graphicFrameLocks noChangeAspect="1"/>
            </wp:cNvGraphicFramePr>
            <a:graphic>
              <a:graphicData uri="http://schemas.openxmlformats.org/drawingml/2006/picture">
                <pic:pic>
                  <pic:nvPicPr>
                    <pic:cNvPr id="0" name="tokens_by_condition.png"/>
                    <pic:cNvPicPr/>
                  </pic:nvPicPr>
                  <pic:blipFill>
                    <a:blip r:embed="rId32"/>
                    <a:stretch>
                      <a:fillRect/>
                    </a:stretch>
                  </pic:blipFill>
                  <pic:spPr>
                    <a:xfrm>
                      <a:off x="0" y="0"/>
                      <a:ext cx="5806440" cy="2903220"/>
                    </a:xfrm>
                    <a:prstGeom prst="rect"/>
                  </pic:spPr>
                </pic:pic>
              </a:graphicData>
            </a:graphic>
          </wp:inline>
        </w:drawing>
      </w:r>
    </w:p>
    <w:p>
      <w:pPr>
        <w:pStyle w:val="Figurecaptiontext"/>
        <w:jc w:val="left"/>
      </w:pPr>
      <w:r>
        <w:t>Figure 5.1. Mean model-visible context tokens by primary experimental condition.</w:t>
      </w:r>
    </w:p>
    <w:p>
      <w:pPr>
        <w:pStyle w:val="BodyText1"/>
      </w:pPr>
      <w:r>
        <w:t>Exact duplication raises lexical redundancy. Source-specific fixtures raise the injected ratio without raising exact redundancy because they use near duplicates, low-overlap passages, stale memory, or verbose tool detail. Combined bloat produces the largest context. The table establishes sensitivity of the metrics to known changes, not semantic validity.</w:t>
      </w:r>
    </w:p>
    <w:p>
      <w:pPr>
        <w:pStyle w:val="BodyText1"/>
      </w:pPr>
      <w:r>
        <w:t>Table 5.3 reports source attribution under those fixtures.</w:t>
      </w:r>
    </w:p>
    <w:p>
      <w:pPr>
        <w:pStyle w:val="Tablecaptiontext"/>
        <w:keepNext/>
      </w:pPr>
      <w:r>
        <w:rPr>
          <w:b/>
        </w:rPr>
        <w:t>Table 5.3. Source-specific context bloat in the primary cohort.</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894"/>
            <w:vAlign w:val="center"/>
            <w:tcMar>
              <w:top w:w="80" w:type="dxa"/>
              <w:start w:w="90" w:type="dxa"/>
              <w:bottom w:w="80" w:type="dxa"/>
              <w:end w:w="90" w:type="dxa"/>
            </w:tcMar>
            <w:shd w:fill="E8EEF3"/>
          </w:tcPr>
          <w:p>
            <w:pPr>
              <w:pStyle w:val="Tabletext"/>
              <w:jc w:val="left"/>
            </w:pPr>
            <w:r>
              <w:rPr>
                <w:b/>
              </w:rPr>
              <w:t>Source</w:t>
            </w:r>
          </w:p>
        </w:tc>
        <w:tc>
          <w:tcPr>
            <w:tcW w:type="dxa" w:w="1191"/>
            <w:vAlign w:val="center"/>
            <w:tcMar>
              <w:top w:w="80" w:type="dxa"/>
              <w:start w:w="90" w:type="dxa"/>
              <w:bottom w:w="80" w:type="dxa"/>
              <w:end w:w="90" w:type="dxa"/>
            </w:tcMar>
            <w:shd w:fill="E8EEF3"/>
          </w:tcPr>
          <w:p>
            <w:pPr>
              <w:pStyle w:val="Tabletext"/>
              <w:jc w:val="center"/>
            </w:pPr>
            <w:r>
              <w:rPr>
                <w:b/>
              </w:rPr>
              <w:t>Total tokens</w:t>
            </w:r>
          </w:p>
        </w:tc>
        <w:tc>
          <w:tcPr>
            <w:tcW w:type="dxa" w:w="1489"/>
            <w:vAlign w:val="center"/>
            <w:tcMar>
              <w:top w:w="80" w:type="dxa"/>
              <w:start w:w="90" w:type="dxa"/>
              <w:bottom w:w="80" w:type="dxa"/>
              <w:end w:w="90" w:type="dxa"/>
            </w:tcMar>
            <w:shd w:fill="E8EEF3"/>
          </w:tcPr>
          <w:p>
            <w:pPr>
              <w:pStyle w:val="Tabletext"/>
              <w:jc w:val="center"/>
            </w:pPr>
            <w:r>
              <w:rPr>
                <w:b/>
              </w:rPr>
              <w:t>Injected tokens</w:t>
            </w:r>
          </w:p>
        </w:tc>
        <w:tc>
          <w:tcPr>
            <w:tcW w:type="dxa" w:w="2383"/>
            <w:vAlign w:val="center"/>
            <w:tcMar>
              <w:top w:w="80" w:type="dxa"/>
              <w:start w:w="90" w:type="dxa"/>
              <w:bottom w:w="80" w:type="dxa"/>
              <w:end w:w="90" w:type="dxa"/>
            </w:tcMar>
            <w:shd w:fill="E8EEF3"/>
          </w:tcPr>
          <w:p>
            <w:pPr>
              <w:pStyle w:val="Tabletext"/>
              <w:jc w:val="left"/>
            </w:pPr>
            <w:r>
              <w:rPr>
                <w:b/>
              </w:rPr>
              <w:t>Aggregate injected ratio</w:t>
            </w:r>
          </w:p>
        </w:tc>
        <w:tc>
          <w:tcPr>
            <w:tcW w:type="dxa" w:w="3475"/>
            <w:vAlign w:val="center"/>
            <w:tcMar>
              <w:top w:w="80" w:type="dxa"/>
              <w:start w:w="90" w:type="dxa"/>
              <w:bottom w:w="80" w:type="dxa"/>
              <w:end w:w="90" w:type="dxa"/>
            </w:tcMar>
            <w:shd w:fill="E8EEF3"/>
          </w:tcPr>
          <w:p>
            <w:pPr>
              <w:pStyle w:val="Tabletext"/>
              <w:jc w:val="left"/>
            </w:pPr>
            <w:r>
              <w:rPr>
                <w:b/>
              </w:rPr>
              <w:t>Mean source-specific injected ratio</w:t>
            </w:r>
          </w:p>
        </w:tc>
      </w:tr>
      <w:tr>
        <w:tc>
          <w:tcPr>
            <w:tcW w:type="dxa" w:w="894"/>
            <w:vAlign w:val="center"/>
            <w:tcMar>
              <w:top w:w="80" w:type="dxa"/>
              <w:start w:w="90" w:type="dxa"/>
              <w:bottom w:w="80" w:type="dxa"/>
              <w:end w:w="90" w:type="dxa"/>
            </w:tcMar>
          </w:tcPr>
          <w:p>
            <w:pPr>
              <w:pStyle w:val="Tabletext"/>
              <w:jc w:val="left"/>
            </w:pPr>
            <w:r>
              <w:t>Tool</w:t>
            </w:r>
          </w:p>
        </w:tc>
        <w:tc>
          <w:tcPr>
            <w:tcW w:type="dxa" w:w="1191"/>
            <w:vAlign w:val="center"/>
            <w:tcMar>
              <w:top w:w="80" w:type="dxa"/>
              <w:start w:w="90" w:type="dxa"/>
              <w:bottom w:w="80" w:type="dxa"/>
              <w:end w:w="90" w:type="dxa"/>
            </w:tcMar>
          </w:tcPr>
          <w:p>
            <w:pPr>
              <w:pStyle w:val="Tabletext"/>
              <w:jc w:val="center"/>
            </w:pPr>
            <w:r>
              <w:t>49,560</w:t>
            </w:r>
          </w:p>
        </w:tc>
        <w:tc>
          <w:tcPr>
            <w:tcW w:type="dxa" w:w="1489"/>
            <w:vAlign w:val="center"/>
            <w:tcMar>
              <w:top w:w="80" w:type="dxa"/>
              <w:start w:w="90" w:type="dxa"/>
              <w:bottom w:w="80" w:type="dxa"/>
              <w:end w:w="90" w:type="dxa"/>
            </w:tcMar>
          </w:tcPr>
          <w:p>
            <w:pPr>
              <w:pStyle w:val="Tabletext"/>
              <w:jc w:val="center"/>
            </w:pPr>
            <w:r>
              <w:t>48,480</w:t>
            </w:r>
          </w:p>
        </w:tc>
        <w:tc>
          <w:tcPr>
            <w:tcW w:type="dxa" w:w="2383"/>
            <w:vAlign w:val="center"/>
            <w:tcMar>
              <w:top w:w="80" w:type="dxa"/>
              <w:start w:w="90" w:type="dxa"/>
              <w:bottom w:w="80" w:type="dxa"/>
              <w:end w:w="90" w:type="dxa"/>
            </w:tcMar>
          </w:tcPr>
          <w:p>
            <w:pPr>
              <w:pStyle w:val="Tabletext"/>
              <w:jc w:val="center"/>
            </w:pPr>
            <w:r>
              <w:t>0.978</w:t>
            </w:r>
          </w:p>
        </w:tc>
        <w:tc>
          <w:tcPr>
            <w:tcW w:type="dxa" w:w="3475"/>
            <w:vAlign w:val="center"/>
            <w:tcMar>
              <w:top w:w="80" w:type="dxa"/>
              <w:start w:w="90" w:type="dxa"/>
              <w:bottom w:w="80" w:type="dxa"/>
              <w:end w:w="90" w:type="dxa"/>
            </w:tcMar>
          </w:tcPr>
          <w:p>
            <w:pPr>
              <w:pStyle w:val="Tabletext"/>
              <w:jc w:val="center"/>
            </w:pPr>
            <w:r>
              <w:rPr>
                <w:b/>
              </w:rPr>
              <w:t>0.500</w:t>
            </w:r>
          </w:p>
        </w:tc>
      </w:tr>
      <w:tr>
        <w:tc>
          <w:tcPr>
            <w:tcW w:type="dxa" w:w="894"/>
            <w:vAlign w:val="center"/>
            <w:tcMar>
              <w:top w:w="80" w:type="dxa"/>
              <w:start w:w="90" w:type="dxa"/>
              <w:bottom w:w="80" w:type="dxa"/>
              <w:end w:w="90" w:type="dxa"/>
            </w:tcMar>
          </w:tcPr>
          <w:p>
            <w:pPr>
              <w:pStyle w:val="Tabletext"/>
              <w:jc w:val="left"/>
            </w:pPr>
            <w:r>
              <w:t>Retrieval</w:t>
            </w:r>
          </w:p>
        </w:tc>
        <w:tc>
          <w:tcPr>
            <w:tcW w:type="dxa" w:w="1191"/>
            <w:vAlign w:val="center"/>
            <w:tcMar>
              <w:top w:w="80" w:type="dxa"/>
              <w:start w:w="90" w:type="dxa"/>
              <w:bottom w:w="80" w:type="dxa"/>
              <w:end w:w="90" w:type="dxa"/>
            </w:tcMar>
          </w:tcPr>
          <w:p>
            <w:pPr>
              <w:pStyle w:val="Tabletext"/>
              <w:jc w:val="center"/>
            </w:pPr>
            <w:r>
              <w:t>14,394</w:t>
            </w:r>
          </w:p>
        </w:tc>
        <w:tc>
          <w:tcPr>
            <w:tcW w:type="dxa" w:w="1489"/>
            <w:vAlign w:val="center"/>
            <w:tcMar>
              <w:top w:w="80" w:type="dxa"/>
              <w:start w:w="90" w:type="dxa"/>
              <w:bottom w:w="80" w:type="dxa"/>
              <w:end w:w="90" w:type="dxa"/>
            </w:tcMar>
          </w:tcPr>
          <w:p>
            <w:pPr>
              <w:pStyle w:val="Tabletext"/>
              <w:jc w:val="center"/>
            </w:pPr>
            <w:r>
              <w:t>8,424</w:t>
            </w:r>
          </w:p>
        </w:tc>
        <w:tc>
          <w:tcPr>
            <w:tcW w:type="dxa" w:w="2383"/>
            <w:vAlign w:val="center"/>
            <w:tcMar>
              <w:top w:w="80" w:type="dxa"/>
              <w:start w:w="90" w:type="dxa"/>
              <w:bottom w:w="80" w:type="dxa"/>
              <w:end w:w="90" w:type="dxa"/>
            </w:tcMar>
          </w:tcPr>
          <w:p>
            <w:pPr>
              <w:pStyle w:val="Tabletext"/>
              <w:jc w:val="center"/>
            </w:pPr>
            <w:r>
              <w:t>0.585</w:t>
            </w:r>
          </w:p>
        </w:tc>
        <w:tc>
          <w:tcPr>
            <w:tcW w:type="dxa" w:w="3475"/>
            <w:vAlign w:val="center"/>
            <w:tcMar>
              <w:top w:w="80" w:type="dxa"/>
              <w:start w:w="90" w:type="dxa"/>
              <w:bottom w:w="80" w:type="dxa"/>
              <w:end w:w="90" w:type="dxa"/>
            </w:tcMar>
          </w:tcPr>
          <w:p>
            <w:pPr>
              <w:pStyle w:val="Tabletext"/>
              <w:jc w:val="center"/>
            </w:pPr>
            <w:r>
              <w:rPr>
                <w:b/>
              </w:rPr>
              <w:t>0.487</w:t>
            </w:r>
          </w:p>
        </w:tc>
      </w:tr>
      <w:tr>
        <w:tc>
          <w:tcPr>
            <w:tcW w:type="dxa" w:w="894"/>
            <w:vAlign w:val="center"/>
            <w:tcMar>
              <w:top w:w="80" w:type="dxa"/>
              <w:start w:w="90" w:type="dxa"/>
              <w:bottom w:w="80" w:type="dxa"/>
              <w:end w:w="90" w:type="dxa"/>
            </w:tcMar>
          </w:tcPr>
          <w:p>
            <w:pPr>
              <w:pStyle w:val="Tabletext"/>
              <w:jc w:val="left"/>
            </w:pPr>
            <w:r>
              <w:t>Memory</w:t>
            </w:r>
          </w:p>
        </w:tc>
        <w:tc>
          <w:tcPr>
            <w:tcW w:type="dxa" w:w="1191"/>
            <w:vAlign w:val="center"/>
            <w:tcMar>
              <w:top w:w="80" w:type="dxa"/>
              <w:start w:w="90" w:type="dxa"/>
              <w:bottom w:w="80" w:type="dxa"/>
              <w:end w:w="90" w:type="dxa"/>
            </w:tcMar>
          </w:tcPr>
          <w:p>
            <w:pPr>
              <w:pStyle w:val="Tabletext"/>
              <w:jc w:val="center"/>
            </w:pPr>
            <w:r>
              <w:t>8,118</w:t>
            </w:r>
          </w:p>
        </w:tc>
        <w:tc>
          <w:tcPr>
            <w:tcW w:type="dxa" w:w="1489"/>
            <w:vAlign w:val="center"/>
            <w:tcMar>
              <w:top w:w="80" w:type="dxa"/>
              <w:start w:w="90" w:type="dxa"/>
              <w:bottom w:w="80" w:type="dxa"/>
              <w:end w:w="90" w:type="dxa"/>
            </w:tcMar>
          </w:tcPr>
          <w:p>
            <w:pPr>
              <w:pStyle w:val="Tabletext"/>
              <w:jc w:val="center"/>
            </w:pPr>
            <w:r>
              <w:t>4,818</w:t>
            </w:r>
          </w:p>
        </w:tc>
        <w:tc>
          <w:tcPr>
            <w:tcW w:type="dxa" w:w="2383"/>
            <w:vAlign w:val="center"/>
            <w:tcMar>
              <w:top w:w="80" w:type="dxa"/>
              <w:start w:w="90" w:type="dxa"/>
              <w:bottom w:w="80" w:type="dxa"/>
              <w:end w:w="90" w:type="dxa"/>
            </w:tcMar>
          </w:tcPr>
          <w:p>
            <w:pPr>
              <w:pStyle w:val="Tabletext"/>
              <w:jc w:val="center"/>
            </w:pPr>
            <w:r>
              <w:t>0.593</w:t>
            </w:r>
          </w:p>
        </w:tc>
        <w:tc>
          <w:tcPr>
            <w:tcW w:type="dxa" w:w="3475"/>
            <w:vAlign w:val="center"/>
            <w:tcMar>
              <w:top w:w="80" w:type="dxa"/>
              <w:start w:w="90" w:type="dxa"/>
              <w:bottom w:w="80" w:type="dxa"/>
              <w:end w:w="90" w:type="dxa"/>
            </w:tcMar>
          </w:tcPr>
          <w:p>
            <w:pPr>
              <w:pStyle w:val="Tabletext"/>
              <w:jc w:val="center"/>
            </w:pPr>
            <w:r>
              <w:rPr>
                <w:b/>
              </w:rPr>
              <w:t>0.468</w:t>
            </w:r>
          </w:p>
        </w:tc>
      </w:tr>
    </w:tbl>
    <w:p>
      <w:pPr>
        <w:pStyle w:val="BodyText1"/>
      </w:pPr>
    </w:p>
    <w:p>
      <w:pPr>
        <w:keepNext/>
        <w:jc w:val="center"/>
      </w:pPr>
      <w:r>
        <w:drawing>
          <wp:inline xmlns:a="http://schemas.openxmlformats.org/drawingml/2006/main" xmlns:pic="http://schemas.openxmlformats.org/drawingml/2006/picture">
            <wp:extent cx="5806440" cy="1858061"/>
            <wp:docPr id="5" name="Picture 5" descr="Horizontal bars rank tool output first, retrieval second, and memory third by mean source-specific bloat ratio."/>
            <wp:cNvGraphicFramePr>
              <a:graphicFrameLocks noChangeAspect="1"/>
            </wp:cNvGraphicFramePr>
            <a:graphic>
              <a:graphicData uri="http://schemas.openxmlformats.org/drawingml/2006/picture">
                <pic:pic>
                  <pic:nvPicPr>
                    <pic:cNvPr id="0" name="source_bloat_ratio.png"/>
                    <pic:cNvPicPr/>
                  </pic:nvPicPr>
                  <pic:blipFill>
                    <a:blip r:embed="rId33"/>
                    <a:stretch>
                      <a:fillRect/>
                    </a:stretch>
                  </pic:blipFill>
                  <pic:spPr>
                    <a:xfrm>
                      <a:off x="0" y="0"/>
                      <a:ext cx="5806440" cy="1858061"/>
                    </a:xfrm>
                    <a:prstGeom prst="rect"/>
                  </pic:spPr>
                </pic:pic>
              </a:graphicData>
            </a:graphic>
          </wp:inline>
        </w:drawing>
      </w:r>
    </w:p>
    <w:p>
      <w:pPr>
        <w:pStyle w:val="Figurecaptiontext"/>
        <w:jc w:val="left"/>
      </w:pPr>
      <w:r>
        <w:t>Figure 5.2. Mean source-specific bloat ratio by workflow family.</w:t>
      </w:r>
    </w:p>
    <w:p>
      <w:pPr>
        <w:pStyle w:val="BodyText1"/>
      </w:pPr>
      <w:r>
        <w:t>Under the controlled fixture design, tool segments have the highest mean injected ratio, followed by retrieval and memory. The differences are small, and the fixture generator deliberately assigns verbose diagnostics to tool outputs. The result must not be rewritten as "tool output is the main source of context bloat in real agents."</w:t>
      </w:r>
    </w:p>
    <w:p>
      <w:pPr>
        <w:pStyle w:val="BodyText1"/>
      </w:pPr>
      <w:r>
        <w:t>The natural RQ2 analysis will compare detected and human-reference bloat ratios using Spearman correlation, mean absolute error, calibration slope, and Bland-Altman bias. The natural RQ3 table will add source-specific bootstrap intervals and workflow effect sizes. A source ranking will be stated only as: "within the sampled natural traces and construction policy."</w:t>
      </w:r>
    </w:p>
    <w:p>
      <w:pPr>
        <w:pStyle w:val="2"/>
      </w:pPr>
      <w:r>
        <w:t>Framework and Stress-Case Comparison</w:t>
      </w:r>
    </w:p>
    <w:p>
      <w:pPr>
        <w:pStyle w:val="BodyText1"/>
      </w:pPr>
      <w:r>
        <w:t>Study A uses the same fixtures, detector, provider, and scorer in both execution paths. Each framework contributes 690 primary traces and 540 final primary results.</w:t>
      </w:r>
    </w:p>
    <w:p>
      <w:pPr>
        <w:pStyle w:val="Tablecaptiontext"/>
        <w:keepNext/>
      </w:pPr>
      <w:r>
        <w:rPr>
          <w:b/>
        </w:rPr>
        <w:t>Table 5.4. Primary results by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380"/>
            <w:vAlign w:val="center"/>
            <w:tcMar>
              <w:top w:w="80" w:type="dxa"/>
              <w:start w:w="90" w:type="dxa"/>
              <w:bottom w:w="80" w:type="dxa"/>
              <w:end w:w="90" w:type="dxa"/>
            </w:tcMar>
            <w:shd w:fill="E8EEF3"/>
          </w:tcPr>
          <w:p>
            <w:pPr>
              <w:pStyle w:val="Tabletext"/>
              <w:jc w:val="left"/>
            </w:pPr>
            <w:r>
              <w:rPr>
                <w:b/>
              </w:rPr>
              <w:t>Framework</w:t>
            </w:r>
          </w:p>
        </w:tc>
        <w:tc>
          <w:tcPr>
            <w:tcW w:type="dxa" w:w="1610"/>
            <w:vAlign w:val="center"/>
            <w:tcMar>
              <w:top w:w="80" w:type="dxa"/>
              <w:start w:w="90" w:type="dxa"/>
              <w:bottom w:w="80" w:type="dxa"/>
              <w:end w:w="90" w:type="dxa"/>
            </w:tcMar>
            <w:shd w:fill="E8EEF3"/>
          </w:tcPr>
          <w:p>
            <w:pPr>
              <w:pStyle w:val="Tabletext"/>
              <w:jc w:val="center"/>
            </w:pPr>
            <w:r>
              <w:rPr>
                <w:b/>
              </w:rPr>
              <w:t>Primary traces</w:t>
            </w:r>
          </w:p>
        </w:tc>
        <w:tc>
          <w:tcPr>
            <w:tcW w:type="dxa" w:w="2185"/>
            <w:vAlign w:val="center"/>
            <w:tcMar>
              <w:top w:w="80" w:type="dxa"/>
              <w:start w:w="90" w:type="dxa"/>
              <w:bottom w:w="80" w:type="dxa"/>
              <w:end w:w="90" w:type="dxa"/>
            </w:tcMar>
            <w:shd w:fill="E8EEF3"/>
          </w:tcPr>
          <w:p>
            <w:pPr>
              <w:pStyle w:val="Tabletext"/>
              <w:jc w:val="center"/>
            </w:pPr>
            <w:r>
              <w:rPr>
                <w:b/>
              </w:rPr>
              <w:t>Mean context tokens</w:t>
            </w:r>
          </w:p>
        </w:tc>
        <w:tc>
          <w:tcPr>
            <w:tcW w:type="dxa" w:w="2876"/>
            <w:vAlign w:val="center"/>
            <w:tcMar>
              <w:top w:w="80" w:type="dxa"/>
              <w:start w:w="90" w:type="dxa"/>
              <w:bottom w:w="80" w:type="dxa"/>
              <w:end w:w="90" w:type="dxa"/>
            </w:tcMar>
            <w:shd w:fill="E8EEF3"/>
          </w:tcPr>
          <w:p>
            <w:pPr>
              <w:pStyle w:val="Tabletext"/>
              <w:jc w:val="left"/>
            </w:pPr>
            <w:r>
              <w:rPr>
                <w:b/>
              </w:rPr>
              <w:t>Mean injected bloat ratio</w:t>
            </w:r>
          </w:p>
        </w:tc>
        <w:tc>
          <w:tcPr>
            <w:tcW w:type="dxa" w:w="1380"/>
            <w:vAlign w:val="center"/>
            <w:tcMar>
              <w:top w:w="80" w:type="dxa"/>
              <w:start w:w="90" w:type="dxa"/>
              <w:bottom w:w="80" w:type="dxa"/>
              <w:end w:w="90" w:type="dxa"/>
            </w:tcMar>
            <w:shd w:fill="E8EEF3"/>
          </w:tcPr>
          <w:p>
            <w:pPr>
              <w:pStyle w:val="Tabletext"/>
              <w:jc w:val="center"/>
            </w:pPr>
            <w:r>
              <w:rPr>
                <w:b/>
              </w:rPr>
              <w:t>Task success</w:t>
            </w:r>
          </w:p>
        </w:tc>
      </w:tr>
      <w:tr>
        <w:tc>
          <w:tcPr>
            <w:tcW w:type="dxa" w:w="1380"/>
            <w:vAlign w:val="center"/>
            <w:tcMar>
              <w:top w:w="80" w:type="dxa"/>
              <w:start w:w="90" w:type="dxa"/>
              <w:bottom w:w="80" w:type="dxa"/>
              <w:end w:w="90" w:type="dxa"/>
            </w:tcMar>
          </w:tcPr>
          <w:p>
            <w:pPr>
              <w:pStyle w:val="Tabletext"/>
              <w:jc w:val="left"/>
            </w:pPr>
            <w:r>
              <w:t>Custom ReAct</w:t>
            </w:r>
          </w:p>
        </w:tc>
        <w:tc>
          <w:tcPr>
            <w:tcW w:type="dxa" w:w="1610"/>
            <w:vAlign w:val="center"/>
            <w:tcMar>
              <w:top w:w="80" w:type="dxa"/>
              <w:start w:w="90" w:type="dxa"/>
              <w:bottom w:w="80" w:type="dxa"/>
              <w:end w:w="90" w:type="dxa"/>
            </w:tcMar>
          </w:tcPr>
          <w:p>
            <w:pPr>
              <w:pStyle w:val="Tabletext"/>
              <w:jc w:val="center"/>
            </w:pPr>
            <w:r>
              <w:t>690</w:t>
            </w:r>
          </w:p>
        </w:tc>
        <w:tc>
          <w:tcPr>
            <w:tcW w:type="dxa" w:w="2185"/>
            <w:vAlign w:val="center"/>
            <w:tcMar>
              <w:top w:w="80" w:type="dxa"/>
              <w:start w:w="90" w:type="dxa"/>
              <w:bottom w:w="80" w:type="dxa"/>
              <w:end w:w="90" w:type="dxa"/>
            </w:tcMar>
          </w:tcPr>
          <w:p>
            <w:pPr>
              <w:pStyle w:val="Tabletext"/>
              <w:jc w:val="center"/>
            </w:pPr>
            <w:r>
              <w:t>109.95</w:t>
            </w:r>
          </w:p>
        </w:tc>
        <w:tc>
          <w:tcPr>
            <w:tcW w:type="dxa" w:w="2876"/>
            <w:vAlign w:val="center"/>
            <w:tcMar>
              <w:top w:w="80" w:type="dxa"/>
              <w:start w:w="90" w:type="dxa"/>
              <w:bottom w:w="80" w:type="dxa"/>
              <w:end w:w="90" w:type="dxa"/>
            </w:tcMar>
          </w:tcPr>
          <w:p>
            <w:pPr>
              <w:pStyle w:val="Tabletext"/>
              <w:jc w:val="center"/>
            </w:pPr>
            <w:r>
              <w:t>0.1755</w:t>
            </w:r>
          </w:p>
        </w:tc>
        <w:tc>
          <w:tcPr>
            <w:tcW w:type="dxa" w:w="1380"/>
            <w:vAlign w:val="center"/>
            <w:tcMar>
              <w:top w:w="80" w:type="dxa"/>
              <w:start w:w="90" w:type="dxa"/>
              <w:bottom w:w="80" w:type="dxa"/>
              <w:end w:w="90" w:type="dxa"/>
            </w:tcMar>
          </w:tcPr>
          <w:p>
            <w:pPr>
              <w:pStyle w:val="Tabletext"/>
              <w:jc w:val="center"/>
            </w:pPr>
            <w:r>
              <w:t>73.15%</w:t>
            </w:r>
          </w:p>
        </w:tc>
      </w:tr>
      <w:tr>
        <w:tc>
          <w:tcPr>
            <w:tcW w:type="dxa" w:w="1380"/>
            <w:vAlign w:val="center"/>
            <w:tcMar>
              <w:top w:w="80" w:type="dxa"/>
              <w:start w:w="90" w:type="dxa"/>
              <w:bottom w:w="80" w:type="dxa"/>
              <w:end w:w="90" w:type="dxa"/>
            </w:tcMar>
          </w:tcPr>
          <w:p>
            <w:pPr>
              <w:pStyle w:val="Tabletext"/>
              <w:jc w:val="left"/>
            </w:pPr>
            <w:r>
              <w:t>LangChain</w:t>
            </w:r>
          </w:p>
        </w:tc>
        <w:tc>
          <w:tcPr>
            <w:tcW w:type="dxa" w:w="1610"/>
            <w:vAlign w:val="center"/>
            <w:tcMar>
              <w:top w:w="80" w:type="dxa"/>
              <w:start w:w="90" w:type="dxa"/>
              <w:bottom w:w="80" w:type="dxa"/>
              <w:end w:w="90" w:type="dxa"/>
            </w:tcMar>
          </w:tcPr>
          <w:p>
            <w:pPr>
              <w:pStyle w:val="Tabletext"/>
              <w:jc w:val="center"/>
            </w:pPr>
            <w:r>
              <w:t>690</w:t>
            </w:r>
          </w:p>
        </w:tc>
        <w:tc>
          <w:tcPr>
            <w:tcW w:type="dxa" w:w="2185"/>
            <w:vAlign w:val="center"/>
            <w:tcMar>
              <w:top w:w="80" w:type="dxa"/>
              <w:start w:w="90" w:type="dxa"/>
              <w:bottom w:w="80" w:type="dxa"/>
              <w:end w:w="90" w:type="dxa"/>
            </w:tcMar>
          </w:tcPr>
          <w:p>
            <w:pPr>
              <w:pStyle w:val="Tabletext"/>
              <w:jc w:val="center"/>
            </w:pPr>
            <w:r>
              <w:t>108.11</w:t>
            </w:r>
          </w:p>
        </w:tc>
        <w:tc>
          <w:tcPr>
            <w:tcW w:type="dxa" w:w="2876"/>
            <w:vAlign w:val="center"/>
            <w:tcMar>
              <w:top w:w="80" w:type="dxa"/>
              <w:start w:w="90" w:type="dxa"/>
              <w:bottom w:w="80" w:type="dxa"/>
              <w:end w:w="90" w:type="dxa"/>
            </w:tcMar>
          </w:tcPr>
          <w:p>
            <w:pPr>
              <w:pStyle w:val="Tabletext"/>
              <w:jc w:val="center"/>
            </w:pPr>
            <w:r>
              <w:t>0.1759</w:t>
            </w:r>
          </w:p>
        </w:tc>
        <w:tc>
          <w:tcPr>
            <w:tcW w:type="dxa" w:w="1380"/>
            <w:vAlign w:val="center"/>
            <w:tcMar>
              <w:top w:w="80" w:type="dxa"/>
              <w:start w:w="90" w:type="dxa"/>
              <w:bottom w:w="80" w:type="dxa"/>
              <w:end w:w="90" w:type="dxa"/>
            </w:tcMar>
          </w:tcPr>
          <w:p>
            <w:pPr>
              <w:pStyle w:val="Tabletext"/>
              <w:jc w:val="center"/>
            </w:pPr>
            <w:r>
              <w:t>72.04%</w:t>
            </w:r>
          </w:p>
        </w:tc>
      </w:tr>
    </w:tbl>
    <w:p>
      <w:pPr>
        <w:pStyle w:val="BodyText1"/>
      </w:pPr>
    </w:p>
    <w:p>
      <w:pPr>
        <w:pStyle w:val="BodyText1"/>
      </w:pPr>
      <w:r>
        <w:t>The close context values show that both integrations feed the same controlled construction into a shared auditing core. They do not prove framework equivalence. Schema 1.2 strengthens the instrumentation test by comparing a framework-capture hash with the provider payload hash and by counting tool definitions as model-visible context.</w:t>
      </w:r>
    </w:p>
    <w:p>
      <w:pPr>
        <w:pStyle w:val="BodyText1"/>
      </w:pPr>
      <w:r>
        <w:t>The stress cohort averages 241.12 context tokens, compared with 109.03 in the primary cohort. Mean exact redundancy is 0.119 versus 0.051, and mean near redundancy is 0.181 versus 0.078. Stress task success is 84.26%, compared with 72.59% in the primary cohort, but the cohorts are not treatment-equivalent: stress tasks always receive supporting context, while the primary matrix contains a no-support baseline.</w:t>
      </w:r>
    </w:p>
    <w:p>
      <w:pPr>
        <w:pStyle w:val="BodyText1"/>
      </w:pPr>
      <w:r>
        <w:t>Stress mitigation reduces tokens by 79.68% on average (95% CI [79.06%, 80.25%]) and changes task success by -16.67 percentage points (95% CI [-38.89, 0.00]). These values reinforce the need to measure utility alongside compression.</w:t>
      </w:r>
    </w:p>
    <w:p>
      <w:pPr>
        <w:pStyle w:val="2"/>
      </w:pPr>
      <w:r>
        <w:t>Status of RQ1-RQ3</w:t>
      </w:r>
    </w:p>
    <w:p>
      <w:pPr>
        <w:pStyle w:val="BodyText1"/>
      </w:pPr>
      <w:r>
        <w:t>Study A establishes that the runtime pipeline can represent source provenance, recover deliberately injected patterns, attribute tokens, preserve immutable run metadata, and distinguish primary from stress evidence. It does not establish external detection or measurement validity.</w:t>
      </w:r>
    </w:p>
    <w:p>
      <w:pPr>
        <w:pStyle w:val="BodyText1"/>
      </w:pPr>
      <w:r>
        <w:t>Final answers to RQ1-RQ3 require all of the following Study B artifacts:</w:t>
      </w:r>
    </w:p>
    <w:p>
      <w:pPr>
        <w:pStyle w:val="afc"/>
        <w:numPr>
          <w:ilvl w:val="0"/>
          <w:numId w:val="1"/>
        </w:numPr>
      </w:pPr>
      <w:r>
        <w:t>Two clean real-provider runs covering the same 60 held-out task IDs.</w:t>
      </w:r>
    </w:p>
    <w:p>
      <w:pPr>
        <w:pStyle w:val="afc"/>
        <w:numPr>
          <w:ilvl w:val="0"/>
          <w:numId w:val="1"/>
        </w:numPr>
      </w:pPr>
      <w:r>
        <w:t>A validated schema-1.2 bundle with no payload mismatches or injected labels.</w:t>
      </w:r>
    </w:p>
    <w:p>
      <w:pPr>
        <w:pStyle w:val="afc"/>
        <w:numPr>
          <w:ilvl w:val="0"/>
          <w:numId w:val="1"/>
        </w:numPr>
      </w:pPr>
      <w:r>
        <w:t>Two complete blind annotation files and pre-adjudication agreement.</w:t>
      </w:r>
    </w:p>
    <w:p>
      <w:pPr>
        <w:pStyle w:val="afc"/>
        <w:numPr>
          <w:ilvl w:val="0"/>
          <w:numId w:val="1"/>
        </w:numPr>
      </w:pPr>
      <w:r>
        <w:t>A resolved consensus label for every segment in all 120 final contexts.</w:t>
      </w:r>
    </w:p>
    <w:p>
      <w:pPr>
        <w:pStyle w:val="afc"/>
        <w:numPr>
          <w:ilvl w:val="0"/>
          <w:numId w:val="1"/>
        </w:numPr>
      </w:pPr>
      <w:r>
        <w:t>Task-cluster statistical output built from the immutable bundle and</w:t>
      </w:r>
    </w:p>
    <w:p>
      <w:pPr>
        <w:pStyle w:val="BodyText1"/>
      </w:pPr>
      <w:r>
        <w:t>adjudication hashes.</w:t>
      </w:r>
    </w:p>
    <w:p>
      <w:pPr>
        <w:pStyle w:val="BodyText1"/>
      </w:pPr>
      <w:r>
        <w:t xml:space="preserve">Until those artifacts exist, RQ1 and RQ2 have insufficient independent evidence, while RQ3 has controlled descriptive evidence only. This temporary status is stricter than the earlier </w:t>
      </w:r>
      <w:r>
        <w:rPr>
          <w:rFonts w:ascii="Consolas" w:hAnsi="Consolas"/>
          <w:sz w:val="20"/>
        </w:rPr>
        <w:t>Supported</w:t>
      </w:r>
      <w:r>
        <w:t xml:space="preserve"> labels and is intentionally used to prevent internal consistency from being presented as external validation.</w:t>
      </w:r>
    </w:p>
    <w:p>
      <w:pPr>
        <w:pStyle w:val="1"/>
      </w:pPr>
      <w:r>
        <w:t>Mitigation Evaluation and Discussion</w:t>
      </w:r>
    </w:p>
    <w:p>
      <w:pPr>
        <w:pStyle w:val="2"/>
      </w:pPr>
      <w:r>
        <w:t>Mitigation Effectiveness</w:t>
      </w:r>
    </w:p>
    <w:p>
      <w:pPr>
        <w:pStyle w:val="BodyText1"/>
      </w:pPr>
      <w:r>
        <w:t xml:space="preserve">The controlled mitigation experiment in Study A compared the </w:t>
      </w:r>
      <w:r>
        <w:rPr>
          <w:rFonts w:ascii="Consolas" w:hAnsi="Consolas"/>
          <w:sz w:val="20"/>
        </w:rPr>
        <w:t>combined_bloat</w:t>
      </w:r>
      <w:r>
        <w:t xml:space="preserve"> and </w:t>
      </w:r>
      <w:r>
        <w:rPr>
          <w:rFonts w:ascii="Consolas" w:hAnsi="Consolas"/>
          <w:sz w:val="20"/>
        </w:rPr>
        <w:t>mitigated</w:t>
      </w:r>
      <w:r>
        <w:t xml:space="preserve"> final invocations for the same task, framework, and repetition. The analysis comprised 180 paired outcomes derived from 30 underlying task IDs. The intervention recorded 438 provenance-linked decisions and removed 51,042 context tokens before the final model calls.</w:t>
      </w:r>
    </w:p>
    <w:p>
      <w:pPr>
        <w:pStyle w:val="BodyText1"/>
      </w:pPr>
      <w:r>
        <w:t>The mean absolute reduction was 198.48 tokens per pair. The mean token-reduction ratio was 48.85%, with a task-cluster bootstrap 95% confidence interval of [42.67%, 55.31%]. This interval establishes that the implemented rules reduced context size in the controlled fixtures. It does not establish that the removed content was unnecessary.</w:t>
      </w:r>
    </w:p>
    <w:p>
      <w:pPr>
        <w:pStyle w:val="BodyText1"/>
      </w:pPr>
      <w:r>
        <w:t xml:space="preserve">The task-success result points in the opposite direction. Success under mitigation minus success under </w:t>
      </w:r>
      <w:r>
        <w:rPr>
          <w:rFonts w:ascii="Consolas" w:hAnsi="Consolas"/>
          <w:sz w:val="20"/>
        </w:rPr>
        <w:t>combined_bloat</w:t>
      </w:r>
      <w:r>
        <w:t xml:space="preserve"> was -6.11 percentage points, with a 95% confidence interval of [-12.22, -0.56]. Of the 180 repeated pairs, 157 did not change binary outcome, six improved, and 17 degraded. An exploratory exact McNemar test gave \(p=0.0347\). Because repetitions and frameworks do not create new independent tasks, this test is not treated as confirmatory evidence. Nevertheless, both the direction of the clustered interval and the imbalance of discordant pairs are consistent with a performance-degradation risk.</w:t>
      </w:r>
    </w:p>
    <w:p>
      <w:pPr>
        <w:pStyle w:val="BodyText1"/>
      </w:pPr>
      <w:r>
        <w:t xml:space="preserve">The correct conclusion from Study A is therefore asymmetric. Token reduction is established for the controlled intervention, but task-performance non-inferiority is not established. The result should not be summarized merely as </w:t>
      </w:r>
      <w:r>
        <w:rPr>
          <w:rFonts w:ascii="Consolas" w:hAnsi="Consolas"/>
          <w:sz w:val="20"/>
        </w:rPr>
        <w:t>Inconclusive</w:t>
      </w:r>
      <w:r>
        <w:t>, because the observed interval excludes zero and is compatible with harm. Nor does the result prove that every removed segment was necessary: model variability, evidence placement, and the automatic scorer may all contribute. It shows that provenance-aware deletion remains an intervention whose utility must be tested.</w:t>
      </w:r>
    </w:p>
    <w:p>
      <w:pPr>
        <w:pStyle w:val="BodyText1"/>
      </w:pPr>
      <w:r>
        <w:t>Table 6.1 reports descriptive workflow and framework breakdowns. These subgroups were not independently powered and should be read as diagnostic patterns.</w:t>
      </w:r>
    </w:p>
    <w:p>
      <w:pPr>
        <w:pStyle w:val="Tablecaptiontext"/>
        <w:keepNext/>
      </w:pPr>
      <w:r>
        <w:rPr>
          <w:b/>
        </w:rPr>
        <w:t>Table 6.1. Mitigation outcomes by workflow family and agent implementation.</w:t>
      </w:r>
    </w:p>
    <w:tbl>
      <w:tblPr>
        <w:tblStyle w:val="afe"/>
        <w:tblW w:type="auto" w:w="0"/>
        <w:tblLayout w:type="fixed"/>
        <w:tblLook w:firstColumn="1" w:firstRow="1" w:lastColumn="0" w:lastRow="0" w:noHBand="0" w:noVBand="1" w:val="04A0"/>
      </w:tblPr>
      <w:tblGrid>
        <w:gridCol w:w="1928"/>
        <w:gridCol w:w="1928"/>
        <w:gridCol w:w="1928"/>
        <w:gridCol w:w="1928"/>
        <w:gridCol w:w="1928"/>
      </w:tblGrid>
      <w:tr>
        <w:trPr>
          <w:tblHeader w:val="true"/>
        </w:trPr>
        <w:tc>
          <w:tcPr>
            <w:tcW w:type="dxa" w:w="1645"/>
            <w:vAlign w:val="center"/>
            <w:tcMar>
              <w:top w:w="80" w:type="dxa"/>
              <w:start w:w="90" w:type="dxa"/>
              <w:bottom w:w="80" w:type="dxa"/>
              <w:end w:w="90" w:type="dxa"/>
            </w:tcMar>
            <w:shd w:fill="E8EEF3"/>
          </w:tcPr>
          <w:p>
            <w:pPr>
              <w:pStyle w:val="Tabletext"/>
              <w:jc w:val="left"/>
            </w:pPr>
            <w:r>
              <w:rPr>
                <w:b/>
              </w:rPr>
              <w:t>Group</w:t>
            </w:r>
          </w:p>
        </w:tc>
        <w:tc>
          <w:tcPr>
            <w:tcW w:type="dxa" w:w="877"/>
            <w:vAlign w:val="center"/>
            <w:tcMar>
              <w:top w:w="80" w:type="dxa"/>
              <w:start w:w="90" w:type="dxa"/>
              <w:bottom w:w="80" w:type="dxa"/>
              <w:end w:w="90" w:type="dxa"/>
            </w:tcMar>
            <w:shd w:fill="E8EEF3"/>
          </w:tcPr>
          <w:p>
            <w:pPr>
              <w:pStyle w:val="Tabletext"/>
              <w:jc w:val="center"/>
            </w:pPr>
            <w:r>
              <w:rPr>
                <w:b/>
              </w:rPr>
              <w:t>Pairs</w:t>
            </w:r>
          </w:p>
        </w:tc>
        <w:tc>
          <w:tcPr>
            <w:tcW w:type="dxa" w:w="2193"/>
            <w:vAlign w:val="center"/>
            <w:tcMar>
              <w:top w:w="80" w:type="dxa"/>
              <w:start w:w="90" w:type="dxa"/>
              <w:bottom w:w="80" w:type="dxa"/>
              <w:end w:w="90" w:type="dxa"/>
            </w:tcMar>
            <w:shd w:fill="E8EEF3"/>
          </w:tcPr>
          <w:p>
            <w:pPr>
              <w:pStyle w:val="Tabletext"/>
              <w:jc w:val="center"/>
            </w:pPr>
            <w:r>
              <w:rPr>
                <w:b/>
              </w:rPr>
              <w:t>Mean token reduction</w:t>
            </w:r>
          </w:p>
        </w:tc>
        <w:tc>
          <w:tcPr>
            <w:tcW w:type="dxa" w:w="2193"/>
            <w:vAlign w:val="center"/>
            <w:tcMar>
              <w:top w:w="80" w:type="dxa"/>
              <w:start w:w="90" w:type="dxa"/>
              <w:bottom w:w="80" w:type="dxa"/>
              <w:end w:w="90" w:type="dxa"/>
            </w:tcMar>
            <w:shd w:fill="E8EEF3"/>
          </w:tcPr>
          <w:p>
            <w:pPr>
              <w:pStyle w:val="Tabletext"/>
              <w:jc w:val="center"/>
            </w:pPr>
            <w:r>
              <w:rPr>
                <w:b/>
              </w:rPr>
              <w:t>Mean reduction ratio</w:t>
            </w:r>
          </w:p>
        </w:tc>
        <w:tc>
          <w:tcPr>
            <w:tcW w:type="dxa" w:w="2523"/>
            <w:vAlign w:val="center"/>
            <w:tcMar>
              <w:top w:w="80" w:type="dxa"/>
              <w:start w:w="90" w:type="dxa"/>
              <w:bottom w:w="80" w:type="dxa"/>
              <w:end w:w="90" w:type="dxa"/>
            </w:tcMar>
            <w:shd w:fill="E8EEF3"/>
          </w:tcPr>
          <w:p>
            <w:pPr>
              <w:pStyle w:val="Tabletext"/>
              <w:jc w:val="center"/>
            </w:pPr>
            <w:r>
              <w:rPr>
                <w:b/>
              </w:rPr>
              <w:t>Task-success difference</w:t>
            </w:r>
          </w:p>
        </w:tc>
      </w:tr>
      <w:tr>
        <w:tc>
          <w:tcPr>
            <w:tcW w:type="dxa" w:w="1645"/>
            <w:vAlign w:val="center"/>
            <w:tcMar>
              <w:top w:w="80" w:type="dxa"/>
              <w:start w:w="90" w:type="dxa"/>
              <w:bottom w:w="80" w:type="dxa"/>
              <w:end w:w="90" w:type="dxa"/>
            </w:tcMar>
          </w:tcPr>
          <w:p>
            <w:pPr>
              <w:pStyle w:val="Tabletext"/>
              <w:jc w:val="left"/>
            </w:pPr>
            <w:r>
              <w:t>Retrieval QA</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40.20</w:t>
            </w:r>
          </w:p>
        </w:tc>
        <w:tc>
          <w:tcPr>
            <w:tcW w:type="dxa" w:w="2193"/>
            <w:vAlign w:val="center"/>
            <w:tcMar>
              <w:top w:w="80" w:type="dxa"/>
              <w:start w:w="90" w:type="dxa"/>
              <w:bottom w:w="80" w:type="dxa"/>
              <w:end w:w="90" w:type="dxa"/>
            </w:tcMar>
          </w:tcPr>
          <w:p>
            <w:pPr>
              <w:pStyle w:val="Tabletext"/>
              <w:jc w:val="center"/>
            </w:pPr>
            <w:r>
              <w:t>32.40%</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Memory turns</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26.50</w:t>
            </w:r>
          </w:p>
        </w:tc>
        <w:tc>
          <w:tcPr>
            <w:tcW w:type="dxa" w:w="2193"/>
            <w:vAlign w:val="center"/>
            <w:tcMar>
              <w:top w:w="80" w:type="dxa"/>
              <w:start w:w="90" w:type="dxa"/>
              <w:bottom w:w="80" w:type="dxa"/>
              <w:end w:w="90" w:type="dxa"/>
            </w:tcMar>
          </w:tcPr>
          <w:p>
            <w:pPr>
              <w:pStyle w:val="Tabletext"/>
              <w:jc w:val="center"/>
            </w:pPr>
            <w:r>
              <w:t>29.96%</w:t>
            </w:r>
          </w:p>
        </w:tc>
        <w:tc>
          <w:tcPr>
            <w:tcW w:type="dxa" w:w="2523"/>
            <w:vAlign w:val="center"/>
            <w:tcMar>
              <w:top w:w="80" w:type="dxa"/>
              <w:start w:w="90" w:type="dxa"/>
              <w:bottom w:w="80" w:type="dxa"/>
              <w:end w:w="90" w:type="dxa"/>
            </w:tcMar>
          </w:tcPr>
          <w:p>
            <w:pPr>
              <w:pStyle w:val="Tabletext"/>
              <w:jc w:val="center"/>
            </w:pPr>
            <w:r>
              <w:t>-11.67 pp</w:t>
            </w:r>
          </w:p>
        </w:tc>
      </w:tr>
      <w:tr>
        <w:tc>
          <w:tcPr>
            <w:tcW w:type="dxa" w:w="1645"/>
            <w:vAlign w:val="center"/>
            <w:tcMar>
              <w:top w:w="80" w:type="dxa"/>
              <w:start w:w="90" w:type="dxa"/>
              <w:bottom w:w="80" w:type="dxa"/>
              <w:end w:w="90" w:type="dxa"/>
            </w:tcMar>
          </w:tcPr>
          <w:p>
            <w:pPr>
              <w:pStyle w:val="Tabletext"/>
              <w:jc w:val="left"/>
            </w:pPr>
            <w:r>
              <w:t>Multi-step tool</w:t>
            </w:r>
          </w:p>
        </w:tc>
        <w:tc>
          <w:tcPr>
            <w:tcW w:type="dxa" w:w="877"/>
            <w:vAlign w:val="center"/>
            <w:tcMar>
              <w:top w:w="80" w:type="dxa"/>
              <w:start w:w="90" w:type="dxa"/>
              <w:bottom w:w="80" w:type="dxa"/>
              <w:end w:w="90" w:type="dxa"/>
            </w:tcMar>
          </w:tcPr>
          <w:p>
            <w:pPr>
              <w:pStyle w:val="Tabletext"/>
              <w:jc w:val="center"/>
            </w:pPr>
            <w:r>
              <w:t>60</w:t>
            </w:r>
          </w:p>
        </w:tc>
        <w:tc>
          <w:tcPr>
            <w:tcW w:type="dxa" w:w="2193"/>
            <w:vAlign w:val="center"/>
            <w:tcMar>
              <w:top w:w="80" w:type="dxa"/>
              <w:start w:w="90" w:type="dxa"/>
              <w:bottom w:w="80" w:type="dxa"/>
              <w:end w:w="90" w:type="dxa"/>
            </w:tcMar>
          </w:tcPr>
          <w:p>
            <w:pPr>
              <w:pStyle w:val="Tabletext"/>
              <w:jc w:val="center"/>
            </w:pPr>
            <w:r>
              <w:t>528.73</w:t>
            </w:r>
          </w:p>
        </w:tc>
        <w:tc>
          <w:tcPr>
            <w:tcW w:type="dxa" w:w="2193"/>
            <w:vAlign w:val="center"/>
            <w:tcMar>
              <w:top w:w="80" w:type="dxa"/>
              <w:start w:w="90" w:type="dxa"/>
              <w:bottom w:w="80" w:type="dxa"/>
              <w:end w:w="90" w:type="dxa"/>
            </w:tcMar>
          </w:tcPr>
          <w:p>
            <w:pPr>
              <w:pStyle w:val="Tabletext"/>
              <w:jc w:val="center"/>
            </w:pPr>
            <w:r>
              <w:t>84.18%</w:t>
            </w:r>
          </w:p>
        </w:tc>
        <w:tc>
          <w:tcPr>
            <w:tcW w:type="dxa" w:w="2523"/>
            <w:vAlign w:val="center"/>
            <w:tcMar>
              <w:top w:w="80" w:type="dxa"/>
              <w:start w:w="90" w:type="dxa"/>
              <w:bottom w:w="80" w:type="dxa"/>
              <w:end w:w="90" w:type="dxa"/>
            </w:tcMar>
          </w:tcPr>
          <w:p>
            <w:pPr>
              <w:pStyle w:val="Tabletext"/>
              <w:jc w:val="center"/>
            </w:pPr>
            <w:r>
              <w:t>-3.33 pp</w:t>
            </w:r>
          </w:p>
        </w:tc>
      </w:tr>
      <w:tr>
        <w:tc>
          <w:tcPr>
            <w:tcW w:type="dxa" w:w="1645"/>
            <w:vAlign w:val="center"/>
            <w:tcMar>
              <w:top w:w="80" w:type="dxa"/>
              <w:start w:w="90" w:type="dxa"/>
              <w:bottom w:w="80" w:type="dxa"/>
              <w:end w:w="90" w:type="dxa"/>
            </w:tcMar>
          </w:tcPr>
          <w:p>
            <w:pPr>
              <w:pStyle w:val="Tabletext"/>
              <w:jc w:val="left"/>
            </w:pPr>
            <w:r>
              <w:t>Custom ReAct</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198.98</w:t>
            </w:r>
          </w:p>
        </w:tc>
        <w:tc>
          <w:tcPr>
            <w:tcW w:type="dxa" w:w="2193"/>
            <w:vAlign w:val="center"/>
            <w:tcMar>
              <w:top w:w="80" w:type="dxa"/>
              <w:start w:w="90" w:type="dxa"/>
              <w:bottom w:w="80" w:type="dxa"/>
              <w:end w:w="90" w:type="dxa"/>
            </w:tcMar>
          </w:tcPr>
          <w:p>
            <w:pPr>
              <w:pStyle w:val="Tabletext"/>
              <w:jc w:val="center"/>
            </w:pPr>
            <w:r>
              <w:t>48.71%</w:t>
            </w:r>
          </w:p>
        </w:tc>
        <w:tc>
          <w:tcPr>
            <w:tcW w:type="dxa" w:w="2523"/>
            <w:vAlign w:val="center"/>
            <w:tcMar>
              <w:top w:w="80" w:type="dxa"/>
              <w:start w:w="90" w:type="dxa"/>
              <w:bottom w:w="80" w:type="dxa"/>
              <w:end w:w="90" w:type="dxa"/>
            </w:tcMar>
          </w:tcPr>
          <w:p>
            <w:pPr>
              <w:pStyle w:val="Tabletext"/>
              <w:jc w:val="center"/>
            </w:pPr>
            <w:r>
              <w:t>-2.22 pp</w:t>
            </w:r>
          </w:p>
        </w:tc>
      </w:tr>
      <w:tr>
        <w:tc>
          <w:tcPr>
            <w:tcW w:type="dxa" w:w="1645"/>
            <w:vAlign w:val="center"/>
            <w:tcMar>
              <w:top w:w="80" w:type="dxa"/>
              <w:start w:w="90" w:type="dxa"/>
              <w:bottom w:w="80" w:type="dxa"/>
              <w:end w:w="90" w:type="dxa"/>
            </w:tcMar>
          </w:tcPr>
          <w:p>
            <w:pPr>
              <w:pStyle w:val="Tabletext"/>
              <w:jc w:val="left"/>
            </w:pPr>
            <w:r>
              <w:t>LangChain</w:t>
            </w:r>
          </w:p>
        </w:tc>
        <w:tc>
          <w:tcPr>
            <w:tcW w:type="dxa" w:w="877"/>
            <w:vAlign w:val="center"/>
            <w:tcMar>
              <w:top w:w="80" w:type="dxa"/>
              <w:start w:w="90" w:type="dxa"/>
              <w:bottom w:w="80" w:type="dxa"/>
              <w:end w:w="90" w:type="dxa"/>
            </w:tcMar>
          </w:tcPr>
          <w:p>
            <w:pPr>
              <w:pStyle w:val="Tabletext"/>
              <w:jc w:val="center"/>
            </w:pPr>
            <w:r>
              <w:t>90</w:t>
            </w:r>
          </w:p>
        </w:tc>
        <w:tc>
          <w:tcPr>
            <w:tcW w:type="dxa" w:w="2193"/>
            <w:vAlign w:val="center"/>
            <w:tcMar>
              <w:top w:w="80" w:type="dxa"/>
              <w:start w:w="90" w:type="dxa"/>
              <w:bottom w:w="80" w:type="dxa"/>
              <w:end w:w="90" w:type="dxa"/>
            </w:tcMar>
          </w:tcPr>
          <w:p>
            <w:pPr>
              <w:pStyle w:val="Tabletext"/>
              <w:jc w:val="center"/>
            </w:pPr>
            <w:r>
              <w:t>197.98</w:t>
            </w:r>
          </w:p>
        </w:tc>
        <w:tc>
          <w:tcPr>
            <w:tcW w:type="dxa" w:w="2193"/>
            <w:vAlign w:val="center"/>
            <w:tcMar>
              <w:top w:w="80" w:type="dxa"/>
              <w:start w:w="90" w:type="dxa"/>
              <w:bottom w:w="80" w:type="dxa"/>
              <w:end w:w="90" w:type="dxa"/>
            </w:tcMar>
          </w:tcPr>
          <w:p>
            <w:pPr>
              <w:pStyle w:val="Tabletext"/>
              <w:jc w:val="center"/>
            </w:pPr>
            <w:r>
              <w:t>48.98%</w:t>
            </w:r>
          </w:p>
        </w:tc>
        <w:tc>
          <w:tcPr>
            <w:tcW w:type="dxa" w:w="2523"/>
            <w:vAlign w:val="center"/>
            <w:tcMar>
              <w:top w:w="80" w:type="dxa"/>
              <w:start w:w="90" w:type="dxa"/>
              <w:bottom w:w="80" w:type="dxa"/>
              <w:end w:w="90" w:type="dxa"/>
            </w:tcMar>
          </w:tcPr>
          <w:p>
            <w:pPr>
              <w:pStyle w:val="Tabletext"/>
              <w:jc w:val="center"/>
            </w:pPr>
            <w:r>
              <w:t>-10.00 pp</w:t>
            </w:r>
          </w:p>
        </w:tc>
      </w:tr>
    </w:tbl>
    <w:p>
      <w:pPr>
        <w:pStyle w:val="BodyText1"/>
      </w:pPr>
    </w:p>
    <w:p>
      <w:pPr>
        <w:keepNext/>
        <w:jc w:val="center"/>
      </w:pPr>
      <w:r>
        <w:drawing>
          <wp:inline xmlns:a="http://schemas.openxmlformats.org/drawingml/2006/main" xmlns:pic="http://schemas.openxmlformats.org/drawingml/2006/picture">
            <wp:extent cx="5806440" cy="1858061"/>
            <wp:docPr id="6" name="Picture 6" descr="Horizontal bars show the largest reduction in tool workflows, followed by retrieval and memory workflows."/>
            <wp:cNvGraphicFramePr>
              <a:graphicFrameLocks noChangeAspect="1"/>
            </wp:cNvGraphicFramePr>
            <a:graphic>
              <a:graphicData uri="http://schemas.openxmlformats.org/drawingml/2006/picture">
                <pic:pic>
                  <pic:nvPicPr>
                    <pic:cNvPr id="0" name="mitigation_reduction.png"/>
                    <pic:cNvPicPr/>
                  </pic:nvPicPr>
                  <pic:blipFill>
                    <a:blip r:embed="rId34"/>
                    <a:stretch>
                      <a:fillRect/>
                    </a:stretch>
                  </pic:blipFill>
                  <pic:spPr>
                    <a:xfrm>
                      <a:off x="0" y="0"/>
                      <a:ext cx="5806440" cy="1858061"/>
                    </a:xfrm>
                    <a:prstGeom prst="rect"/>
                  </pic:spPr>
                </pic:pic>
              </a:graphicData>
            </a:graphic>
          </wp:inline>
        </w:drawing>
      </w:r>
    </w:p>
    <w:p>
      <w:pPr>
        <w:pStyle w:val="Figurecaptiontext"/>
        <w:jc w:val="left"/>
      </w:pPr>
      <w:r>
        <w:t>Figure 6.1. Mean token reduction achieved by mitigation across workflow families.</w:t>
      </w:r>
    </w:p>
    <w:p>
      <w:pPr>
        <w:pStyle w:val="BodyText1"/>
      </w:pPr>
      <w:r>
        <w:t>The large reduction in the tool workflow follows directly from the fixture design: its injected tool observations contain a concise result followed by repeated diagnostic detail. Memory shows the largest descriptive success loss, whereas the LangChain path loses more than the Custom ReAct path. These differences identify cases for inspection, not stable workflow or framework effects.</w:t>
      </w:r>
    </w:p>
    <w:p>
      <w:pPr>
        <w:pStyle w:val="BodyText1"/>
      </w:pPr>
      <w:r>
        <w:t>The controlled cross-source stress cohort produced a mean reduction of 79.68% (95% CI [79.06%, 80.25%]) and a task-success difference of -16.67 percentage points (95% CI [-38.89, 0.00]). Eight repeated pairs degraded and two improved. This result reinforces the central engineering lesson: a high compression ratio is not evidence that an intervention preserved the information needed by the task.</w:t>
      </w:r>
    </w:p>
    <w:p>
      <w:pPr>
        <w:pStyle w:val="BodyText1"/>
      </w:pPr>
      <w:r>
        <w:t xml:space="preserve">Study C is designed to supply the missing comparative evidence. It replays 30 held-out tasks through both execution paths under three conditions: unmodified context, provenance-aware mitigation, and LLMLingua-2 </w:t>
      </w:r>
      <w:r>
        <w:t>[17]</w:t>
      </w:r>
      <w:r>
        <w:t>. The compression baseline receives the same retained-token budget as the provenance-aware method, while system instructions, user messages, and tool definitions remain protected. The analysis reports token, cost, latency, automatic task score, and condition-blind human task success. At the time of this draft, the Study C software and mock validation are complete, but the registered real-model results have not been collected. Consequently, no comparative Study C effect is reported here.</w:t>
      </w:r>
    </w:p>
    <w:p>
      <w:pPr>
        <w:pStyle w:val="2"/>
      </w:pPr>
      <w:r>
        <w:t>Counterfactual Necessity and Interpretation</w:t>
      </w:r>
    </w:p>
    <w:p>
      <w:pPr>
        <w:pStyle w:val="BodyText1"/>
      </w:pPr>
      <w:r>
        <w:t>The definition of context bloat requires more than a detector flag. A segment may look duplicated, irrelevant, stale, or verbose while still affecting the answer. The revised evidence model therefore distinguishes four concepts: injected perturbations, heuristic indicators, human reference annotations, and counterfactual removability. Only the last concept directly tests whether a candidate segment can be removed without an observed utility loss under the specified replay conditions.</w:t>
      </w:r>
    </w:p>
    <w:p>
      <w:pPr>
        <w:pStyle w:val="BodyText1"/>
      </w:pPr>
      <w:r>
        <w:t xml:space="preserve">The Study C counterfactual suite selects 18 contexts, with three contexts from each workflow-by-framework combination. Each selected context is paired with one consensus </w:t>
      </w:r>
      <w:r>
        <w:rPr>
          <w:rFonts w:ascii="Consolas" w:hAnsi="Consolas"/>
          <w:sz w:val="20"/>
        </w:rPr>
        <w:t>remove</w:t>
      </w:r>
      <w:r>
        <w:t xml:space="preserve"> segment and one token-length-matched consensus </w:t>
      </w:r>
      <w:r>
        <w:rPr>
          <w:rFonts w:ascii="Consolas" w:hAnsi="Consolas"/>
          <w:sz w:val="20"/>
        </w:rPr>
        <w:t>keep</w:t>
      </w:r>
      <w:r>
        <w:t xml:space="preserve"> segment. The original request, candidate-removal request, and necessary-segment removal request are each replayed with two fixed seeds, yielding 108 calls. A candidate is classified as counterfactually removable only when both candidate-removal repetitions preserve task success relative to the original. Removing the matched </w:t>
      </w:r>
      <w:r>
        <w:rPr>
          <w:rFonts w:ascii="Consolas" w:hAnsi="Consolas"/>
          <w:sz w:val="20"/>
        </w:rPr>
        <w:t>keep</w:t>
      </w:r>
      <w:r>
        <w:t xml:space="preserve"> segment acts as a negative control.</w:t>
      </w:r>
    </w:p>
    <w:p>
      <w:pPr>
        <w:pStyle w:val="BodyText1"/>
      </w:pPr>
      <w:r>
        <w:t xml:space="preserve">This design does not turn counterfactual removability into a universal fact. The result remains conditional on the task definition, model, request serialization, seed pair, and scorer. It is nevertheless more informative than deriving a label from the same metadata consumed by the detector. Agreement between human </w:t>
      </w:r>
      <w:r>
        <w:rPr>
          <w:rFonts w:ascii="Consolas" w:hAnsi="Consolas"/>
          <w:sz w:val="20"/>
        </w:rPr>
        <w:t>remove</w:t>
      </w:r>
      <w:r>
        <w:t xml:space="preserve"> judgments and successful counterfactual deletion provides evidence that the annotation captures avoidable content. Disagreement is equally useful: it identifies cases in which apparent redundancy or irrelevance carries latent utility.</w:t>
      </w:r>
    </w:p>
    <w:p>
      <w:pPr>
        <w:pStyle w:val="BodyText1"/>
      </w:pPr>
      <w:r>
        <w:t>Study A already illustrates why this distinction matters. Exact and near duplicates often repeat relevant evidence. Low-overlap retrieval can provide a bridging fact for multi-hop reasoning. A verbose tool response may contain one essential field near its end. Repetition can also change the salience or position of a fact even when it adds no new lexical information. These mechanisms explain why a rule can correctly match an injected label yet still decrease task success after removal.</w:t>
      </w:r>
    </w:p>
    <w:p>
      <w:pPr>
        <w:pStyle w:val="BodyText1"/>
      </w:pPr>
      <w:r>
        <w:t>The source ranking from Study A is likewise conditional on the perturbation process. Tool output had the highest injected-bloat ratio (0.500), followed by retrieval (0.487) and memory (0.468), but the differences are small and the fixtures deliberately assigned different bloat mechanisms to the three workflows. The defensible statement is that tool-output segments had the highest injected-bloat ratio under these controlled fixtures. Study B will estimate independently annotated source ratios in natural traces and attach task-cluster confidence intervals to those estimates.</w:t>
      </w:r>
    </w:p>
    <w:p>
      <w:pPr>
        <w:pStyle w:val="BodyText1"/>
      </w:pPr>
      <w:r>
        <w:t xml:space="preserve">Prompt-compression research supports the same utility-aware interpretation. Compression methods are normally evaluated on downstream quality as well as token reduction, and recent work argues that information preservation must be measured directly rather than inferred from prompt length </w:t>
      </w:r>
      <w:r>
        <w:t>[18]</w:t>
      </w:r>
      <w:r>
        <w:t>. The present thesis extends this principle with source provenance and segment-level intervention records. The purpose is not to declare one compression family universally superior, but to make the efficiency-utility trade-off auditable.</w:t>
      </w:r>
    </w:p>
    <w:p>
      <w:pPr>
        <w:pStyle w:val="2"/>
      </w:pPr>
      <w:r>
        <w:t>Engineering Implications</w:t>
      </w:r>
    </w:p>
    <w:p>
      <w:pPr>
        <w:pStyle w:val="BodyText1"/>
      </w:pPr>
      <w:r>
        <w:t xml:space="preserve">The first implication concerns the capture boundary. Framework callbacks can observe messages before a provider adapter serializes them, while application logs may record only user input and final output. Version 1.2 therefore stores both a framework-side </w:t>
      </w:r>
      <w:r>
        <w:rPr>
          <w:rFonts w:ascii="Consolas" w:hAnsi="Consolas"/>
          <w:sz w:val="20"/>
        </w:rPr>
        <w:t>ModelRequestEnvelope</w:t>
      </w:r>
      <w:r>
        <w:t xml:space="preserve"> and a redacted </w:t>
      </w:r>
      <w:r>
        <w:rPr>
          <w:rFonts w:ascii="Consolas" w:hAnsi="Consolas"/>
          <w:sz w:val="20"/>
        </w:rPr>
        <w:t>ProviderRequestRecord</w:t>
      </w:r>
      <w:r>
        <w:t>. Their canonical hashes reveal whether the two representations differ. For the DeepSeek adapter, the provider record is computed from the same serialized bytes passed to the HTTP transport.</w:t>
      </w:r>
    </w:p>
    <w:p>
      <w:pPr>
        <w:pStyle w:val="BodyText1"/>
      </w:pPr>
      <w:r>
        <w:t xml:space="preserve">This mechanism supports a precise but limited claim: the framework captures the client-side serialized request. It cannot observe transformations performed inside the provider service, such as undocumented instruction insertion, tokenization, caching, or routing. A </w:t>
      </w:r>
      <w:r>
        <w:rPr>
          <w:rFonts w:ascii="Consolas" w:hAnsi="Consolas"/>
          <w:sz w:val="20"/>
        </w:rPr>
        <w:t>payload_mismatch</w:t>
      </w:r>
      <w:r>
        <w:t xml:space="preserve"> flag also prevents a trace with inconsistent capture hashes from silently entering the evidence set.</w:t>
      </w:r>
    </w:p>
    <w:p>
      <w:pPr>
        <w:pStyle w:val="BodyText1"/>
      </w:pPr>
      <w:r>
        <w:t>The second implication is that token accounting should preserve provenance. An aggregate token count can identify an expensive call but cannot tell a developer whether retrieval, memory, tool output, tool schemas, generated traces, or framework instructions caused the increase. Source contribution and source-localized indicators connect an observation to a plausible engineering action.</w:t>
      </w:r>
    </w:p>
    <w:p>
      <w:pPr>
        <w:pStyle w:val="BodyText1"/>
      </w:pPr>
      <w:r>
        <w:t>The third implication is that detection should precede intervention. The auditor can run in observation mode, collect growth and redundancy indicators, and expose the relevant segment without modifying behavior. Automatic mitigation should be enabled only after its candidate selection, protected segments, token budget, and task-utility effects have been validated for the target workflow.</w:t>
      </w:r>
    </w:p>
    <w:p>
      <w:pPr>
        <w:pStyle w:val="BodyText1"/>
      </w:pPr>
      <w:r>
        <w:t>The fourth implication is that mitigation decisions require their own audit trail. A shorter request is not inherently explainable. Each decision records the affected segment, action, reason, source, and estimated token change. These records allow a failure to be traced back to a specific deletion or compression and support policies that protect instructions, tool definitions, or selected memory records.</w:t>
      </w:r>
    </w:p>
    <w:p>
      <w:pPr>
        <w:pStyle w:val="BodyText1"/>
      </w:pPr>
      <w:r>
        <w:t>The fifth implication concerns experimental reproducibility. Agent studies combine code, configuration, source datasets, model calls, retries, generated outputs, annotations, and statistical decisions. Versioned datasets, unique run directories, manifests, payload hashes, call ledgers, immutable bundles, and protocol hashes are therefore part of the research method. They constrain researcher degrees of freedom and make negative results recoverable rather than disposable.</w:t>
      </w:r>
    </w:p>
    <w:p>
      <w:pPr>
        <w:pStyle w:val="BodyText1"/>
      </w:pPr>
      <w:r>
        <w:t>Finally, the two execution paths demonstrate adapter reuse, not universal framework independence. LangChain and Custom ReAct share the same dataset, provider interface, detector, and analysis core. Their successful integration shows that the schema is not tied to one callback API. It does not show that all frameworks construct equivalent contexts or that the findings generalize to multi-agent systems.</w:t>
      </w:r>
    </w:p>
    <w:p>
      <w:pPr>
        <w:pStyle w:val="2"/>
      </w:pPr>
      <w:r>
        <w:t>Limitations and Future Work</w:t>
      </w:r>
    </w:p>
    <w:p>
      <w:pPr>
        <w:pStyle w:val="BodyText1"/>
      </w:pPr>
      <w:r>
        <w:t>The principal current limitation is evidential. Study A provides internally consistent controlled data but not independent validation. Study B and Study C have complete data, execution, annotation, adjudication, and evidence-building pipelines, and those pipelines have passed mock end-to-end validation. Their real-model test split remains intentionally blocked until the protocol receives an external OSF timestamp. The thesis must not replace those pending results with mock values.</w:t>
      </w:r>
    </w:p>
    <w:p>
      <w:pPr>
        <w:pStyle w:val="BodyText1"/>
      </w:pPr>
      <w:r>
        <w:t>Human annotation introduces a second limitation. Judging whether a segment is removable can require domain knowledge and counterfactual reasoning. The protocol therefore uses two independent annotators for every final Study B context, reports raw agreement, Cohen's kappa, Gwet's AC1, and Krippendorff's alpha before adjudication, and retains both original label files. Even with this procedure, a consensus label is a reference judgment rather than absolute ground truth.</w:t>
      </w:r>
    </w:p>
    <w:p>
      <w:pPr>
        <w:pStyle w:val="BodyText1"/>
      </w:pPr>
      <w:r>
        <w:t xml:space="preserve">The natural-trace datasets are broader than the controlled fixtures but remain bounded. HotpotQA supplies retrieval questions, LongMemEval supplies memory sessions, and a documented two-turn adaptation of BFCL supplies tool-use requests </w:t>
      </w:r>
      <w:r>
        <w:t>[26], [27], [28]</w:t>
      </w:r>
      <w:r>
        <w:t>. The local retriever, memory selection policy, and deterministic tool implementations do not reproduce every production RAG, long-term memory, or external API system.</w:t>
      </w:r>
    </w:p>
    <w:p>
      <w:pPr>
        <w:pStyle w:val="BodyText1"/>
      </w:pPr>
      <w:r>
        <w:t>The detector remains primarily lexical and rule-based. Exact hashes do not capture semantic repetition; token overlap can misclassify paraphrases; relevance depends on multi-hop reasoning; and a length threshold cannot determine whether a structured tool field is useful. Future detectors could combine embeddings, entailment, temporal memory metadata, structured schemas, and calibrated uncertainty while retaining segment-level explanations.</w:t>
      </w:r>
    </w:p>
    <w:p>
      <w:pPr>
        <w:pStyle w:val="BodyText1"/>
      </w:pPr>
      <w:r>
        <w:t>The provider scope is also limited. The validation protocol fixes one provider and one served model version. Provider-side updates may occur even when the client model name remains stable. Model call date, configuration, serialized payload hash, and dependency versions are recorded, but they cannot make a hosted model fully reproducible.</w:t>
      </w:r>
    </w:p>
    <w:p>
      <w:pPr>
        <w:pStyle w:val="BodyText1"/>
      </w:pPr>
      <w:r>
        <w:t>The independent unit is the set of 60 Study B task IDs. Framework, condition, and repetition are within-task measurements rather than additional independent samples. Hierarchical bootstrap intervals and task-clustered GEE respect this structure, but workflow-specific effects will still be imprecise. A larger multi-provider study would be required for strong interaction claims.</w:t>
      </w:r>
    </w:p>
    <w:p>
      <w:pPr>
        <w:pStyle w:val="BodyText1"/>
      </w:pPr>
      <w:r>
        <w:t>Future work should extend the counterfactual design to combinations of segments, longer agent trajectories, multilingual prompts, and adaptive context budgets. More capable mitigation could preserve structured tool fields, summarize with explicit coverage checks, or request human approval when evidence is ambiguous. Any such method should continue to report token savings and utility together; the Study A result shows why neither outcome can stand in for the other.</w:t>
      </w:r>
    </w:p>
    <w:p>
      <w:pPr>
        <w:pStyle w:val="1"/>
      </w:pPr>
      <w:r>
        <w:t>Conclusion</w:t>
      </w:r>
    </w:p>
    <w:p>
      <w:pPr>
        <w:pStyle w:val="2"/>
      </w:pPr>
      <w:r>
        <w:t>Answers to the Research Questions</w:t>
      </w:r>
    </w:p>
    <w:p>
      <w:pPr>
        <w:pStyle w:val="BodyText1"/>
      </w:pPr>
      <w:r>
        <w:t>This thesis studies context bloat in the automatically constructed, model-visible context of LLM-based agents. Runtime auditing is the method: each client-side model request is represented as ordered, source-attributed segments, and detection, measurement, annotation, and mitigation evidence are kept separate. The empirical design combines a controlled perturbation study, an independently annotated natural-trace study, and a counterfactual mitigation study.</w:t>
      </w:r>
    </w:p>
    <w:p>
      <w:pPr>
        <w:pStyle w:val="BodyText1"/>
      </w:pPr>
      <w:r>
        <w:rPr>
          <w:b/>
        </w:rPr>
        <w:t>RQ1 asks how accurately provenance-aware heuristic signals detect and localize independently annotated context bloat in natural agent traces.</w:t>
      </w:r>
      <w:r>
        <w:t xml:space="preserve"> Study A found perfect agreement with 1,122 injected labels, but those labels were generated from the same controlled metadata used by the detector. This result verifies the internal operation of capture, segmentation, rule application, and localization; it is not an estimate of natural-trace accuracy. RQ1 requires task-macro precision, recall, F1, and localization accuracy against the two-annotator Study B reference labels. Those real-model results are pending in this draft, so no external detection claim is made.</w:t>
      </w:r>
    </w:p>
    <w:p>
      <w:pPr>
        <w:pStyle w:val="BodyText1"/>
      </w:pPr>
      <w:r>
        <w:rPr>
          <w:b/>
        </w:rPr>
        <w:t>RQ2 asks how automated bloat measures agree with independent human judgments and counterfactual removability.</w:t>
      </w:r>
      <w:r>
        <w:t xml:space="preserve"> Study A's perfect correlation is similarly an internal consistency result because the measured and injected ratios share the controlled label construction. Version 1.2 instead compares the detected token ratio directly with the adjudicated human </w:t>
      </w:r>
      <w:r>
        <w:rPr>
          <w:rFonts w:ascii="Consolas" w:hAnsi="Consolas"/>
          <w:sz w:val="20"/>
        </w:rPr>
        <w:t>remove</w:t>
      </w:r>
      <w:r>
        <w:t xml:space="preserve"> ratio using Spearman correlation, mean absolute error, calibration slope, and Bland-Altman bias. A separate replay labels a segment counterfactually removable only when its deletion preserves success in both fixed repetitions. Until those real annotations and replays are complete, RQ2 remains empirically unanswered outside the controlled benchmark.</w:t>
      </w:r>
    </w:p>
    <w:p>
      <w:pPr>
        <w:pStyle w:val="BodyText1"/>
      </w:pPr>
      <w:r>
        <w:rPr>
          <w:b/>
        </w:rPr>
        <w:t>RQ3 asks which bloat sources and patterns are observed across controlled and naturalistic workflows.</w:t>
      </w:r>
      <w:r>
        <w:t xml:space="preserve"> In Study A, tool-output segments had the highest mean injected-bloat ratio (0.500), followed by retrieval (0.487) and memory (0.468). This ranking describes the designed fixtures and is not evidence that tool output is universally the dominant source. The final answer to RQ3 will report controlled injected ratios and natural-trace human-reference ratios as separate evidence blocks, with task-cluster uncertainty and effect sizes.</w:t>
      </w:r>
    </w:p>
    <w:p>
      <w:pPr>
        <w:pStyle w:val="BodyText1"/>
      </w:pPr>
      <w:r>
        <w:rPr>
          <w:b/>
        </w:rPr>
        <w:t>RQ4 asks what token and cost savings, and what task-performance trade-offs, arise from provenance-aware mitigation compared with prompt compression.</w:t>
      </w:r>
      <w:r>
        <w:t xml:space="preserve"> Study A establishes a mean token reduction of 48.85% (95% CI [42.67%, 55.31%]) for its controlled source-aware intervention. It also observes a task-success difference of -6.11 percentage points (95% CI [-12.22, -0.56]). Thus, non-inferiority is not established, and the evidence is consistent with performance degradation. The comparative answer requires Study C's unmodified, provenance-aware, and budget-matched LLMLingua-2 arms. No comparative effect is claimed before those real-model results and blinded outcome judgments are frozen.</w:t>
      </w:r>
    </w:p>
    <w:p>
      <w:pPr>
        <w:pStyle w:val="BodyText1"/>
      </w:pPr>
      <w:r>
        <w:t>These answers demonstrate why context auditing, bloat detection, and context control must not be collapsed into one success claim. A pipeline can behave exactly as designed on injected patterns without having established external detection validity. An intervention can also reduce tokens substantially while reducing task success. Both distinctions are substantive findings rather than presentation caveats.</w:t>
      </w:r>
    </w:p>
    <w:p>
      <w:pPr>
        <w:pStyle w:val="2"/>
      </w:pPr>
      <w:r>
        <w:t>Contributions and Future Directions</w:t>
      </w:r>
    </w:p>
    <w:p>
      <w:pPr>
        <w:pStyle w:val="BodyText1"/>
      </w:pPr>
      <w:r>
        <w:t>The first contribution is a provenance-aware conceptual model of context bloat. It distinguishes source type from bloat type and separates injected perturbations, heuristic indicators, human reference annotations, and counterfactual outcomes. This vocabulary prevents detector output from being silently promoted to ground truth.</w:t>
      </w:r>
    </w:p>
    <w:p>
      <w:pPr>
        <w:pStyle w:val="BodyText1"/>
      </w:pPr>
      <w:r>
        <w:t xml:space="preserve">The second contribution is a runtime auditing framework that records the client-side model request. Version 1.2 represents messages, separate system instructions, tool definitions, generation parameters, and response format in a </w:t>
      </w:r>
      <w:r>
        <w:rPr>
          <w:rFonts w:ascii="Consolas" w:hAnsi="Consolas"/>
          <w:sz w:val="20"/>
        </w:rPr>
        <w:t>ModelRequestEnvelope</w:t>
      </w:r>
      <w:r>
        <w:t>. A redacted provider request record and canonical hash make framework-to-provider transformations auditable while keeping the claim within the observable client boundary.</w:t>
      </w:r>
    </w:p>
    <w:p>
      <w:pPr>
        <w:pStyle w:val="BodyText1"/>
      </w:pPr>
      <w:r>
        <w:t>The third contribution is an executable and reproducible research artifact. The implementation separates domain models, application use cases, ports, and framework, provider, storage, and compression adapters. Each run receives a unique directory and a manifest containing code, configuration, dataset, model, seed, dependency, usage, failure, and file-hash provenance. Schema 1.1 remains readable for the frozen Study A archive, while schema 1.2 writes the separated evidence namespaces.</w:t>
      </w:r>
    </w:p>
    <w:p>
      <w:pPr>
        <w:pStyle w:val="BodyText1"/>
      </w:pPr>
      <w:r>
        <w:t>The fourth contribution is a three-part empirical design. Study A supplies a controlled perturbation benchmark with 1,188 completed task runs and 1,596 invocation traces. Study B adds 60 held-out public tasks executed through LangChain and Custom ReAct, full-overlap double-blind segment annotation, and agreement analysis. Study C adds 108 counterfactual replays and 180 budget-matched mitigation replays. This design turns the limitation exposed by Study A into a directly testable validation protocol.</w:t>
      </w:r>
    </w:p>
    <w:p>
      <w:pPr>
        <w:pStyle w:val="BodyText1"/>
      </w:pPr>
      <w:r>
        <w:t>The fifth contribution is a utility-aware evaluation of mitigation. Every deletion or compression remains linked to a source segment, and the analysis reports token, cost, latency, and task success separately. Non-inferiority sensitivity analyses at -2, -5, and -10 percentage points make the practical tolerance visible instead of hiding it behind a single compression score.</w:t>
      </w:r>
    </w:p>
    <w:p>
      <w:pPr>
        <w:pStyle w:val="BodyText1"/>
      </w:pPr>
      <w:r>
        <w:t>The immediate remaining work is empirical rather than architectural. The protocol package must receive an externally timestamped OSF registration before paid test calls are enabled. Two annotators must then complete the hidden Study B context labels and the condition-blind Study C outcome labels. Only after adjudication, agreement analysis, and evidence freezing should the abstract, graphical abstract, and final RQ wording be updated with Study B and Study C numerical results.</w:t>
      </w:r>
    </w:p>
    <w:p>
      <w:pPr>
        <w:pStyle w:val="BodyText1"/>
      </w:pPr>
      <w:r>
        <w:t>Further research should evaluate additional providers, models, frameworks, languages, retrieval systems, memory policies, and live tools. Semantic duplicate detection, temporal validity, structured tool compression, and multi-segment counterfactuals are especially important extensions. The central engineering principle should remain unchanged: context should be transformed only through auditable decisions whose efficiency gains and utility costs are measured together.</w:t>
      </w:r>
    </w:p>
    <w:p>
      <w:pPr>
        <w:pStyle w:val="1"/>
        <w:numPr>
          <w:numId w:val="0"/>
        </w:numPr>
      </w:pPr>
      <w:r>
        <w:t>References</w:t>
      </w:r>
    </w:p>
    <w:p>
      <w:pPr>
        <w:pStyle w:val="References"/>
        <w:ind w:left="403" w:hanging="403"/>
      </w:pPr>
      <w:r>
        <w:t>[1] Yao, Shunyu, Zhao, Jeffrey, Yu, Dian, Du, Nan, Shafran, Izhak, Narasimhan, Karthik, Cao, Yuan, "ReAct: Synergizing Reasoning and Acting in Language Models." 2022. [Online]. Available: https://arxiv.org/abs/2210.03629.</w:t>
      </w:r>
    </w:p>
    <w:p>
      <w:pPr>
        <w:pStyle w:val="References"/>
        <w:ind w:left="403" w:hanging="403"/>
      </w:pPr>
      <w:r>
        <w:t>[2] Lewis, Patrick, Perez, Ethan, Piktus, Aleksandra, others, "Retrieval-Augmented Generation for Knowledge-Intensive NLP Tasks." 2020. [Online]. Available: https://arxiv.org/abs/2005.11401.</w:t>
      </w:r>
    </w:p>
    <w:p>
      <w:pPr>
        <w:pStyle w:val="References"/>
        <w:ind w:left="403" w:hanging="403"/>
      </w:pPr>
      <w:r>
        <w:t>[3] Park, Joon Sung, O'Brien, Joseph C., Cai, Carrie J., Morris, Meredith Ringel, Liang, Percy, Bernstein, Michael S., "Generative Agents: Interactive Simulacra of Human Behavior." 2023. [Online]. Available: https://arxiv.org/abs/2304.03442.</w:t>
      </w:r>
    </w:p>
    <w:p>
      <w:pPr>
        <w:pStyle w:val="References"/>
        <w:ind w:left="403" w:hanging="403"/>
      </w:pPr>
      <w:r>
        <w:t>[4] Shinn, Noah, Cassano, Federico, Berman, Edward, Gopinath, Ashwin, Narasimhan, Karthik, Yao, Shunyu, "Reflexion: Language Agents with Verbal Reinforcement Learning." 2023. [Online]. Available: https://arxiv.org/abs/2303.11366.</w:t>
      </w:r>
    </w:p>
    <w:p>
      <w:pPr>
        <w:pStyle w:val="References"/>
        <w:ind w:left="403" w:hanging="403"/>
      </w:pPr>
      <w:r>
        <w:t>[5] Liu, Nelson F., Lin, Kevin, Hewitt, John, Paranjape, Ashwin, Bevilacqua, Michele, Petroni, Fabio, Liang, Percy, "Lost in the Middle: How Language Models Use Long Contexts." Transactions of the Association for Computational Linguistics, 2024. [Online]. Available: https://arxiv.org/abs/2307.03172.</w:t>
      </w:r>
    </w:p>
    <w:p>
      <w:pPr>
        <w:pStyle w:val="References"/>
        <w:ind w:left="403" w:hanging="403"/>
      </w:pPr>
      <w:r>
        <w:t>[6] Hsieh, Cheng-Ping, Sun, Simeng, Kriman, Samuel, Acharya, Shantanu, Rekesh, Dima, Jia, Fei, Zhang, Yang, Ginsburg, Boris, "RULER: What's the Real Context Size of Your Long-Context Language Models?." 2024. [Online]. Available: https://arxiv.org/abs/2404.06654.</w:t>
      </w:r>
    </w:p>
    <w:p>
      <w:pPr>
        <w:pStyle w:val="References"/>
        <w:ind w:left="403" w:hanging="403"/>
      </w:pPr>
      <w:r>
        <w:t>[7] Dong, Liming, Lu, Qinghua, Zhu, Liming, "AgentOps: Enabling Observability of LLM Agents." 2024. [Online]. Available: https://arxiv.org/abs/2411.05285.</w:t>
      </w:r>
    </w:p>
    <w:p>
      <w:pPr>
        <w:pStyle w:val="References"/>
        <w:ind w:left="403" w:hanging="403"/>
      </w:pPr>
      <w:r>
        <w:t>[8] Schick, Timo, Dwivedi-Yu, Jane, Dessi, Roberto, others, "Toolformer: Language Models Can Teach Themselves to Use Tools." 2023. [Online]. Available: https://arxiv.org/abs/2302.04761.</w:t>
      </w:r>
    </w:p>
    <w:p>
      <w:pPr>
        <w:pStyle w:val="References"/>
        <w:ind w:left="403" w:hanging="403"/>
      </w:pPr>
      <w:r>
        <w:t>[9] Bai, Yushi, Lv, Xin, Zhang, Jiajie, others, "LongBench: A Bilingual, Multitask Benchmark for Long Context Understanding." 2023. [Online]. Available: https://arxiv.org/abs/2308.14508.</w:t>
      </w:r>
    </w:p>
    <w:p>
      <w:pPr>
        <w:pStyle w:val="References"/>
        <w:ind w:left="403" w:hanging="403"/>
      </w:pPr>
      <w:r>
        <w:t>[10] Es, Shahul, James, Jithin, Espinosa-Anke, Luis, Schockaert, Steven, "RAGAS: Automated Evaluation of Retrieval Augmented Generation." 2023. [Online]. Available: https://arxiv.org/abs/2309.15217.</w:t>
      </w:r>
    </w:p>
    <w:p>
      <w:pPr>
        <w:pStyle w:val="References"/>
        <w:ind w:left="403" w:hanging="403"/>
      </w:pPr>
      <w:r>
        <w:t>[11] Asai, Akari, Wu, Zeqiu, Wang, Yizhong, Sil, Avirup, Hajishirzi, Hannaneh, "Self-RAG: Learning to Retrieve, Generate, and Critique through Self-Reflection." 2023. [Online]. Available: https://arxiv.org/abs/2310.11511.</w:t>
      </w:r>
    </w:p>
    <w:p>
      <w:pPr>
        <w:pStyle w:val="References"/>
        <w:ind w:left="403" w:hanging="403"/>
      </w:pPr>
      <w:r>
        <w:t>[12] Xu, Fangyuan, Shi, Weijia, Choi, Eunsol, "RECOMP: Improving Retrieval-Augmented LMs with Compression and Selective Augmentation." 2023. [Online]. Available: https://arxiv.org/abs/2310.04408.</w:t>
      </w:r>
    </w:p>
    <w:p>
      <w:pPr>
        <w:pStyle w:val="References"/>
        <w:ind w:left="403" w:hanging="403"/>
      </w:pPr>
      <w:r>
        <w:t>[13] Li, Yucheng, Dong, Bo, Lin, Chenghua, Guerin, Frank, "Compressing Context to Enhance Inference Efficiency of Large Language Models." 2023. [Online]. Available: https://arxiv.org/abs/2310.06201.</w:t>
      </w:r>
    </w:p>
    <w:p>
      <w:pPr>
        <w:pStyle w:val="References"/>
        <w:ind w:left="403" w:hanging="403"/>
      </w:pPr>
      <w:r>
        <w:t>[14] Jiang, Huiqiang, Wu, Qianhui, Lin, Chin-Yew, Yang, Yuqing, Qiu, Lili, "LLMLingua: Compressing Prompts for Accelerated Inference of Large Language Models." 2023. [Online]. Available: https://arxiv.org/abs/2310.05736.</w:t>
      </w:r>
    </w:p>
    <w:p>
      <w:pPr>
        <w:pStyle w:val="References"/>
        <w:ind w:left="403" w:hanging="403"/>
      </w:pPr>
      <w:r>
        <w:t>[15] Jiang, Huiqiang, Wu, Qianhui, Luo, Xufang, others, "LongLLMLingua: Accelerating and Enhancing LLMs in Long Context Scenarios via Prompt Compression." 2023. [Online]. Available: https://arxiv.org/abs/2310.06839.</w:t>
      </w:r>
    </w:p>
    <w:p>
      <w:pPr>
        <w:pStyle w:val="References"/>
        <w:ind w:left="403" w:hanging="403"/>
      </w:pPr>
      <w:r>
        <w:t>[16] Jha, Siddharth, Erdogan, Lutfi Eren, Kim, Sehoon, Keutzer, Kurt, Gholami, Amir, "Characterizing Prompt Compression Methods for Long Context Inference." 2024. [Online]. Available: https://arxiv.org/abs/2407.08892.</w:t>
      </w:r>
    </w:p>
    <w:p>
      <w:pPr>
        <w:pStyle w:val="References"/>
        <w:ind w:left="403" w:hanging="403"/>
      </w:pPr>
      <w:r>
        <w:t>[17] Pan, Zhuoshi, Wu, Qianhui, Jiang, Huiqiang, Xia, Menglin, Luo, Xufang, Zhang, Jue, Lin, Qingwei, R\"uhle, Victor, Yang, Yuqing, Lin, Chin-Yew, Zhao, H. Vicky, Qiu, Lili, Zhang, Dongmei, "LLMLingua-2: Data Distillation for Efficient and Faithful Task-Agnostic Prompt Compression." 2024. [Online]. Available: https://aclanthology.org/2024.findings-acl.57/.</w:t>
      </w:r>
    </w:p>
    <w:p>
      <w:pPr>
        <w:pStyle w:val="References"/>
        <w:ind w:left="403" w:hanging="403"/>
      </w:pPr>
      <w:r>
        <w:t>[18] \Lajewska, Weronika, Hardalov, Momchil, Aina, Laura, John, Neha Anna, Su, Hang, M\`arquez, Llu\'is, "Understanding and Improving Information Preservation in Prompt Compression for LLMs." 2025. [Online]. Available: https://aclanthology.org/2025.findings-emnlp.949/.</w:t>
      </w:r>
    </w:p>
    <w:p>
      <w:pPr>
        <w:pStyle w:val="References"/>
        <w:ind w:left="403" w:hanging="403"/>
      </w:pPr>
      <w:r>
        <w:t>[19] Gao, Dawei, Li, Zitao, Pan, Xuchen, others, "AgentScope: A Flexible yet Robust Multi-Agent Platform." 2024. [Online]. Available: https://arxiv.org/abs/2402.14034.</w:t>
      </w:r>
    </w:p>
    <w:p>
      <w:pPr>
        <w:pStyle w:val="References"/>
        <w:ind w:left="403" w:hanging="403"/>
      </w:pPr>
      <w:r>
        <w:t>[20] FootprintJS, "AgentFootprint." GitHub repository, 2026. [Online]. Available: https://github.com/footprintjs/agentfootprint. Accessed 2026-07-26.</w:t>
      </w:r>
    </w:p>
    <w:p>
      <w:pPr>
        <w:pStyle w:val="References"/>
        <w:ind w:left="403" w:hanging="403"/>
      </w:pPr>
      <w:r>
        <w:t>[21] Comet, "Opik." GitHub repository, 2026. [Online]. Available: https://github.com/comet-ml/opik. Accessed 2026-07-26.</w:t>
      </w:r>
    </w:p>
    <w:p>
      <w:pPr>
        <w:pStyle w:val="References"/>
        <w:ind w:left="403" w:hanging="403"/>
      </w:pPr>
      <w:r>
        <w:t>[22] RagaAI, "RagaAI Catalyst." GitHub repository, 2026. [Online]. Available: https://github.com/raga-ai-hub/RagaAI-Catalyst. Accessed 2026-07-26.</w:t>
      </w:r>
    </w:p>
    <w:p>
      <w:pPr>
        <w:pStyle w:val="References"/>
        <w:ind w:left="403" w:hanging="403"/>
      </w:pPr>
      <w:r>
        <w:t>[23] OpenTelemetry, "Generative AI Semantic Conventions." Technical specification, 2026. [Online]. Available: https://opentelemetry.io/docs/specs/semconv/registry/attributes/gen-ai/. Accessed 2026-07-27.</w:t>
      </w:r>
    </w:p>
    <w:p>
      <w:pPr>
        <w:pStyle w:val="References"/>
        <w:ind w:left="403" w:hanging="403"/>
      </w:pPr>
      <w:r>
        <w:t>[24] Cordum, "Cordum." GitHub repository, 2026. [Online]. Available: https://github.com/cordum-io/cordum. Accessed 2026-07-26.</w:t>
      </w:r>
    </w:p>
    <w:p>
      <w:pPr>
        <w:pStyle w:val="References"/>
        <w:ind w:left="403" w:hanging="403"/>
      </w:pPr>
      <w:r>
        <w:t>[25] Ismail-2001, "MCP Token Auditor." GitHub repository, 2026. [Online]. Available: https://github.com/Ismail-2001/mcp-token-auditor. Accessed 2026-07-26.</w:t>
      </w:r>
    </w:p>
    <w:p>
      <w:pPr>
        <w:pStyle w:val="References"/>
        <w:ind w:left="403" w:hanging="403"/>
      </w:pPr>
      <w:r>
        <w:t>[26] Yang, Zhilin, Qi, Peng, Zhang, Saizheng, Bengio, Yoshua, Cohen, William, Salakhutdinov, Ruslan, Manning, Christopher D., "HotpotQA: A Dataset for Diverse, Explainable Multi-hop Question Answering." 2018. [Online]. Available: https://aclanthology.org/D18-1259/.</w:t>
      </w:r>
    </w:p>
    <w:p>
      <w:pPr>
        <w:pStyle w:val="References"/>
        <w:ind w:left="403" w:hanging="403"/>
      </w:pPr>
      <w:r>
        <w:t>[27] Wu, Di, Wang, Hongwei, Yu, Wenhao, Zhang, Yuwei, Chang, Kai-Wei, Yu, Dong, "LongMemEval: Benchmarking Chat Assistants on Long-Term Interactive Memory." 2025. [Online]. Available: https://proceedings.iclr.cc/paper_files/paper/2025/file/d813d324dbf0598bbdc9c8e79740ed01-Paper-Conference.pdf.</w:t>
      </w:r>
    </w:p>
    <w:p>
      <w:pPr>
        <w:pStyle w:val="References"/>
        <w:ind w:left="403" w:hanging="403"/>
      </w:pPr>
      <w:r>
        <w:t>[28] Patil, Shishir G., Mao, Huanzhi, Yan, Fanjia, Ji, Charlie Cheng-Jie, Suresh, Vishnu, Stoica, Ion, Gonzalez, Joseph E., "The Berkeley Function Calling Leaderboard (BFCL): From Tool Use to Agentic Evaluation of Large Language Models." 2025. [Online]. Available: https://proceedings.mlr.press/v267/patil25a.html.</w:t>
      </w:r>
    </w:p>
    <w:p>
      <w:pPr>
        <w:pStyle w:val="1"/>
        <w:numPr>
          <w:numId w:val="0"/>
        </w:numPr>
      </w:pPr>
      <w:r>
        <w:t>Appendices</w:t>
      </w:r>
    </w:p>
    <w:p>
      <w:pPr>
        <w:pStyle w:val="2"/>
        <w:pageBreakBefore/>
        <w:numPr>
          <w:numId w:val="0"/>
        </w:numPr>
      </w:pPr>
      <w:r>
        <w:t>Appendix A. Context Bloat Taxonomy and Trace Schema</w:t>
      </w:r>
    </w:p>
    <w:p>
      <w:pPr>
        <w:pStyle w:val="BodyText1"/>
      </w:pPr>
      <w:r>
        <w:t>The operational taxonomy distinguishes exact duplicate, near duplicate, low-query-relevance or stale content, verbose tool output, and cross-source accumulation. Labels are attached to source-provenance segments rather than to an invocation as an indivisible string.</w:t>
      </w:r>
    </w:p>
    <w:p>
      <w:pPr>
        <w:pStyle w:val="Tablecaptiontext"/>
        <w:keepNext/>
      </w:pPr>
      <w:r>
        <w:rPr>
          <w:b/>
        </w:rPr>
        <w:t>Table A.1. Operational context-bloat labels.</w:t>
      </w:r>
    </w:p>
    <w:tbl>
      <w:tblPr>
        <w:tblStyle w:val="afe"/>
        <w:tblW w:type="auto" w:w="0"/>
        <w:tblLayout w:type="fixed"/>
        <w:tblLook w:firstColumn="1" w:firstRow="1" w:lastColumn="0" w:lastRow="0" w:noHBand="0" w:noVBand="1" w:val="04A0"/>
      </w:tblPr>
      <w:tblGrid>
        <w:gridCol w:w="3213"/>
        <w:gridCol w:w="3213"/>
        <w:gridCol w:w="3213"/>
      </w:tblGrid>
      <w:tr>
        <w:trPr>
          <w:tblHeader w:val="true"/>
        </w:trPr>
        <w:tc>
          <w:tcPr>
            <w:tcW w:type="dxa" w:w="2133"/>
            <w:vAlign w:val="center"/>
            <w:tcMar>
              <w:top w:w="80" w:type="dxa"/>
              <w:start w:w="90" w:type="dxa"/>
              <w:bottom w:w="80" w:type="dxa"/>
              <w:end w:w="90" w:type="dxa"/>
            </w:tcMar>
            <w:shd w:fill="E8EEF3"/>
          </w:tcPr>
          <w:p>
            <w:pPr>
              <w:pStyle w:val="Tabletext"/>
              <w:jc w:val="left"/>
            </w:pPr>
            <w:r>
              <w:rPr>
                <w:b/>
              </w:rPr>
              <w:t>Label</w:t>
            </w:r>
          </w:p>
        </w:tc>
        <w:tc>
          <w:tcPr>
            <w:tcW w:type="dxa" w:w="2583"/>
            <w:vAlign w:val="center"/>
            <w:tcMar>
              <w:top w:w="80" w:type="dxa"/>
              <w:start w:w="90" w:type="dxa"/>
              <w:bottom w:w="80" w:type="dxa"/>
              <w:end w:w="90" w:type="dxa"/>
            </w:tcMar>
            <w:shd w:fill="E8EEF3"/>
          </w:tcPr>
          <w:p>
            <w:pPr>
              <w:pStyle w:val="Tabletext"/>
              <w:jc w:val="center"/>
            </w:pPr>
            <w:r>
              <w:rPr>
                <w:b/>
              </w:rPr>
              <w:t>Eligible sources</w:t>
            </w:r>
          </w:p>
        </w:tc>
        <w:tc>
          <w:tcPr>
            <w:tcW w:type="dxa" w:w="4716"/>
            <w:vAlign w:val="center"/>
            <w:tcMar>
              <w:top w:w="80" w:type="dxa"/>
              <w:start w:w="90" w:type="dxa"/>
              <w:bottom w:w="80" w:type="dxa"/>
              <w:end w:w="90" w:type="dxa"/>
            </w:tcMar>
            <w:shd w:fill="E8EEF3"/>
          </w:tcPr>
          <w:p>
            <w:pPr>
              <w:pStyle w:val="Tabletext"/>
              <w:jc w:val="center"/>
            </w:pPr>
            <w:r>
              <w:rPr>
                <w:b/>
              </w:rPr>
              <w:t>Operational evidence</w:t>
            </w:r>
          </w:p>
        </w:tc>
      </w:tr>
      <w:tr>
        <w:tc>
          <w:tcPr>
            <w:tcW w:type="dxa" w:w="2133"/>
            <w:vAlign w:val="center"/>
            <w:tcMar>
              <w:top w:w="80" w:type="dxa"/>
              <w:start w:w="90" w:type="dxa"/>
              <w:bottom w:w="80" w:type="dxa"/>
              <w:end w:w="90" w:type="dxa"/>
            </w:tcMar>
          </w:tcPr>
          <w:p>
            <w:pPr>
              <w:pStyle w:val="Tabletext"/>
              <w:jc w:val="left"/>
            </w:pPr>
            <w:r>
              <w:t>exact_duplicate</w:t>
            </w:r>
          </w:p>
        </w:tc>
        <w:tc>
          <w:tcPr>
            <w:tcW w:type="dxa" w:w="2583"/>
            <w:vAlign w:val="center"/>
            <w:tcMar>
              <w:top w:w="80" w:type="dxa"/>
              <w:start w:w="90" w:type="dxa"/>
              <w:bottom w:w="80" w:type="dxa"/>
              <w:end w:w="90" w:type="dxa"/>
            </w:tcMar>
          </w:tcPr>
          <w:p>
            <w:pPr>
              <w:pStyle w:val="Tabletext"/>
              <w:jc w:val="center"/>
            </w:pPr>
            <w:r>
              <w:t>retrieval, memory, tool</w:t>
            </w:r>
          </w:p>
        </w:tc>
        <w:tc>
          <w:tcPr>
            <w:tcW w:type="dxa" w:w="4716"/>
            <w:vAlign w:val="center"/>
            <w:tcMar>
              <w:top w:w="80" w:type="dxa"/>
              <w:start w:w="90" w:type="dxa"/>
              <w:bottom w:w="80" w:type="dxa"/>
              <w:end w:w="90" w:type="dxa"/>
            </w:tcMar>
          </w:tcPr>
          <w:p>
            <w:pPr>
              <w:pStyle w:val="Tabletext"/>
              <w:jc w:val="left"/>
            </w:pPr>
            <w:r>
              <w:t>Repeated normalized hash</w:t>
            </w:r>
          </w:p>
        </w:tc>
      </w:tr>
      <w:tr>
        <w:tc>
          <w:tcPr>
            <w:tcW w:type="dxa" w:w="2133"/>
            <w:vAlign w:val="center"/>
            <w:tcMar>
              <w:top w:w="80" w:type="dxa"/>
              <w:start w:w="90" w:type="dxa"/>
              <w:bottom w:w="80" w:type="dxa"/>
              <w:end w:w="90" w:type="dxa"/>
            </w:tcMar>
          </w:tcPr>
          <w:p>
            <w:pPr>
              <w:pStyle w:val="Tabletext"/>
              <w:jc w:val="left"/>
            </w:pPr>
            <w:r>
              <w:t>near_duplicate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Jaccard similarity at or above 0.8</w:t>
            </w:r>
          </w:p>
        </w:tc>
      </w:tr>
      <w:tr>
        <w:tc>
          <w:tcPr>
            <w:tcW w:type="dxa" w:w="2133"/>
            <w:vAlign w:val="center"/>
            <w:tcMar>
              <w:top w:w="80" w:type="dxa"/>
              <w:start w:w="90" w:type="dxa"/>
              <w:bottom w:w="80" w:type="dxa"/>
              <w:end w:w="90" w:type="dxa"/>
            </w:tcMar>
          </w:tcPr>
          <w:p>
            <w:pPr>
              <w:pStyle w:val="Tabletext"/>
              <w:jc w:val="left"/>
            </w:pPr>
            <w:r>
              <w:t>low_query_relevance</w:t>
            </w:r>
          </w:p>
        </w:tc>
        <w:tc>
          <w:tcPr>
            <w:tcW w:type="dxa" w:w="2583"/>
            <w:vAlign w:val="center"/>
            <w:tcMar>
              <w:top w:w="80" w:type="dxa"/>
              <w:start w:w="90" w:type="dxa"/>
              <w:bottom w:w="80" w:type="dxa"/>
              <w:end w:w="90" w:type="dxa"/>
            </w:tcMar>
          </w:tcPr>
          <w:p>
            <w:pPr>
              <w:pStyle w:val="Tabletext"/>
              <w:jc w:val="center"/>
            </w:pPr>
            <w:r>
              <w:t>retrieval, memory</w:t>
            </w:r>
          </w:p>
        </w:tc>
        <w:tc>
          <w:tcPr>
            <w:tcW w:type="dxa" w:w="4716"/>
            <w:vAlign w:val="center"/>
            <w:tcMar>
              <w:top w:w="80" w:type="dxa"/>
              <w:start w:w="90" w:type="dxa"/>
              <w:bottom w:w="80" w:type="dxa"/>
              <w:end w:w="90" w:type="dxa"/>
            </w:tcMar>
          </w:tcPr>
          <w:p>
            <w:pPr>
              <w:pStyle w:val="Tabletext"/>
              <w:jc w:val="left"/>
            </w:pPr>
            <w:r>
              <w:t>Explicit relevance score below 0.05</w:t>
            </w:r>
          </w:p>
        </w:tc>
      </w:tr>
      <w:tr>
        <w:tc>
          <w:tcPr>
            <w:tcW w:type="dxa" w:w="2133"/>
            <w:vAlign w:val="center"/>
            <w:tcMar>
              <w:top w:w="80" w:type="dxa"/>
              <w:start w:w="90" w:type="dxa"/>
              <w:bottom w:w="80" w:type="dxa"/>
              <w:end w:w="90" w:type="dxa"/>
            </w:tcMar>
          </w:tcPr>
          <w:p>
            <w:pPr>
              <w:pStyle w:val="Tabletext"/>
              <w:jc w:val="left"/>
            </w:pPr>
            <w:r>
              <w:t>verbose_tool_output</w:t>
            </w:r>
          </w:p>
        </w:tc>
        <w:tc>
          <w:tcPr>
            <w:tcW w:type="dxa" w:w="2583"/>
            <w:vAlign w:val="center"/>
            <w:tcMar>
              <w:top w:w="80" w:type="dxa"/>
              <w:start w:w="90" w:type="dxa"/>
              <w:bottom w:w="80" w:type="dxa"/>
              <w:end w:w="90" w:type="dxa"/>
            </w:tcMar>
          </w:tcPr>
          <w:p>
            <w:pPr>
              <w:pStyle w:val="Tabletext"/>
              <w:jc w:val="center"/>
            </w:pPr>
            <w:r>
              <w:t>tool</w:t>
            </w:r>
          </w:p>
        </w:tc>
        <w:tc>
          <w:tcPr>
            <w:tcW w:type="dxa" w:w="4716"/>
            <w:vAlign w:val="center"/>
            <w:tcMar>
              <w:top w:w="80" w:type="dxa"/>
              <w:start w:w="90" w:type="dxa"/>
              <w:bottom w:w="80" w:type="dxa"/>
              <w:end w:w="90" w:type="dxa"/>
            </w:tcMar>
          </w:tcPr>
          <w:p>
            <w:pPr>
              <w:pStyle w:val="Tabletext"/>
              <w:jc w:val="left"/>
            </w:pPr>
            <w:r>
              <w:t>Payload exceeds the compact task-specific representation</w:t>
            </w:r>
          </w:p>
        </w:tc>
      </w:tr>
    </w:tbl>
    <w:p>
      <w:pPr>
        <w:pStyle w:val="BodyText1"/>
      </w:pPr>
    </w:p>
    <w:p>
      <w:pPr>
        <w:pStyle w:val="BodyText1"/>
      </w:pPr>
      <w:r>
        <w:t>Each invocation trace records trace and task identifiers, framework, provider, model, configuration, workflow family, invocation index, timestamp, ordered messages and segments, character and token counts, raw and normalized hashes, source labels, injected labels, heuristic indicators, human annotations, counterfactual outcomes, aggregate metrics, usage, and risk flags.</w:t>
      </w:r>
    </w:p>
    <w:p>
      <w:pPr>
        <w:pStyle w:val="2"/>
        <w:pageBreakBefore/>
        <w:numPr>
          <w:numId w:val="0"/>
        </w:numPr>
      </w:pPr>
      <w:r>
        <w:t>Appendix B. Dataset, Conditions, and Configurations</w:t>
      </w:r>
    </w:p>
    <w:p>
      <w:pPr>
        <w:pStyle w:val="BodyText1"/>
      </w:pPr>
      <w:r>
        <w:t>Dataset context_bloat_benchmark/v1 contains six calibration tasks and 30 held-out primary tasks. The held-out split contains ten retrieval, ten memory, and ten tool tasks. Each task is evaluated under baseline, sufficient, exact_bloat, source_specific_bloat, combined_bloat, and mitigated conditions for both agent implementations and three repetitions.</w:t>
      </w:r>
    </w:p>
    <w:p>
      <w:pPr>
        <w:pStyle w:val="Tablecaptiontext"/>
        <w:keepNext/>
      </w:pPr>
      <w:r>
        <w:rPr>
          <w:b/>
        </w:rPr>
        <w:t>Table B.1. Frozen formal-study configuration.</w:t>
      </w:r>
    </w:p>
    <w:tbl>
      <w:tblPr>
        <w:tblStyle w:val="afe"/>
        <w:tblW w:type="auto" w:w="0"/>
        <w:tblLayout w:type="fixed"/>
        <w:tblLook w:firstColumn="1" w:firstRow="1" w:lastColumn="0" w:lastRow="0" w:noHBand="0" w:noVBand="1" w:val="04A0"/>
      </w:tblPr>
      <w:tblGrid>
        <w:gridCol w:w="4819"/>
        <w:gridCol w:w="4819"/>
      </w:tblGrid>
      <w:tr>
        <w:trPr>
          <w:tblHeader w:val="true"/>
        </w:trPr>
        <w:tc>
          <w:tcPr>
            <w:tcW w:type="dxa" w:w="3242"/>
            <w:vAlign w:val="center"/>
            <w:tcMar>
              <w:top w:w="80" w:type="dxa"/>
              <w:start w:w="90" w:type="dxa"/>
              <w:bottom w:w="80" w:type="dxa"/>
              <w:end w:w="90" w:type="dxa"/>
            </w:tcMar>
            <w:shd w:fill="E8EEF3"/>
          </w:tcPr>
          <w:p>
            <w:pPr>
              <w:pStyle w:val="Tabletext"/>
              <w:jc w:val="left"/>
            </w:pPr>
            <w:r>
              <w:rPr>
                <w:b/>
              </w:rPr>
              <w:t>Artifact</w:t>
            </w:r>
          </w:p>
        </w:tc>
        <w:tc>
          <w:tcPr>
            <w:tcW w:type="dxa" w:w="6190"/>
            <w:vAlign w:val="center"/>
            <w:tcMar>
              <w:top w:w="80" w:type="dxa"/>
              <w:start w:w="90" w:type="dxa"/>
              <w:bottom w:w="80" w:type="dxa"/>
              <w:end w:w="90" w:type="dxa"/>
            </w:tcMar>
            <w:shd w:fill="E8EEF3"/>
          </w:tcPr>
          <w:p>
            <w:pPr>
              <w:pStyle w:val="Tabletext"/>
              <w:jc w:val="center"/>
            </w:pPr>
            <w:r>
              <w:rPr>
                <w:b/>
              </w:rPr>
              <w:t>Frozen value</w:t>
            </w:r>
          </w:p>
        </w:tc>
      </w:tr>
      <w:tr>
        <w:tc>
          <w:tcPr>
            <w:tcW w:type="dxa" w:w="3242"/>
            <w:vAlign w:val="center"/>
            <w:tcMar>
              <w:top w:w="80" w:type="dxa"/>
              <w:start w:w="90" w:type="dxa"/>
              <w:bottom w:w="80" w:type="dxa"/>
              <w:end w:w="90" w:type="dxa"/>
            </w:tcMar>
          </w:tcPr>
          <w:p>
            <w:pPr>
              <w:pStyle w:val="Tabletext"/>
              <w:jc w:val="left"/>
            </w:pPr>
            <w:r>
              <w:t>Model</w:t>
            </w:r>
          </w:p>
        </w:tc>
        <w:tc>
          <w:tcPr>
            <w:tcW w:type="dxa" w:w="6190"/>
            <w:vAlign w:val="center"/>
            <w:tcMar>
              <w:top w:w="80" w:type="dxa"/>
              <w:start w:w="90" w:type="dxa"/>
              <w:bottom w:w="80" w:type="dxa"/>
              <w:end w:w="90" w:type="dxa"/>
            </w:tcMar>
          </w:tcPr>
          <w:p>
            <w:pPr>
              <w:pStyle w:val="Tabletext"/>
              <w:jc w:val="center"/>
            </w:pPr>
            <w:r>
              <w:t>deepseek-v4-flash</w:t>
            </w:r>
          </w:p>
        </w:tc>
      </w:tr>
      <w:tr>
        <w:tc>
          <w:tcPr>
            <w:tcW w:type="dxa" w:w="3242"/>
            <w:vAlign w:val="center"/>
            <w:tcMar>
              <w:top w:w="80" w:type="dxa"/>
              <w:start w:w="90" w:type="dxa"/>
              <w:bottom w:w="80" w:type="dxa"/>
              <w:end w:w="90" w:type="dxa"/>
            </w:tcMar>
          </w:tcPr>
          <w:p>
            <w:pPr>
              <w:pStyle w:val="Tabletext"/>
              <w:jc w:val="left"/>
            </w:pPr>
            <w:r>
              <w:t>Frameworks</w:t>
            </w:r>
          </w:p>
        </w:tc>
        <w:tc>
          <w:tcPr>
            <w:tcW w:type="dxa" w:w="6190"/>
            <w:vAlign w:val="center"/>
            <w:tcMar>
              <w:top w:w="80" w:type="dxa"/>
              <w:start w:w="90" w:type="dxa"/>
              <w:bottom w:w="80" w:type="dxa"/>
              <w:end w:w="90" w:type="dxa"/>
            </w:tcMar>
          </w:tcPr>
          <w:p>
            <w:pPr>
              <w:pStyle w:val="Tabletext"/>
              <w:jc w:val="center"/>
            </w:pPr>
            <w:r>
              <w:t>LangChain; Custom ReAct</w:t>
            </w:r>
          </w:p>
        </w:tc>
      </w:tr>
      <w:tr>
        <w:tc>
          <w:tcPr>
            <w:tcW w:type="dxa" w:w="3242"/>
            <w:vAlign w:val="center"/>
            <w:tcMar>
              <w:top w:w="80" w:type="dxa"/>
              <w:start w:w="90" w:type="dxa"/>
              <w:bottom w:w="80" w:type="dxa"/>
              <w:end w:w="90" w:type="dxa"/>
            </w:tcMar>
          </w:tcPr>
          <w:p>
            <w:pPr>
              <w:pStyle w:val="Tabletext"/>
              <w:jc w:val="left"/>
            </w:pPr>
            <w:r>
              <w:t>Trace/project schema</w:t>
            </w:r>
          </w:p>
        </w:tc>
        <w:tc>
          <w:tcPr>
            <w:tcW w:type="dxa" w:w="6190"/>
            <w:vAlign w:val="center"/>
            <w:tcMar>
              <w:top w:w="80" w:type="dxa"/>
              <w:start w:w="90" w:type="dxa"/>
              <w:bottom w:w="80" w:type="dxa"/>
              <w:end w:w="90" w:type="dxa"/>
            </w:tcMar>
          </w:tcPr>
          <w:p>
            <w:pPr>
              <w:pStyle w:val="Tabletext"/>
              <w:jc w:val="center"/>
            </w:pPr>
            <w:r>
              <w:t>1.1.0</w:t>
            </w:r>
          </w:p>
        </w:tc>
      </w:tr>
      <w:tr>
        <w:tc>
          <w:tcPr>
            <w:tcW w:type="dxa" w:w="3242"/>
            <w:vAlign w:val="center"/>
            <w:tcMar>
              <w:top w:w="80" w:type="dxa"/>
              <w:start w:w="90" w:type="dxa"/>
              <w:bottom w:w="80" w:type="dxa"/>
              <w:end w:w="90" w:type="dxa"/>
            </w:tcMar>
          </w:tcPr>
          <w:p>
            <w:pPr>
              <w:pStyle w:val="Tabletext"/>
              <w:jc w:val="left"/>
            </w:pPr>
            <w:r>
              <w:t>Generation temperature</w:t>
            </w:r>
          </w:p>
        </w:tc>
        <w:tc>
          <w:tcPr>
            <w:tcW w:type="dxa" w:w="6190"/>
            <w:vAlign w:val="center"/>
            <w:tcMar>
              <w:top w:w="80" w:type="dxa"/>
              <w:start w:w="90" w:type="dxa"/>
              <w:bottom w:w="80" w:type="dxa"/>
              <w:end w:w="90" w:type="dxa"/>
            </w:tcMar>
          </w:tcPr>
          <w:p>
            <w:pPr>
              <w:pStyle w:val="Tabletext"/>
              <w:jc w:val="center"/>
            </w:pPr>
            <w:r>
              <w:t>0.0</w:t>
            </w:r>
          </w:p>
        </w:tc>
      </w:tr>
      <w:tr>
        <w:tc>
          <w:tcPr>
            <w:tcW w:type="dxa" w:w="3242"/>
            <w:vAlign w:val="center"/>
            <w:tcMar>
              <w:top w:w="80" w:type="dxa"/>
              <w:start w:w="90" w:type="dxa"/>
              <w:bottom w:w="80" w:type="dxa"/>
              <w:end w:w="90" w:type="dxa"/>
            </w:tcMar>
          </w:tcPr>
          <w:p>
            <w:pPr>
              <w:pStyle w:val="Tabletext"/>
              <w:jc w:val="left"/>
            </w:pPr>
            <w:r>
              <w:t>Generation seed</w:t>
            </w:r>
          </w:p>
        </w:tc>
        <w:tc>
          <w:tcPr>
            <w:tcW w:type="dxa" w:w="6190"/>
            <w:vAlign w:val="center"/>
            <w:tcMar>
              <w:top w:w="80" w:type="dxa"/>
              <w:start w:w="90" w:type="dxa"/>
              <w:bottom w:w="80" w:type="dxa"/>
              <w:end w:w="90" w:type="dxa"/>
            </w:tcMar>
          </w:tcPr>
          <w:p>
            <w:pPr>
              <w:pStyle w:val="Tabletext"/>
              <w:jc w:val="center"/>
            </w:pPr>
            <w:r>
              <w:t>20260726</w:t>
            </w:r>
          </w:p>
        </w:tc>
      </w:tr>
      <w:tr>
        <w:tc>
          <w:tcPr>
            <w:tcW w:type="dxa" w:w="3242"/>
            <w:vAlign w:val="center"/>
            <w:tcMar>
              <w:top w:w="80" w:type="dxa"/>
              <w:start w:w="90" w:type="dxa"/>
              <w:bottom w:w="80" w:type="dxa"/>
              <w:end w:w="90" w:type="dxa"/>
            </w:tcMar>
          </w:tcPr>
          <w:p>
            <w:pPr>
              <w:pStyle w:val="Tabletext"/>
              <w:jc w:val="left"/>
            </w:pPr>
            <w:r>
              <w:t>Formal bundle</w:t>
            </w:r>
          </w:p>
        </w:tc>
        <w:tc>
          <w:tcPr>
            <w:tcW w:type="dxa" w:w="6190"/>
            <w:vAlign w:val="center"/>
            <w:tcMar>
              <w:top w:w="80" w:type="dxa"/>
              <w:start w:w="90" w:type="dxa"/>
              <w:bottom w:w="80" w:type="dxa"/>
              <w:end w:w="90" w:type="dxa"/>
            </w:tcMar>
          </w:tcPr>
          <w:p>
            <w:pPr>
              <w:pStyle w:val="Tabletext"/>
              <w:jc w:val="left"/>
            </w:pPr>
            <w:r>
              <w:t>runs/studies/formal-deepseek-v1-final.zip</w:t>
            </w:r>
          </w:p>
        </w:tc>
      </w:tr>
      <w:tr>
        <w:tc>
          <w:tcPr>
            <w:tcW w:type="dxa" w:w="3242"/>
            <w:vAlign w:val="center"/>
            <w:tcMar>
              <w:top w:w="80" w:type="dxa"/>
              <w:start w:w="90" w:type="dxa"/>
              <w:bottom w:w="80" w:type="dxa"/>
              <w:end w:w="90" w:type="dxa"/>
            </w:tcMar>
          </w:tcPr>
          <w:p>
            <w:pPr>
              <w:pStyle w:val="Tabletext"/>
              <w:jc w:val="left"/>
            </w:pPr>
            <w:r>
              <w:t>Bundle SHA-256</w:t>
            </w:r>
          </w:p>
        </w:tc>
        <w:tc>
          <w:tcPr>
            <w:tcW w:type="dxa" w:w="6190"/>
            <w:vAlign w:val="center"/>
            <w:tcMar>
              <w:top w:w="80" w:type="dxa"/>
              <w:start w:w="90" w:type="dxa"/>
              <w:bottom w:w="80" w:type="dxa"/>
              <w:end w:w="90" w:type="dxa"/>
            </w:tcMar>
          </w:tcPr>
          <w:p>
            <w:pPr>
              <w:pStyle w:val="Tabletext"/>
              <w:jc w:val="left"/>
            </w:pPr>
            <w:r>
              <w:t>C6EECA7B3D588E26CC7174E0DF384754AB0BDB34E6D8B9F00788B67E46946250</w:t>
            </w:r>
          </w:p>
        </w:tc>
      </w:tr>
    </w:tbl>
    <w:p>
      <w:pPr>
        <w:pStyle w:val="BodyText1"/>
      </w:pPr>
    </w:p>
    <w:p>
      <w:pPr>
        <w:pStyle w:val="2"/>
        <w:pageBreakBefore/>
        <w:numPr>
          <w:numId w:val="0"/>
        </w:numPr>
      </w:pPr>
      <w:r>
        <w:t>Appendix C. Additional Statistical Results</w:t>
      </w:r>
    </w:p>
    <w:p>
      <w:pPr>
        <w:pStyle w:val="BodyText1"/>
      </w:pPr>
      <w:r>
        <w:t>The frozen bundle contains 1,596 invocation traces: 1,380 primary traces and 216 cross-source stress traces. It contains 1,188 completed final task results, of which 1,080 belong to the primary matrix. The controlled detector produced 1,122 true-positive labels and no false positive or false negative labels. These values establish internal consistency for the controlled taxonomy but are not interpreted as field accuracy.</w:t>
      </w:r>
    </w:p>
    <w:p>
      <w:pPr>
        <w:pStyle w:val="BodyText1"/>
      </w:pPr>
      <w:r>
        <w:t>Task-cluster bootstrap intervals use 10,000 resamples and seed 20260726. Mitigation reduces tokens by 48.85% on average, with a 95% interval of [42.67%, 55.31%]. The paired task-success difference is -6.11 percentage points, with a 95% interval of [-12.22, -0.56]. The interval crosses the -5 percentage-point non-inferiority margin.</w:t>
      </w:r>
    </w:p>
    <w:p>
      <w:pPr>
        <w:pStyle w:val="2"/>
        <w:pageBreakBefore/>
        <w:numPr>
          <w:numId w:val="0"/>
        </w:numPr>
      </w:pPr>
      <w:r>
        <w:t>Appendix D. Reproduction Instructions</w:t>
      </w:r>
    </w:p>
    <w:p>
      <w:pPr>
        <w:pStyle w:val="BodyText1"/>
      </w:pPr>
      <w:r>
        <w:t>The repository uses Python 3.11 or 3.12 and installs the package from pyproject.toml. The following commands reproduce the validation and export path from the repository root.</w:t>
      </w:r>
    </w:p>
    <w:p>
      <w:pPr>
        <w:pStyle w:val="afc"/>
        <w:numPr>
          <w:ilvl w:val="0"/>
          <w:numId w:val="1"/>
        </w:numPr>
      </w:pPr>
      <w:r>
        <w:t>Install the project and development dependencies in an isolated environment.</w:t>
      </w:r>
    </w:p>
    <w:p>
      <w:pPr>
        <w:pStyle w:val="afc"/>
        <w:numPr>
          <w:ilvl w:val="0"/>
          <w:numId w:val="1"/>
        </w:numPr>
      </w:pPr>
      <w:r>
        <w:t xml:space="preserve">Run </w:t>
      </w:r>
      <w:r>
        <w:rPr>
          <w:rFonts w:ascii="Consolas" w:hAnsi="Consolas"/>
          <w:sz w:val="20"/>
        </w:rPr>
        <w:t>python -m pytest -q</w:t>
      </w:r>
      <w:r>
        <w:t xml:space="preserve"> and require the complete suite to pass.</w:t>
      </w:r>
    </w:p>
    <w:p>
      <w:pPr>
        <w:pStyle w:val="afc"/>
        <w:numPr>
          <w:ilvl w:val="0"/>
          <w:numId w:val="1"/>
        </w:numPr>
      </w:pPr>
      <w:r>
        <w:t xml:space="preserve">Run </w:t>
      </w:r>
      <w:r>
        <w:rPr>
          <w:rFonts w:ascii="Consolas" w:hAnsi="Consolas"/>
          <w:sz w:val="20"/>
        </w:rPr>
        <w:t>python -m context_auditor.cli validate-study --bundle runs/studies/formal-deepseek-v1-final.zip</w:t>
      </w:r>
      <w:r>
        <w:t>.</w:t>
      </w:r>
    </w:p>
    <w:p>
      <w:pPr>
        <w:pStyle w:val="afc"/>
        <w:numPr>
          <w:ilvl w:val="0"/>
          <w:numId w:val="1"/>
        </w:numPr>
      </w:pPr>
      <w:r>
        <w:t>Verify the bundle SHA-256 and the dataset, configuration, and code hashes recorded in its study manifest.</w:t>
      </w:r>
    </w:p>
    <w:p>
      <w:pPr>
        <w:pStyle w:val="afc"/>
        <w:numPr>
          <w:ilvl w:val="0"/>
          <w:numId w:val="1"/>
        </w:numPr>
      </w:pPr>
      <w:r>
        <w:t>Use the exported CSV/JSON evidence files for tables and conclusions; do not recalculate formal claims from mutable ad hoc files.</w:t>
      </w:r>
    </w:p>
    <w:p>
      <w:pPr>
        <w:pStyle w:val="2"/>
        <w:pageBreakBefore/>
        <w:numPr>
          <w:numId w:val="0"/>
        </w:numPr>
      </w:pPr>
      <w:r>
        <w:t>Appendix E. Human Evaluation Protocol</w:t>
      </w:r>
    </w:p>
    <w:p>
      <w:pPr>
        <w:pStyle w:val="BodyText1"/>
      </w:pPr>
      <w:r>
        <w:t>The planned blind review samples 72 outputs using stratification by workflow, framework, and condition. Reviewer A assesses all 72 outputs. Reviewer B independently assesses a 36-output subset. Review files conceal framework and condition identifiers and record task success, retained evidence sufficiency, and comments. Inter-rater agreement and adjudication must be reported before the thesis is submitted. At draft v0.1, this review is pending and no human-evaluation result is claimed.</w:t>
      </w:r>
    </w:p>
    <w:sectPr w:rsidR="00E36B41">
      <w:headerReference w:type="even" r:id="rId24"/>
      <w:headerReference w:type="default" r:id="rId25"/>
      <w:headerReference w:type="first" r:id="rId26"/>
      <w:pgSz w:w="11906" w:h="16838"/>
      <w:pgMar w:top="1418" w:right="1134" w:bottom="1418" w:left="1134" w:header="709"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18ECF" w14:textId="77777777" w:rsidR="00183673" w:rsidRDefault="00183673">
      <w:pPr>
        <w:spacing w:line="240" w:lineRule="auto"/>
      </w:pPr>
      <w:r>
        <w:separator/>
      </w:r>
    </w:p>
  </w:endnote>
  <w:endnote w:type="continuationSeparator" w:id="0">
    <w:p w14:paraId="1776489C" w14:textId="77777777" w:rsidR="00183673" w:rsidRDefault="001836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Headings CS)">
    <w:panose1 w:val="00000000000000000000"/>
    <w:charset w:val="00"/>
    <w:family w:val="roman"/>
    <w:notTrueType/>
    <w:pitch w:val="default"/>
  </w:font>
  <w:font w:name="Segoe UI">
    <w:panose1 w:val="020B0502040204020203"/>
    <w:charset w:val="00"/>
    <w:family w:val="swiss"/>
    <w:pitch w:val="variable"/>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0000000000000000000"/>
    <w:charset w:val="00"/>
    <w:family w:val="roman"/>
    <w:notTrueType/>
    <w:pitch w:val="default"/>
  </w:font>
  <w:font w:name="Calibri (Body)">
    <w:panose1 w:val="00000000000000000000"/>
    <w:charset w:val="00"/>
    <w:family w:val="roman"/>
    <w:notTrueType/>
    <w:pitch w:val="default"/>
  </w:font>
  <w:font w:name="Trebuchet MS">
    <w:panose1 w:val="020B0603020202020204"/>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1E513" w14:textId="77777777" w:rsidR="00183673" w:rsidRDefault="00183673">
      <w:r>
        <w:separator/>
      </w:r>
    </w:p>
  </w:footnote>
  <w:footnote w:type="continuationSeparator" w:id="0">
    <w:p w14:paraId="3F9CDE9C" w14:textId="77777777" w:rsidR="00183673" w:rsidRDefault="00183673">
      <w:r>
        <w:continuationSeparator/>
      </w:r>
    </w:p>
  </w:footnote>
  <w:footnote w:id="1">
    <w:p w14:paraId="0FBFFD2B" w14:textId="77777777" w:rsidR="00E36B41" w:rsidRDefault="00000000">
      <w:pPr>
        <w:pStyle w:val="Thesisfootnote"/>
      </w:pPr>
      <w:r>
        <w:rPr>
          <w:rStyle w:val="FootnoteCharacters"/>
        </w:rPr>
        <w:footnoteRef/>
      </w:r>
      <w:r>
        <w:t xml:space="preserve"> The number of the footnote appears by default after the punctuation mark in the sentence, but if the footnote is related to the preceding word, the footnote can be added after the word.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C68B3" w14:textId="77777777" w:rsidR="00E36B41" w:rsidRDefault="00E3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7CA6" w14:textId="77777777" w:rsidR="00E36B41" w:rsidRDefault="00000000">
    <w:r>
      <w:rPr>
        <w:noProof/>
      </w:rPr>
      <w:drawing>
        <wp:anchor distT="0" distB="0" distL="0" distR="0" simplePos="0" relativeHeight="10" behindDoc="1" locked="0" layoutInCell="0" allowOverlap="1" wp14:anchorId="61B2FD74" wp14:editId="2AB22847">
          <wp:simplePos x="0" y="0"/>
          <wp:positionH relativeFrom="page">
            <wp:posOffset>252095</wp:posOffset>
          </wp:positionH>
          <wp:positionV relativeFrom="page">
            <wp:posOffset>252095</wp:posOffset>
          </wp:positionV>
          <wp:extent cx="1522730" cy="1198880"/>
          <wp:effectExtent l="0" t="0" r="0" b="0"/>
          <wp:wrapNone/>
          <wp:docPr id="1" name="Kuva 11 Copy 1" descr="Logo&#10;&#10;University of Helsink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1 Copy 1" descr="Logo&#10;&#10;University of Helsinki logo"/>
                  <pic:cNvPicPr>
                    <a:picLocks noChangeAspect="1" noChangeArrowheads="1"/>
                  </pic:cNvPicPr>
                </pic:nvPicPr>
                <pic:blipFill>
                  <a:blip r:embed="rId1"/>
                  <a:stretch>
                    <a:fillRect/>
                  </a:stretch>
                </pic:blipFill>
                <pic:spPr bwMode="auto">
                  <a:xfrm>
                    <a:off x="0" y="0"/>
                    <a:ext cx="1522730" cy="119888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12308"/>
      <w:docPartObj>
        <w:docPartGallery w:val="Page Numbers (Top of Page)"/>
        <w:docPartUnique/>
      </w:docPartObj>
    </w:sdtPr>
    <w:sdtContent>
      <w:p w14:paraId="0556504A"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52E54C" w14:textId="77777777" w:rsidR="00E36B41" w:rsidRDefault="00E36B41">
    <w:pPr>
      <w:pStyle w:val="a4"/>
      <w:spacing w:line="360"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269498"/>
      <w:docPartObj>
        <w:docPartGallery w:val="Page Numbers (Top of Page)"/>
        <w:docPartUnique/>
      </w:docPartObj>
    </w:sdtPr>
    <w:sdtContent>
      <w:p w14:paraId="4FE44F25"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04BD1D01" w14:textId="77777777" w:rsidR="00E36B41" w:rsidRDefault="00E36B41">
    <w:pPr>
      <w:pStyle w:val="a4"/>
      <w:spacing w:line="36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168333"/>
      <w:docPartObj>
        <w:docPartGallery w:val="Page Numbers (Top of Page)"/>
        <w:docPartUnique/>
      </w:docPartObj>
    </w:sdtPr>
    <w:sdtContent>
      <w:p w14:paraId="5245D484" w14:textId="77777777" w:rsidR="00E36B41" w:rsidRDefault="00000000">
        <w:pPr>
          <w:pStyle w:val="a4"/>
          <w:jc w:val="right"/>
        </w:pPr>
        <w:r>
          <w:fldChar w:fldCharType="begin"/>
        </w:r>
        <w:r>
          <w:instrText xml:space="preserve"> PAGE </w:instrText>
        </w:r>
        <w:r>
          <w:fldChar w:fldCharType="separate"/>
        </w:r>
        <w:r>
          <w:t>1</w:t>
        </w:r>
        <w:r>
          <w:fldChar w:fldCharType="end"/>
        </w:r>
      </w:p>
    </w:sdtContent>
  </w:sdt>
  <w:p w14:paraId="5BF6B1C7" w14:textId="77777777" w:rsidR="00E36B41" w:rsidRDefault="00E36B41">
    <w:pPr>
      <w:pStyle w:val="a4"/>
      <w:spacing w:line="36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341445"/>
      <w:docPartObj>
        <w:docPartGallery w:val="Page Numbers (Top of Page)"/>
        <w:docPartUnique/>
      </w:docPartObj>
    </w:sdtPr>
    <w:sdtContent>
      <w:p w14:paraId="385AC6C4"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0D883103" w14:textId="77777777" w:rsidR="00E36B41" w:rsidRDefault="00E36B41">
    <w:pPr>
      <w:pStyle w:val="a4"/>
      <w:spacing w:line="360"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960380"/>
      <w:docPartObj>
        <w:docPartGallery w:val="Page Numbers (Top of Page)"/>
        <w:docPartUnique/>
      </w:docPartObj>
    </w:sdtPr>
    <w:sdtContent>
      <w:p w14:paraId="1D5856F9" w14:textId="77777777" w:rsidR="00E36B41" w:rsidRDefault="00000000">
        <w:pPr>
          <w:pStyle w:val="a4"/>
          <w:jc w:val="right"/>
        </w:pPr>
        <w:r>
          <w:fldChar w:fldCharType="begin"/>
        </w:r>
        <w:r>
          <w:instrText xml:space="preserve"> PAGE </w:instrText>
        </w:r>
        <w:r>
          <w:fldChar w:fldCharType="separate"/>
        </w:r>
        <w:r>
          <w:t>15</w:t>
        </w:r>
        <w:r>
          <w:fldChar w:fldCharType="end"/>
        </w:r>
      </w:p>
    </w:sdtContent>
  </w:sdt>
  <w:p w14:paraId="610D41C8" w14:textId="77777777" w:rsidR="00E36B41" w:rsidRDefault="00E36B41">
    <w:pPr>
      <w:pStyle w:val="a4"/>
      <w:spacing w:line="36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EF0BE" w14:textId="77777777" w:rsidR="00E36B41" w:rsidRDefault="00E36B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4EA6"/>
    <w:multiLevelType w:val="multilevel"/>
    <w:tmpl w:val="EC46E986"/>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1" w15:restartNumberingAfterBreak="0">
    <w:nsid w:val="077B3330"/>
    <w:multiLevelType w:val="multilevel"/>
    <w:tmpl w:val="FF6ED2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F0905BC"/>
    <w:multiLevelType w:val="multilevel"/>
    <w:tmpl w:val="5FDCD3B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B857B2A"/>
    <w:multiLevelType w:val="multilevel"/>
    <w:tmpl w:val="9D2E701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abstractNum w:abstractNumId="4" w15:restartNumberingAfterBreak="0">
    <w:nsid w:val="1CDB429E"/>
    <w:multiLevelType w:val="multilevel"/>
    <w:tmpl w:val="F5A8C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71E526F"/>
    <w:multiLevelType w:val="multilevel"/>
    <w:tmpl w:val="717E6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ADF451B"/>
    <w:multiLevelType w:val="multilevel"/>
    <w:tmpl w:val="9FECAED4"/>
    <w:lvl w:ilvl="0">
      <w:start w:val="1"/>
      <w:numFmt w:val="decimal"/>
      <w:pStyle w:val="1"/>
      <w:lvlText w:val="%1"/>
      <w:lvlJc w:val="left"/>
      <w:pPr>
        <w:tabs>
          <w:tab w:val="num" w:pos="0"/>
        </w:tabs>
        <w:ind w:left="432" w:hanging="432"/>
      </w:pPr>
    </w:lvl>
    <w:lvl w:ilvl="1">
      <w:start w:val="1"/>
      <w:numFmt w:val="decimal"/>
      <w:pStyle w:val="2"/>
      <w:lvlText w:val="%1.%2"/>
      <w:lvlJc w:val="left"/>
      <w:pPr>
        <w:tabs>
          <w:tab w:val="num" w:pos="0"/>
        </w:tabs>
        <w:ind w:left="576" w:hanging="576"/>
      </w:pPr>
    </w:lvl>
    <w:lvl w:ilvl="2">
      <w:start w:val="1"/>
      <w:numFmt w:val="decimal"/>
      <w:pStyle w:val="3"/>
      <w:lvlText w:val="%1.%2.%3"/>
      <w:lvlJc w:val="left"/>
      <w:pPr>
        <w:tabs>
          <w:tab w:val="num" w:pos="0"/>
        </w:tabs>
        <w:ind w:left="7808" w:hanging="720"/>
      </w:pPr>
    </w:lvl>
    <w:lvl w:ilvl="3">
      <w:start w:val="1"/>
      <w:numFmt w:val="decimal"/>
      <w:pStyle w:val="4"/>
      <w:lvlText w:val="%1.%2.%3.%4"/>
      <w:lvlJc w:val="left"/>
      <w:pPr>
        <w:tabs>
          <w:tab w:val="num" w:pos="0"/>
        </w:tabs>
        <w:ind w:left="864" w:hanging="864"/>
      </w:pPr>
    </w:lvl>
    <w:lvl w:ilvl="4">
      <w:start w:val="1"/>
      <w:numFmt w:val="decimal"/>
      <w:pStyle w:val="5"/>
      <w:lvlText w:val="%1.%2.%3.%4.%5"/>
      <w:lvlJc w:val="left"/>
      <w:pPr>
        <w:tabs>
          <w:tab w:val="num" w:pos="0"/>
        </w:tabs>
        <w:ind w:left="1008" w:hanging="1008"/>
      </w:pPr>
    </w:lvl>
    <w:lvl w:ilvl="5">
      <w:start w:val="1"/>
      <w:numFmt w:val="decimal"/>
      <w:pStyle w:val="6"/>
      <w:lvlText w:val="%1.%2.%3.%4.%5.%6"/>
      <w:lvlJc w:val="left"/>
      <w:pPr>
        <w:tabs>
          <w:tab w:val="num" w:pos="0"/>
        </w:tabs>
        <w:ind w:left="1152" w:hanging="1152"/>
      </w:pPr>
    </w:lvl>
    <w:lvl w:ilvl="6">
      <w:start w:val="1"/>
      <w:numFmt w:val="decimal"/>
      <w:pStyle w:val="7"/>
      <w:lvlText w:val="%1.%2.%3.%4.%5.%6.%7"/>
      <w:lvlJc w:val="left"/>
      <w:pPr>
        <w:tabs>
          <w:tab w:val="num" w:pos="0"/>
        </w:tabs>
        <w:ind w:left="1296" w:hanging="1296"/>
      </w:pPr>
    </w:lvl>
    <w:lvl w:ilvl="7">
      <w:start w:val="1"/>
      <w:numFmt w:val="decimal"/>
      <w:pStyle w:val="8"/>
      <w:lvlText w:val="%1.%2.%3.%4.%5.%6.%7.%8"/>
      <w:lvlJc w:val="left"/>
      <w:pPr>
        <w:tabs>
          <w:tab w:val="num" w:pos="0"/>
        </w:tabs>
        <w:ind w:left="1440" w:hanging="1440"/>
      </w:pPr>
    </w:lvl>
    <w:lvl w:ilvl="8">
      <w:start w:val="1"/>
      <w:numFmt w:val="decimal"/>
      <w:pStyle w:val="9"/>
      <w:lvlText w:val="%1.%2.%3.%4.%5.%6.%7.%8.%9"/>
      <w:lvlJc w:val="left"/>
      <w:pPr>
        <w:tabs>
          <w:tab w:val="num" w:pos="0"/>
        </w:tabs>
        <w:ind w:left="1584" w:hanging="1584"/>
      </w:pPr>
    </w:lvl>
  </w:abstractNum>
  <w:abstractNum w:abstractNumId="7" w15:restartNumberingAfterBreak="0">
    <w:nsid w:val="6BD80909"/>
    <w:multiLevelType w:val="multilevel"/>
    <w:tmpl w:val="A5147C08"/>
    <w:lvl w:ilvl="0">
      <w:start w:val="1"/>
      <w:numFmt w:val="bullet"/>
      <w:lvlText w:val=""/>
      <w:lvlJc w:val="left"/>
      <w:pPr>
        <w:tabs>
          <w:tab w:val="num" w:pos="0"/>
        </w:tabs>
        <w:ind w:left="1145" w:hanging="360"/>
      </w:pPr>
      <w:rPr>
        <w:rFonts w:ascii="Symbol" w:hAnsi="Symbol" w:cs="Symbol" w:hint="default"/>
      </w:rPr>
    </w:lvl>
    <w:lvl w:ilvl="1">
      <w:start w:val="1"/>
      <w:numFmt w:val="bullet"/>
      <w:lvlText w:val="o"/>
      <w:lvlJc w:val="left"/>
      <w:pPr>
        <w:tabs>
          <w:tab w:val="num" w:pos="0"/>
        </w:tabs>
        <w:ind w:left="1865" w:hanging="360"/>
      </w:pPr>
      <w:rPr>
        <w:rFonts w:ascii="Courier New" w:hAnsi="Courier New" w:cs="Courier New" w:hint="default"/>
      </w:rPr>
    </w:lvl>
    <w:lvl w:ilvl="2">
      <w:start w:val="1"/>
      <w:numFmt w:val="bullet"/>
      <w:lvlText w:val=""/>
      <w:lvlJc w:val="left"/>
      <w:pPr>
        <w:tabs>
          <w:tab w:val="num" w:pos="0"/>
        </w:tabs>
        <w:ind w:left="2585" w:hanging="360"/>
      </w:pPr>
      <w:rPr>
        <w:rFonts w:ascii="Wingdings" w:hAnsi="Wingdings" w:cs="Wingdings" w:hint="default"/>
      </w:rPr>
    </w:lvl>
    <w:lvl w:ilvl="3">
      <w:start w:val="1"/>
      <w:numFmt w:val="bullet"/>
      <w:lvlText w:val=""/>
      <w:lvlJc w:val="left"/>
      <w:pPr>
        <w:tabs>
          <w:tab w:val="num" w:pos="0"/>
        </w:tabs>
        <w:ind w:left="3305" w:hanging="360"/>
      </w:pPr>
      <w:rPr>
        <w:rFonts w:ascii="Symbol" w:hAnsi="Symbol" w:cs="Symbol" w:hint="default"/>
      </w:rPr>
    </w:lvl>
    <w:lvl w:ilvl="4">
      <w:start w:val="1"/>
      <w:numFmt w:val="bullet"/>
      <w:lvlText w:val="o"/>
      <w:lvlJc w:val="left"/>
      <w:pPr>
        <w:tabs>
          <w:tab w:val="num" w:pos="0"/>
        </w:tabs>
        <w:ind w:left="4025" w:hanging="360"/>
      </w:pPr>
      <w:rPr>
        <w:rFonts w:ascii="Courier New" w:hAnsi="Courier New" w:cs="Courier New" w:hint="default"/>
      </w:rPr>
    </w:lvl>
    <w:lvl w:ilvl="5">
      <w:start w:val="1"/>
      <w:numFmt w:val="bullet"/>
      <w:lvlText w:val=""/>
      <w:lvlJc w:val="left"/>
      <w:pPr>
        <w:tabs>
          <w:tab w:val="num" w:pos="0"/>
        </w:tabs>
        <w:ind w:left="4745" w:hanging="360"/>
      </w:pPr>
      <w:rPr>
        <w:rFonts w:ascii="Wingdings" w:hAnsi="Wingdings" w:cs="Wingdings" w:hint="default"/>
      </w:rPr>
    </w:lvl>
    <w:lvl w:ilvl="6">
      <w:start w:val="1"/>
      <w:numFmt w:val="bullet"/>
      <w:lvlText w:val=""/>
      <w:lvlJc w:val="left"/>
      <w:pPr>
        <w:tabs>
          <w:tab w:val="num" w:pos="0"/>
        </w:tabs>
        <w:ind w:left="5465" w:hanging="360"/>
      </w:pPr>
      <w:rPr>
        <w:rFonts w:ascii="Symbol" w:hAnsi="Symbol" w:cs="Symbol" w:hint="default"/>
      </w:rPr>
    </w:lvl>
    <w:lvl w:ilvl="7">
      <w:start w:val="1"/>
      <w:numFmt w:val="bullet"/>
      <w:lvlText w:val="o"/>
      <w:lvlJc w:val="left"/>
      <w:pPr>
        <w:tabs>
          <w:tab w:val="num" w:pos="0"/>
        </w:tabs>
        <w:ind w:left="6185" w:hanging="360"/>
      </w:pPr>
      <w:rPr>
        <w:rFonts w:ascii="Courier New" w:hAnsi="Courier New" w:cs="Courier New" w:hint="default"/>
      </w:rPr>
    </w:lvl>
    <w:lvl w:ilvl="8">
      <w:start w:val="1"/>
      <w:numFmt w:val="bullet"/>
      <w:lvlText w:val=""/>
      <w:lvlJc w:val="left"/>
      <w:pPr>
        <w:tabs>
          <w:tab w:val="num" w:pos="0"/>
        </w:tabs>
        <w:ind w:left="6905" w:hanging="360"/>
      </w:pPr>
      <w:rPr>
        <w:rFonts w:ascii="Wingdings" w:hAnsi="Wingdings" w:cs="Wingdings" w:hint="default"/>
      </w:rPr>
    </w:lvl>
  </w:abstractNum>
  <w:num w:numId="1" w16cid:durableId="1185709872">
    <w:abstractNumId w:val="6"/>
  </w:num>
  <w:num w:numId="2" w16cid:durableId="176241407">
    <w:abstractNumId w:val="0"/>
  </w:num>
  <w:num w:numId="3" w16cid:durableId="196431929">
    <w:abstractNumId w:val="7"/>
  </w:num>
  <w:num w:numId="4" w16cid:durableId="1566602797">
    <w:abstractNumId w:val="3"/>
  </w:num>
  <w:num w:numId="5" w16cid:durableId="1708144963">
    <w:abstractNumId w:val="5"/>
  </w:num>
  <w:num w:numId="6" w16cid:durableId="1633973793">
    <w:abstractNumId w:val="1"/>
  </w:num>
  <w:num w:numId="7" w16cid:durableId="433986491">
    <w:abstractNumId w:val="4"/>
  </w:num>
  <w:num w:numId="8" w16cid:durableId="48386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autoHyphenation/>
  <w:hyphenationZone w:val="425"/>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81E"/>
    <w:rsid w:val="00183673"/>
    <w:rsid w:val="00E2169A"/>
    <w:rsid w:val="00E36B41"/>
    <w:rsid w:val="00FF38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80D9"/>
  <w15:docId w15:val="{C0464AFB-D0D6-421F-BDF4-5AD8309CE0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67AE"/>
    <w:pPr>
      <w:spacing w:line="360" w:lineRule="auto"/>
    </w:pPr>
    <w:rPr>
      <w:rFonts w:ascii="Georgia" w:eastAsia="Calibri" w:hAnsi="Georgia" w:cstheme="minorHAnsi"/>
    </w:rPr>
  </w:style>
  <w:style w:type="paragraph" w:styleId="1">
    <w:name w:val="heading 1"/>
    <w:basedOn w:val="a"/>
    <w:next w:val="a"/>
    <w:link w:val="10"/>
    <w:uiPriority w:val="9"/>
    <w:qFormat/>
    <w:rsid w:val="00DE3E85"/>
    <w:pPr>
      <w:keepNext/>
      <w:keepLines/>
      <w:pageBreakBefore/>
      <w:numPr>
        <w:numId w:val="1"/>
      </w:numPr>
      <w:tabs>
        <w:tab w:val="left" w:pos="709"/>
      </w:tabs>
      <w:spacing w:after="240"/>
      <w:ind w:left="431" w:hanging="431"/>
      <w:outlineLvl w:val="0"/>
    </w:pPr>
    <w:rPr>
      <w:rFonts w:ascii="Arial" w:eastAsiaTheme="majorEastAsia" w:hAnsi="Arial" w:cstheme="majorBidi"/>
      <w:b/>
      <w:sz w:val="28"/>
      <w:szCs w:val="32"/>
    </w:rPr>
  </w:style>
  <w:style w:type="paragraph" w:styleId="2">
    <w:name w:val="heading 2"/>
    <w:basedOn w:val="1"/>
    <w:next w:val="a"/>
    <w:link w:val="20"/>
    <w:uiPriority w:val="9"/>
    <w:unhideWhenUsed/>
    <w:qFormat/>
    <w:rsid w:val="00455DE5"/>
    <w:pPr>
      <w:pageBreakBefore w:val="0"/>
      <w:numPr>
        <w:ilvl w:val="1"/>
      </w:numPr>
      <w:tabs>
        <w:tab w:val="left" w:pos="851"/>
      </w:tabs>
      <w:spacing w:before="240"/>
      <w:ind w:left="578" w:hanging="578"/>
      <w:outlineLvl w:val="1"/>
    </w:pPr>
    <w:rPr>
      <w:rFonts w:cs="Times New Roman (Headings CS)"/>
      <w:sz w:val="24"/>
      <w:szCs w:val="26"/>
    </w:rPr>
  </w:style>
  <w:style w:type="paragraph" w:styleId="3">
    <w:name w:val="heading 3"/>
    <w:basedOn w:val="2"/>
    <w:next w:val="a"/>
    <w:link w:val="30"/>
    <w:uiPriority w:val="9"/>
    <w:unhideWhenUsed/>
    <w:qFormat/>
    <w:rsid w:val="000C6291"/>
    <w:pPr>
      <w:numPr>
        <w:ilvl w:val="2"/>
      </w:numPr>
      <w:ind w:left="720"/>
      <w:outlineLvl w:val="2"/>
    </w:pPr>
    <w:rPr>
      <w:b w:val="0"/>
      <w:szCs w:val="24"/>
    </w:rPr>
  </w:style>
  <w:style w:type="paragraph" w:styleId="4">
    <w:name w:val="heading 4"/>
    <w:basedOn w:val="3"/>
    <w:next w:val="a"/>
    <w:link w:val="40"/>
    <w:uiPriority w:val="9"/>
    <w:semiHidden/>
    <w:unhideWhenUsed/>
    <w:qFormat/>
    <w:rsid w:val="000F3D59"/>
    <w:pPr>
      <w:numPr>
        <w:ilvl w:val="3"/>
      </w:numPr>
      <w:ind w:left="862" w:hanging="862"/>
      <w:outlineLvl w:val="3"/>
    </w:pPr>
    <w:rPr>
      <w:rFonts w:cstheme="majorBidi"/>
      <w:i/>
      <w:iCs/>
      <w:color w:val="000000" w:themeColor="text1"/>
      <w:sz w:val="22"/>
    </w:rPr>
  </w:style>
  <w:style w:type="paragraph" w:styleId="5">
    <w:name w:val="heading 5"/>
    <w:basedOn w:val="a"/>
    <w:next w:val="a"/>
    <w:link w:val="50"/>
    <w:uiPriority w:val="9"/>
    <w:semiHidden/>
    <w:unhideWhenUsed/>
    <w:qFormat/>
    <w:rsid w:val="00257598"/>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257598"/>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257598"/>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25759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25759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1Char">
    <w:name w:val="Body Text 1 Char"/>
    <w:basedOn w:val="a0"/>
    <w:link w:val="BodyText1"/>
    <w:qFormat/>
    <w:rsid w:val="007265C6"/>
    <w:rPr>
      <w:rFonts w:ascii="Georgia" w:hAnsi="Georgia"/>
      <w:sz w:val="24"/>
    </w:rPr>
  </w:style>
  <w:style w:type="character" w:customStyle="1" w:styleId="10">
    <w:name w:val="标题 1 字符"/>
    <w:basedOn w:val="a0"/>
    <w:link w:val="1"/>
    <w:uiPriority w:val="9"/>
    <w:qFormat/>
    <w:rsid w:val="00BE584A"/>
    <w:rPr>
      <w:rFonts w:ascii="Arial" w:eastAsiaTheme="majorEastAsia" w:hAnsi="Arial" w:cstheme="majorBidi"/>
      <w:b/>
      <w:sz w:val="28"/>
      <w:szCs w:val="32"/>
      <w:lang w:val="en-GB"/>
    </w:rPr>
  </w:style>
  <w:style w:type="character" w:customStyle="1" w:styleId="20">
    <w:name w:val="标题 2 字符"/>
    <w:basedOn w:val="a0"/>
    <w:link w:val="2"/>
    <w:uiPriority w:val="9"/>
    <w:qFormat/>
    <w:rsid w:val="00455DE5"/>
    <w:rPr>
      <w:rFonts w:ascii="Arial" w:eastAsiaTheme="majorEastAsia" w:hAnsi="Arial" w:cs="Times New Roman (Headings CS)"/>
      <w:b/>
      <w:sz w:val="24"/>
      <w:szCs w:val="26"/>
    </w:rPr>
  </w:style>
  <w:style w:type="character" w:customStyle="1" w:styleId="30">
    <w:name w:val="标题 3 字符"/>
    <w:basedOn w:val="a0"/>
    <w:link w:val="3"/>
    <w:uiPriority w:val="9"/>
    <w:qFormat/>
    <w:rsid w:val="000C6291"/>
    <w:rPr>
      <w:rFonts w:ascii="Arial" w:eastAsiaTheme="majorEastAsia" w:hAnsi="Arial" w:cs="Times New Roman (Headings CS)"/>
      <w:sz w:val="24"/>
      <w:szCs w:val="24"/>
    </w:rPr>
  </w:style>
  <w:style w:type="character" w:customStyle="1" w:styleId="40">
    <w:name w:val="标题 4 字符"/>
    <w:basedOn w:val="a0"/>
    <w:link w:val="4"/>
    <w:uiPriority w:val="9"/>
    <w:semiHidden/>
    <w:qFormat/>
    <w:rsid w:val="000F3D59"/>
    <w:rPr>
      <w:rFonts w:ascii="Arial" w:eastAsiaTheme="majorEastAsia" w:hAnsi="Arial" w:cstheme="majorBidi"/>
      <w:i/>
      <w:iCs/>
      <w:color w:val="000000" w:themeColor="text1"/>
      <w:szCs w:val="24"/>
      <w:lang w:val="en-GB"/>
    </w:rPr>
  </w:style>
  <w:style w:type="character" w:customStyle="1" w:styleId="50">
    <w:name w:val="标题 5 字符"/>
    <w:basedOn w:val="a0"/>
    <w:link w:val="5"/>
    <w:uiPriority w:val="9"/>
    <w:semiHidden/>
    <w:qFormat/>
    <w:rsid w:val="00257598"/>
    <w:rPr>
      <w:rFonts w:asciiTheme="majorHAnsi" w:eastAsiaTheme="majorEastAsia" w:hAnsiTheme="majorHAnsi" w:cstheme="majorBidi"/>
      <w:color w:val="365F91" w:themeColor="accent1" w:themeShade="BF"/>
      <w:sz w:val="24"/>
    </w:rPr>
  </w:style>
  <w:style w:type="character" w:customStyle="1" w:styleId="60">
    <w:name w:val="标题 6 字符"/>
    <w:basedOn w:val="a0"/>
    <w:link w:val="6"/>
    <w:uiPriority w:val="9"/>
    <w:semiHidden/>
    <w:qFormat/>
    <w:rsid w:val="00257598"/>
    <w:rPr>
      <w:rFonts w:asciiTheme="majorHAnsi" w:eastAsiaTheme="majorEastAsia" w:hAnsiTheme="majorHAnsi" w:cstheme="majorBidi"/>
      <w:color w:val="243F60" w:themeColor="accent1" w:themeShade="7F"/>
      <w:sz w:val="24"/>
    </w:rPr>
  </w:style>
  <w:style w:type="character" w:customStyle="1" w:styleId="70">
    <w:name w:val="标题 7 字符"/>
    <w:basedOn w:val="a0"/>
    <w:link w:val="7"/>
    <w:uiPriority w:val="9"/>
    <w:semiHidden/>
    <w:qFormat/>
    <w:rsid w:val="00257598"/>
    <w:rPr>
      <w:rFonts w:asciiTheme="majorHAnsi" w:eastAsiaTheme="majorEastAsia" w:hAnsiTheme="majorHAnsi" w:cstheme="majorBidi"/>
      <w:i/>
      <w:iCs/>
      <w:color w:val="243F60" w:themeColor="accent1" w:themeShade="7F"/>
      <w:sz w:val="24"/>
    </w:rPr>
  </w:style>
  <w:style w:type="character" w:customStyle="1" w:styleId="80">
    <w:name w:val="标题 8 字符"/>
    <w:basedOn w:val="a0"/>
    <w:link w:val="8"/>
    <w:uiPriority w:val="9"/>
    <w:semiHidden/>
    <w:qFormat/>
    <w:rsid w:val="00257598"/>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qFormat/>
    <w:rsid w:val="00257598"/>
    <w:rPr>
      <w:rFonts w:asciiTheme="majorHAnsi" w:eastAsiaTheme="majorEastAsia" w:hAnsiTheme="majorHAnsi" w:cstheme="majorBidi"/>
      <w:i/>
      <w:iCs/>
      <w:color w:val="272727" w:themeColor="text1" w:themeTint="D8"/>
      <w:sz w:val="21"/>
      <w:szCs w:val="21"/>
    </w:rPr>
  </w:style>
  <w:style w:type="character" w:customStyle="1" w:styleId="TablecaptionChar">
    <w:name w:val="Table caption Char"/>
    <w:basedOn w:val="a0"/>
    <w:link w:val="Tablecaption"/>
    <w:qFormat/>
    <w:rsid w:val="00AE7507"/>
    <w:rPr>
      <w:rFonts w:ascii="Arial" w:eastAsia="Times New Roman" w:hAnsi="Arial" w:cs="Arial"/>
      <w:color w:val="000000"/>
      <w:sz w:val="20"/>
      <w:szCs w:val="18"/>
      <w:lang w:val="en-GB" w:eastAsia="fi-FI"/>
    </w:rPr>
  </w:style>
  <w:style w:type="character" w:customStyle="1" w:styleId="a3">
    <w:name w:val="页眉 字符"/>
    <w:basedOn w:val="a0"/>
    <w:link w:val="a4"/>
    <w:uiPriority w:val="99"/>
    <w:qFormat/>
    <w:rsid w:val="00B25843"/>
    <w:rPr>
      <w:rFonts w:ascii="Arial" w:hAnsi="Arial"/>
    </w:rPr>
  </w:style>
  <w:style w:type="character" w:customStyle="1" w:styleId="a5">
    <w:name w:val="页脚 字符"/>
    <w:basedOn w:val="a0"/>
    <w:link w:val="a6"/>
    <w:uiPriority w:val="99"/>
    <w:qFormat/>
    <w:rsid w:val="00BE2B38"/>
  </w:style>
  <w:style w:type="character" w:customStyle="1" w:styleId="ReferencesChar">
    <w:name w:val="References Char"/>
    <w:basedOn w:val="a0"/>
    <w:link w:val="References"/>
    <w:qFormat/>
    <w:rsid w:val="009B7221"/>
    <w:rPr>
      <w:rFonts w:ascii="Times New Roman" w:hAnsi="Times New Roman"/>
      <w:sz w:val="24"/>
    </w:rPr>
  </w:style>
  <w:style w:type="character" w:styleId="a7">
    <w:name w:val="Placeholder Text"/>
    <w:basedOn w:val="a0"/>
    <w:uiPriority w:val="99"/>
    <w:semiHidden/>
    <w:qFormat/>
    <w:rsid w:val="00AE33BE"/>
    <w:rPr>
      <w:color w:val="808080"/>
    </w:rPr>
  </w:style>
  <w:style w:type="character" w:customStyle="1" w:styleId="AbstractChar">
    <w:name w:val="Abstract Char"/>
    <w:basedOn w:val="a0"/>
    <w:link w:val="Abstract"/>
    <w:qFormat/>
    <w:rsid w:val="00DE3E85"/>
    <w:rPr>
      <w:rFonts w:ascii="Times New Roman" w:hAnsi="Times New Roman"/>
      <w:lang w:val="en-GB"/>
    </w:rPr>
  </w:style>
  <w:style w:type="character" w:customStyle="1" w:styleId="TablecaptiontextChar">
    <w:name w:val="Table caption text Char"/>
    <w:basedOn w:val="a0"/>
    <w:link w:val="Tablecaptiontext"/>
    <w:qFormat/>
    <w:rsid w:val="00DE3E85"/>
    <w:rPr>
      <w:rFonts w:ascii="Arial" w:hAnsi="Arial"/>
      <w:sz w:val="20"/>
      <w:lang w:val="en-GB"/>
    </w:rPr>
  </w:style>
  <w:style w:type="character" w:customStyle="1" w:styleId="a8">
    <w:name w:val="脚注文本 字符"/>
    <w:basedOn w:val="a0"/>
    <w:link w:val="a9"/>
    <w:uiPriority w:val="99"/>
    <w:semiHidden/>
    <w:qFormat/>
    <w:rsid w:val="00591172"/>
    <w:rPr>
      <w:rFonts w:ascii="Times New Roman" w:hAnsi="Times New Roman"/>
      <w:sz w:val="20"/>
      <w:szCs w:val="20"/>
    </w:rPr>
  </w:style>
  <w:style w:type="character" w:customStyle="1" w:styleId="FootnoteCharacters">
    <w:name w:val="Footnote Characters"/>
    <w:basedOn w:val="a0"/>
    <w:uiPriority w:val="99"/>
    <w:semiHidden/>
    <w:unhideWhenUsed/>
    <w:qFormat/>
    <w:rsid w:val="00591172"/>
    <w:rPr>
      <w:vertAlign w:val="superscript"/>
    </w:rPr>
  </w:style>
  <w:style w:type="character" w:styleId="aa">
    <w:name w:val="footnote reference"/>
    <w:rPr>
      <w:vertAlign w:val="superscript"/>
    </w:rPr>
  </w:style>
  <w:style w:type="character" w:customStyle="1" w:styleId="FootnoteChar">
    <w:name w:val="Footnote Char"/>
    <w:basedOn w:val="BodyText1Char"/>
    <w:link w:val="Footnote"/>
    <w:qFormat/>
    <w:rsid w:val="00874BA9"/>
    <w:rPr>
      <w:rFonts w:ascii="Times New Roman" w:hAnsi="Times New Roman"/>
      <w:sz w:val="20"/>
      <w:lang w:val="en-GB"/>
    </w:rPr>
  </w:style>
  <w:style w:type="character" w:styleId="ab">
    <w:name w:val="Hyperlink"/>
    <w:basedOn w:val="a0"/>
    <w:uiPriority w:val="99"/>
    <w:unhideWhenUsed/>
    <w:rsid w:val="004273C4"/>
    <w:rPr>
      <w:color w:val="0000FF" w:themeColor="hyperlink"/>
      <w:u w:val="single"/>
    </w:rPr>
  </w:style>
  <w:style w:type="character" w:styleId="ac">
    <w:name w:val="annotation reference"/>
    <w:basedOn w:val="a0"/>
    <w:uiPriority w:val="99"/>
    <w:semiHidden/>
    <w:unhideWhenUsed/>
    <w:qFormat/>
    <w:rsid w:val="00772266"/>
    <w:rPr>
      <w:sz w:val="16"/>
      <w:szCs w:val="16"/>
    </w:rPr>
  </w:style>
  <w:style w:type="character" w:customStyle="1" w:styleId="ad">
    <w:name w:val="批注文字 字符"/>
    <w:basedOn w:val="a0"/>
    <w:link w:val="ae"/>
    <w:uiPriority w:val="99"/>
    <w:semiHidden/>
    <w:qFormat/>
    <w:rsid w:val="00772266"/>
    <w:rPr>
      <w:rFonts w:ascii="Times New Roman" w:hAnsi="Times New Roman"/>
      <w:sz w:val="20"/>
      <w:szCs w:val="20"/>
    </w:rPr>
  </w:style>
  <w:style w:type="character" w:customStyle="1" w:styleId="af">
    <w:name w:val="批注主题 字符"/>
    <w:basedOn w:val="ad"/>
    <w:link w:val="af0"/>
    <w:uiPriority w:val="99"/>
    <w:semiHidden/>
    <w:qFormat/>
    <w:rsid w:val="00772266"/>
    <w:rPr>
      <w:rFonts w:ascii="Times New Roman" w:hAnsi="Times New Roman"/>
      <w:b/>
      <w:bCs/>
      <w:sz w:val="20"/>
      <w:szCs w:val="20"/>
    </w:rPr>
  </w:style>
  <w:style w:type="character" w:customStyle="1" w:styleId="af1">
    <w:name w:val="批注框文本 字符"/>
    <w:basedOn w:val="a0"/>
    <w:link w:val="af2"/>
    <w:uiPriority w:val="99"/>
    <w:semiHidden/>
    <w:qFormat/>
    <w:rsid w:val="00772266"/>
    <w:rPr>
      <w:rFonts w:ascii="Segoe UI" w:hAnsi="Segoe UI" w:cs="Segoe UI"/>
      <w:sz w:val="18"/>
      <w:szCs w:val="18"/>
    </w:rPr>
  </w:style>
  <w:style w:type="character" w:customStyle="1" w:styleId="af3">
    <w:name w:val="尾注文本 字符"/>
    <w:basedOn w:val="a0"/>
    <w:link w:val="af4"/>
    <w:uiPriority w:val="99"/>
    <w:semiHidden/>
    <w:qFormat/>
    <w:rsid w:val="00A27745"/>
    <w:rPr>
      <w:rFonts w:ascii="Times New Roman" w:hAnsi="Times New Roman"/>
      <w:sz w:val="20"/>
      <w:szCs w:val="20"/>
    </w:rPr>
  </w:style>
  <w:style w:type="character" w:customStyle="1" w:styleId="EndnoteCharacters">
    <w:name w:val="Endnote Characters"/>
    <w:basedOn w:val="a0"/>
    <w:uiPriority w:val="99"/>
    <w:semiHidden/>
    <w:unhideWhenUsed/>
    <w:qFormat/>
    <w:rsid w:val="00A27745"/>
    <w:rPr>
      <w:vertAlign w:val="superscript"/>
    </w:rPr>
  </w:style>
  <w:style w:type="character" w:styleId="af5">
    <w:name w:val="endnote reference"/>
    <w:rPr>
      <w:vertAlign w:val="superscript"/>
    </w:rPr>
  </w:style>
  <w:style w:type="character" w:customStyle="1" w:styleId="CitationLainausChar">
    <w:name w:val="Citation / Lainaus Char"/>
    <w:basedOn w:val="BodyText1Char"/>
    <w:link w:val="CitationLainaus"/>
    <w:qFormat/>
    <w:rsid w:val="006412BC"/>
    <w:rPr>
      <w:rFonts w:ascii="Georgia" w:hAnsi="Georgia"/>
      <w:sz w:val="24"/>
    </w:rPr>
  </w:style>
  <w:style w:type="character" w:styleId="af6">
    <w:name w:val="Strong"/>
    <w:basedOn w:val="a0"/>
    <w:uiPriority w:val="22"/>
    <w:qFormat/>
    <w:rsid w:val="00874BA9"/>
    <w:rPr>
      <w:b/>
      <w:bCs/>
    </w:rPr>
  </w:style>
  <w:style w:type="character" w:customStyle="1" w:styleId="IndexLink">
    <w:name w:val="Index Link"/>
    <w:qFormat/>
  </w:style>
  <w:style w:type="paragraph" w:customStyle="1" w:styleId="Heading">
    <w:name w:val="Heading"/>
    <w:basedOn w:val="a"/>
    <w:next w:val="af7"/>
    <w:qFormat/>
    <w:pPr>
      <w:keepNext/>
      <w:spacing w:before="240" w:after="120"/>
    </w:pPr>
    <w:rPr>
      <w:rFonts w:ascii="Liberation Sans" w:eastAsia="Microsoft YaHei" w:hAnsi="Liberation Sans" w:cs="Lucida Sans"/>
      <w:sz w:val="28"/>
      <w:szCs w:val="28"/>
    </w:rPr>
  </w:style>
  <w:style w:type="paragraph" w:styleId="af7">
    <w:name w:val="Body Text"/>
    <w:basedOn w:val="a"/>
    <w:pPr>
      <w:spacing w:after="140" w:line="276" w:lineRule="auto"/>
    </w:pPr>
  </w:style>
  <w:style w:type="paragraph" w:styleId="af8">
    <w:name w:val="List"/>
    <w:basedOn w:val="af7"/>
    <w:rPr>
      <w:rFonts w:cs="Lucida Sans"/>
    </w:rPr>
  </w:style>
  <w:style w:type="paragraph" w:styleId="af9">
    <w:name w:val="caption"/>
    <w:basedOn w:val="a"/>
    <w:next w:val="a"/>
    <w:uiPriority w:val="35"/>
    <w:unhideWhenUsed/>
    <w:qFormat/>
    <w:rsid w:val="00F703D8"/>
    <w:pPr>
      <w:spacing w:after="200" w:line="240" w:lineRule="auto"/>
    </w:pPr>
    <w:rPr>
      <w:i/>
      <w:iCs/>
      <w:color w:val="1F497D" w:themeColor="text2"/>
      <w:sz w:val="18"/>
      <w:szCs w:val="18"/>
    </w:rPr>
  </w:style>
  <w:style w:type="paragraph" w:customStyle="1" w:styleId="Index">
    <w:name w:val="Index"/>
    <w:basedOn w:val="a"/>
    <w:qFormat/>
    <w:pPr>
      <w:suppressLineNumbers/>
    </w:pPr>
    <w:rPr>
      <w:rFonts w:cs="Lucida Sans"/>
    </w:rPr>
  </w:style>
  <w:style w:type="paragraph" w:customStyle="1" w:styleId="Thesisfootnote">
    <w:name w:val="Thesis footnote"/>
    <w:basedOn w:val="BodyText1"/>
    <w:qFormat/>
    <w:rsid w:val="006412BC"/>
    <w:pPr>
      <w:spacing w:after="0" w:line="280" w:lineRule="exact"/>
    </w:pPr>
    <w:rPr>
      <w:sz w:val="20"/>
    </w:rPr>
  </w:style>
  <w:style w:type="paragraph" w:customStyle="1" w:styleId="BodyText1">
    <w:name w:val="Body Text 1"/>
    <w:link w:val="BodyText1Char"/>
    <w:qFormat/>
    <w:rsid w:val="007265C6"/>
    <w:pPr>
      <w:spacing w:after="200" w:line="360" w:lineRule="auto"/>
    </w:pPr>
    <w:rPr>
      <w:rFonts w:ascii="Georgia" w:eastAsiaTheme="minorHAnsi" w:hAnsi="Georgia"/>
      <w:sz w:val="24"/>
    </w:rPr>
  </w:style>
  <w:style w:type="paragraph" w:customStyle="1" w:styleId="Tablecaption">
    <w:name w:val="Table caption"/>
    <w:basedOn w:val="a"/>
    <w:next w:val="a"/>
    <w:link w:val="TablecaptionChar"/>
    <w:autoRedefine/>
    <w:qFormat/>
    <w:rsid w:val="00AE7507"/>
    <w:pPr>
      <w:tabs>
        <w:tab w:val="left" w:pos="280"/>
        <w:tab w:val="left" w:pos="580"/>
        <w:tab w:val="left" w:pos="860"/>
        <w:tab w:val="left" w:pos="1140"/>
      </w:tabs>
      <w:spacing w:after="120" w:line="240" w:lineRule="auto"/>
      <w:textAlignment w:val="center"/>
    </w:pPr>
    <w:rPr>
      <w:rFonts w:ascii="Arial" w:eastAsia="Times New Roman" w:hAnsi="Arial" w:cs="Arial"/>
      <w:color w:val="000000"/>
      <w:sz w:val="20"/>
      <w:szCs w:val="18"/>
      <w:lang w:eastAsia="fi-FI"/>
    </w:rPr>
  </w:style>
  <w:style w:type="paragraph" w:customStyle="1" w:styleId="HeaderandFooter">
    <w:name w:val="Header and Footer"/>
    <w:basedOn w:val="a"/>
    <w:qFormat/>
  </w:style>
  <w:style w:type="paragraph" w:styleId="a4">
    <w:name w:val="header"/>
    <w:basedOn w:val="a"/>
    <w:link w:val="a3"/>
    <w:uiPriority w:val="99"/>
    <w:unhideWhenUsed/>
    <w:rsid w:val="00B25843"/>
    <w:pPr>
      <w:tabs>
        <w:tab w:val="center" w:pos="4819"/>
        <w:tab w:val="right" w:pos="9638"/>
      </w:tabs>
      <w:spacing w:line="240" w:lineRule="auto"/>
    </w:pPr>
    <w:rPr>
      <w:rFonts w:ascii="Arial" w:hAnsi="Arial"/>
    </w:rPr>
  </w:style>
  <w:style w:type="paragraph" w:styleId="a6">
    <w:name w:val="footer"/>
    <w:basedOn w:val="a"/>
    <w:link w:val="a5"/>
    <w:unhideWhenUsed/>
    <w:rsid w:val="00BE2B38"/>
    <w:pPr>
      <w:tabs>
        <w:tab w:val="center" w:pos="4819"/>
        <w:tab w:val="right" w:pos="9638"/>
      </w:tabs>
      <w:spacing w:line="240" w:lineRule="auto"/>
    </w:pPr>
  </w:style>
  <w:style w:type="paragraph" w:customStyle="1" w:styleId="References">
    <w:name w:val="References"/>
    <w:basedOn w:val="a"/>
    <w:link w:val="ReferencesChar"/>
    <w:qFormat/>
    <w:rsid w:val="00DE3E85"/>
    <w:pPr>
      <w:ind w:left="709" w:hanging="709"/>
    </w:pPr>
    <w:rPr>
      <w:sz w:val="24"/>
    </w:rPr>
  </w:style>
  <w:style w:type="paragraph" w:customStyle="1" w:styleId="Abstract">
    <w:name w:val="Abstract"/>
    <w:link w:val="AbstractChar"/>
    <w:qFormat/>
    <w:rsid w:val="005B0839"/>
    <w:pPr>
      <w:spacing w:after="120"/>
    </w:pPr>
    <w:rPr>
      <w:rFonts w:ascii="Times New Roman" w:eastAsiaTheme="minorHAnsi" w:hAnsi="Times New Roman"/>
    </w:rPr>
  </w:style>
  <w:style w:type="paragraph" w:customStyle="1" w:styleId="Tablecaptiontext">
    <w:name w:val="Table caption text"/>
    <w:basedOn w:val="a"/>
    <w:next w:val="a"/>
    <w:link w:val="TablecaptiontextChar"/>
    <w:qFormat/>
    <w:rsid w:val="00DE3E85"/>
    <w:pPr>
      <w:spacing w:before="120" w:after="120" w:line="240" w:lineRule="auto"/>
    </w:pPr>
    <w:rPr>
      <w:rFonts w:ascii="Arial" w:hAnsi="Arial"/>
      <w:sz w:val="20"/>
    </w:rPr>
  </w:style>
  <w:style w:type="paragraph" w:styleId="a9">
    <w:name w:val="footnote text"/>
    <w:basedOn w:val="a"/>
    <w:link w:val="a8"/>
    <w:uiPriority w:val="99"/>
    <w:semiHidden/>
    <w:unhideWhenUsed/>
    <w:rsid w:val="00591172"/>
    <w:pPr>
      <w:spacing w:line="240" w:lineRule="auto"/>
    </w:pPr>
    <w:rPr>
      <w:sz w:val="20"/>
      <w:szCs w:val="20"/>
    </w:rPr>
  </w:style>
  <w:style w:type="paragraph" w:customStyle="1" w:styleId="Footnote">
    <w:name w:val="Footnote"/>
    <w:basedOn w:val="BodyText1"/>
    <w:link w:val="FootnoteChar"/>
    <w:qFormat/>
    <w:rsid w:val="00874BA9"/>
    <w:pPr>
      <w:spacing w:line="240" w:lineRule="auto"/>
    </w:pPr>
    <w:rPr>
      <w:sz w:val="20"/>
    </w:rPr>
  </w:style>
  <w:style w:type="paragraph" w:styleId="afa">
    <w:name w:val="index heading"/>
    <w:basedOn w:val="Heading"/>
  </w:style>
  <w:style w:type="paragraph" w:styleId="TOC">
    <w:name w:val="TOC Heading"/>
    <w:basedOn w:val="1"/>
    <w:next w:val="a"/>
    <w:uiPriority w:val="39"/>
    <w:unhideWhenUsed/>
    <w:qFormat/>
    <w:rsid w:val="00BE5B8D"/>
    <w:pPr>
      <w:numPr>
        <w:numId w:val="0"/>
      </w:numPr>
      <w:tabs>
        <w:tab w:val="clear" w:pos="709"/>
      </w:tabs>
      <w:spacing w:before="240" w:after="0" w:line="259" w:lineRule="auto"/>
      <w:ind w:left="431" w:hanging="431"/>
      <w:outlineLvl w:val="9"/>
    </w:pPr>
    <w:rPr>
      <w:rFonts w:cs="Arial"/>
      <w:bCs/>
      <w:szCs w:val="28"/>
      <w:lang w:eastAsia="fi-FI"/>
    </w:rPr>
  </w:style>
  <w:style w:type="paragraph" w:styleId="TOC1">
    <w:name w:val="toc 1"/>
    <w:basedOn w:val="a"/>
    <w:next w:val="a"/>
    <w:autoRedefine/>
    <w:uiPriority w:val="39"/>
    <w:unhideWhenUsed/>
    <w:rsid w:val="00327511"/>
    <w:pPr>
      <w:tabs>
        <w:tab w:val="right" w:pos="9015"/>
      </w:tabs>
      <w:spacing w:before="120"/>
    </w:pPr>
    <w:rPr>
      <w:rFonts w:ascii="Arial" w:hAnsi="Arial" w:cs="Calibri (Body)"/>
      <w:b/>
      <w:bCs/>
      <w:iCs/>
      <w:sz w:val="24"/>
      <w:szCs w:val="24"/>
    </w:rPr>
  </w:style>
  <w:style w:type="paragraph" w:styleId="TOC2">
    <w:name w:val="toc 2"/>
    <w:basedOn w:val="TOC1"/>
    <w:next w:val="a"/>
    <w:autoRedefine/>
    <w:uiPriority w:val="39"/>
    <w:unhideWhenUsed/>
    <w:rsid w:val="00CC4C41"/>
    <w:pPr>
      <w:tabs>
        <w:tab w:val="left" w:pos="425"/>
      </w:tabs>
      <w:ind w:left="220"/>
    </w:pPr>
    <w:rPr>
      <w:iCs w:val="0"/>
      <w:sz w:val="22"/>
      <w:szCs w:val="22"/>
    </w:rPr>
  </w:style>
  <w:style w:type="paragraph" w:styleId="TOC3">
    <w:name w:val="toc 3"/>
    <w:basedOn w:val="TOC2"/>
    <w:next w:val="a"/>
    <w:autoRedefine/>
    <w:uiPriority w:val="39"/>
    <w:unhideWhenUsed/>
    <w:rsid w:val="00B25843"/>
    <w:pPr>
      <w:spacing w:before="0"/>
      <w:ind w:left="440"/>
    </w:pPr>
    <w:rPr>
      <w:b w:val="0"/>
      <w:bCs w:val="0"/>
      <w:sz w:val="20"/>
      <w:szCs w:val="20"/>
    </w:rPr>
  </w:style>
  <w:style w:type="paragraph" w:styleId="afb">
    <w:name w:val="table of figures"/>
    <w:basedOn w:val="TOC3"/>
    <w:next w:val="a"/>
    <w:uiPriority w:val="99"/>
    <w:unhideWhenUsed/>
    <w:rsid w:val="008F2BE8"/>
    <w:pPr>
      <w:ind w:hanging="440"/>
    </w:pPr>
  </w:style>
  <w:style w:type="paragraph" w:styleId="ae">
    <w:name w:val="annotation text"/>
    <w:basedOn w:val="a"/>
    <w:link w:val="ad"/>
    <w:uiPriority w:val="99"/>
    <w:semiHidden/>
    <w:unhideWhenUsed/>
    <w:rsid w:val="00772266"/>
    <w:pPr>
      <w:spacing w:line="240" w:lineRule="auto"/>
    </w:pPr>
    <w:rPr>
      <w:sz w:val="20"/>
      <w:szCs w:val="20"/>
    </w:rPr>
  </w:style>
  <w:style w:type="paragraph" w:styleId="af0">
    <w:name w:val="annotation subject"/>
    <w:basedOn w:val="ae"/>
    <w:next w:val="ae"/>
    <w:link w:val="af"/>
    <w:uiPriority w:val="99"/>
    <w:semiHidden/>
    <w:unhideWhenUsed/>
    <w:qFormat/>
    <w:rsid w:val="00772266"/>
    <w:rPr>
      <w:b/>
      <w:bCs/>
    </w:rPr>
  </w:style>
  <w:style w:type="paragraph" w:styleId="af2">
    <w:name w:val="Balloon Text"/>
    <w:basedOn w:val="a"/>
    <w:link w:val="af1"/>
    <w:uiPriority w:val="99"/>
    <w:semiHidden/>
    <w:unhideWhenUsed/>
    <w:qFormat/>
    <w:rsid w:val="00772266"/>
    <w:pPr>
      <w:spacing w:line="240" w:lineRule="auto"/>
    </w:pPr>
    <w:rPr>
      <w:rFonts w:ascii="Segoe UI" w:hAnsi="Segoe UI" w:cs="Segoe UI"/>
      <w:sz w:val="18"/>
      <w:szCs w:val="18"/>
    </w:rPr>
  </w:style>
  <w:style w:type="paragraph" w:customStyle="1" w:styleId="Tabletext">
    <w:name w:val="Table text"/>
    <w:basedOn w:val="a"/>
    <w:qFormat/>
    <w:rsid w:val="00EB40DD"/>
    <w:pPr>
      <w:spacing w:before="60" w:after="60" w:line="240" w:lineRule="auto"/>
    </w:pPr>
    <w:rPr>
      <w:rFonts w:ascii="Arial" w:hAnsi="Arial" w:cs="Arial"/>
      <w:sz w:val="20"/>
    </w:rPr>
  </w:style>
  <w:style w:type="paragraph" w:styleId="TOC4">
    <w:name w:val="toc 4"/>
    <w:basedOn w:val="a"/>
    <w:next w:val="a"/>
    <w:autoRedefine/>
    <w:uiPriority w:val="39"/>
    <w:semiHidden/>
    <w:unhideWhenUsed/>
    <w:rsid w:val="000802CC"/>
    <w:pPr>
      <w:ind w:left="660"/>
    </w:pPr>
    <w:rPr>
      <w:rFonts w:asciiTheme="minorHAnsi" w:hAnsiTheme="minorHAnsi"/>
      <w:sz w:val="20"/>
      <w:szCs w:val="20"/>
    </w:rPr>
  </w:style>
  <w:style w:type="paragraph" w:styleId="TOC5">
    <w:name w:val="toc 5"/>
    <w:basedOn w:val="a"/>
    <w:next w:val="a"/>
    <w:autoRedefine/>
    <w:uiPriority w:val="39"/>
    <w:semiHidden/>
    <w:unhideWhenUsed/>
    <w:rsid w:val="000802CC"/>
    <w:pPr>
      <w:ind w:left="880"/>
    </w:pPr>
    <w:rPr>
      <w:rFonts w:asciiTheme="minorHAnsi" w:hAnsiTheme="minorHAnsi"/>
      <w:sz w:val="20"/>
      <w:szCs w:val="20"/>
    </w:rPr>
  </w:style>
  <w:style w:type="paragraph" w:styleId="TOC6">
    <w:name w:val="toc 6"/>
    <w:basedOn w:val="a"/>
    <w:next w:val="a"/>
    <w:autoRedefine/>
    <w:uiPriority w:val="39"/>
    <w:semiHidden/>
    <w:unhideWhenUsed/>
    <w:rsid w:val="000802CC"/>
    <w:pPr>
      <w:ind w:left="1100"/>
    </w:pPr>
    <w:rPr>
      <w:rFonts w:asciiTheme="minorHAnsi" w:hAnsiTheme="minorHAnsi"/>
      <w:sz w:val="20"/>
      <w:szCs w:val="20"/>
    </w:rPr>
  </w:style>
  <w:style w:type="paragraph" w:styleId="TOC7">
    <w:name w:val="toc 7"/>
    <w:basedOn w:val="a"/>
    <w:next w:val="a"/>
    <w:autoRedefine/>
    <w:uiPriority w:val="39"/>
    <w:semiHidden/>
    <w:unhideWhenUsed/>
    <w:rsid w:val="000802CC"/>
    <w:pPr>
      <w:ind w:left="1320"/>
    </w:pPr>
    <w:rPr>
      <w:rFonts w:asciiTheme="minorHAnsi" w:hAnsiTheme="minorHAnsi"/>
      <w:sz w:val="20"/>
      <w:szCs w:val="20"/>
    </w:rPr>
  </w:style>
  <w:style w:type="paragraph" w:styleId="TOC8">
    <w:name w:val="toc 8"/>
    <w:basedOn w:val="a"/>
    <w:next w:val="a"/>
    <w:autoRedefine/>
    <w:uiPriority w:val="39"/>
    <w:semiHidden/>
    <w:unhideWhenUsed/>
    <w:rsid w:val="000802CC"/>
    <w:pPr>
      <w:ind w:left="1540"/>
    </w:pPr>
    <w:rPr>
      <w:rFonts w:asciiTheme="minorHAnsi" w:hAnsiTheme="minorHAnsi"/>
      <w:sz w:val="20"/>
      <w:szCs w:val="20"/>
    </w:rPr>
  </w:style>
  <w:style w:type="paragraph" w:styleId="TOC9">
    <w:name w:val="toc 9"/>
    <w:basedOn w:val="a"/>
    <w:next w:val="a"/>
    <w:autoRedefine/>
    <w:uiPriority w:val="39"/>
    <w:semiHidden/>
    <w:unhideWhenUsed/>
    <w:rsid w:val="000802CC"/>
    <w:pPr>
      <w:ind w:left="1760"/>
    </w:pPr>
    <w:rPr>
      <w:rFonts w:asciiTheme="minorHAnsi" w:hAnsiTheme="minorHAnsi"/>
      <w:sz w:val="20"/>
      <w:szCs w:val="20"/>
    </w:rPr>
  </w:style>
  <w:style w:type="paragraph" w:customStyle="1" w:styleId="Figurecaptiontext">
    <w:name w:val="Figure caption text"/>
    <w:basedOn w:val="Tablecaptiontext"/>
    <w:qFormat/>
    <w:rsid w:val="006412BC"/>
    <w:pPr>
      <w:spacing w:after="360"/>
    </w:pPr>
  </w:style>
  <w:style w:type="paragraph" w:styleId="afc">
    <w:name w:val="List Paragraph"/>
    <w:basedOn w:val="a"/>
    <w:uiPriority w:val="34"/>
    <w:qFormat/>
    <w:rsid w:val="00794911"/>
    <w:pPr>
      <w:spacing w:before="240"/>
      <w:ind w:left="720"/>
      <w:contextualSpacing/>
    </w:pPr>
    <w:rPr>
      <w:rFonts w:ascii="Trebuchet MS" w:hAnsi="Trebuchet MS"/>
      <w:sz w:val="20"/>
    </w:rPr>
  </w:style>
  <w:style w:type="paragraph" w:customStyle="1" w:styleId="TitleTutkielmanotsikko">
    <w:name w:val="Title / Tutkielman otsikko"/>
    <w:basedOn w:val="a"/>
    <w:qFormat/>
    <w:rsid w:val="00CC2651"/>
    <w:pPr>
      <w:spacing w:before="2000"/>
      <w:jc w:val="center"/>
    </w:pPr>
    <w:rPr>
      <w:rFonts w:ascii="Arial" w:hAnsi="Arial"/>
      <w:b/>
      <w:sz w:val="36"/>
    </w:rPr>
  </w:style>
  <w:style w:type="paragraph" w:styleId="af4">
    <w:name w:val="endnote text"/>
    <w:basedOn w:val="a"/>
    <w:link w:val="af3"/>
    <w:uiPriority w:val="99"/>
    <w:semiHidden/>
    <w:unhideWhenUsed/>
    <w:rsid w:val="00A27745"/>
    <w:pPr>
      <w:spacing w:line="240" w:lineRule="auto"/>
    </w:pPr>
    <w:rPr>
      <w:sz w:val="20"/>
      <w:szCs w:val="20"/>
    </w:rPr>
  </w:style>
  <w:style w:type="paragraph" w:customStyle="1" w:styleId="CitationLainaus">
    <w:name w:val="Citation / Lainaus"/>
    <w:basedOn w:val="BodyText1"/>
    <w:link w:val="CitationLainausChar"/>
    <w:qFormat/>
    <w:rsid w:val="006412BC"/>
    <w:pPr>
      <w:spacing w:after="240" w:line="280" w:lineRule="exact"/>
      <w:ind w:left="567" w:right="567"/>
      <w:mirrorIndents/>
    </w:pPr>
  </w:style>
  <w:style w:type="paragraph" w:styleId="afd">
    <w:name w:val="No Spacing"/>
    <w:uiPriority w:val="1"/>
    <w:qFormat/>
    <w:rsid w:val="00874BA9"/>
    <w:rPr>
      <w:rFonts w:ascii="Times New Roman" w:eastAsiaTheme="minorHAnsi" w:hAnsi="Times New Roman"/>
    </w:rPr>
  </w:style>
  <w:style w:type="paragraph" w:customStyle="1" w:styleId="TyyliBodyText1Jlkeen0pt">
    <w:name w:val="Tyyli Body Text 1 + Jälkeen:  0 pt"/>
    <w:basedOn w:val="BodyText1"/>
    <w:qFormat/>
    <w:rsid w:val="005467AE"/>
    <w:pPr>
      <w:spacing w:after="0"/>
    </w:pPr>
    <w:rPr>
      <w:rFonts w:eastAsia="Times New Roman" w:cs="Times New Roman"/>
      <w:szCs w:val="20"/>
    </w:rPr>
  </w:style>
  <w:style w:type="paragraph" w:customStyle="1" w:styleId="TyyliBodyText1Jlkeen0pt1">
    <w:name w:val="Tyyli Body Text 1 + Jälkeen:  0 pt1"/>
    <w:basedOn w:val="BodyText1"/>
    <w:qFormat/>
    <w:rsid w:val="007265C6"/>
    <w:pPr>
      <w:spacing w:after="0"/>
    </w:pPr>
    <w:rPr>
      <w:rFonts w:eastAsia="Times New Roman" w:cs="Times New Roman"/>
      <w:szCs w:val="20"/>
    </w:rPr>
  </w:style>
  <w:style w:type="paragraph" w:customStyle="1" w:styleId="TyyliBodyText1Jlkeen0pt2">
    <w:name w:val="Tyyli Body Text 1 + Jälkeen:  0 pt2"/>
    <w:qFormat/>
    <w:rsid w:val="007265C6"/>
    <w:pPr>
      <w:spacing w:line="276" w:lineRule="auto"/>
    </w:pPr>
    <w:rPr>
      <w:rFonts w:ascii="Georgia" w:eastAsia="Times New Roman" w:hAnsi="Georgia" w:cs="Times New Roman"/>
      <w:sz w:val="24"/>
      <w:szCs w:val="20"/>
    </w:rPr>
  </w:style>
  <w:style w:type="paragraph" w:customStyle="1" w:styleId="TyyliBodyText1Jlkeen0pt3">
    <w:name w:val="Tyyli Body Text 1 + Jälkeen:  0 pt3"/>
    <w:basedOn w:val="BodyText1"/>
    <w:qFormat/>
    <w:rsid w:val="007265C6"/>
    <w:pPr>
      <w:spacing w:after="0"/>
    </w:pPr>
    <w:rPr>
      <w:rFonts w:eastAsia="Times New Roman" w:cs="Times New Roman"/>
      <w:szCs w:val="20"/>
    </w:rPr>
  </w:style>
  <w:style w:type="table" w:styleId="afe">
    <w:name w:val="Table Grid"/>
    <w:basedOn w:val="a1"/>
    <w:uiPriority w:val="59"/>
    <w:rsid w:val="00BE2B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fontTable" Target="fontTable.xml"/><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codex\projects\&#30805;&#22763;&#35770;&#25991;\UH_thesis_template_4.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83C2406E67DD41848BC75F5F417786" ma:contentTypeVersion="1" ma:contentTypeDescription="Create a new document." ma:contentTypeScope="" ma:versionID="dd2332035d10bc5410bc27c49f833251">
  <xsd:schema xmlns:xsd="http://www.w3.org/2001/XMLSchema" xmlns:xs="http://www.w3.org/2001/XMLSchema" xmlns:p="http://schemas.microsoft.com/office/2006/metadata/properties" xmlns:ns1="http://schemas.microsoft.com/sharepoint/v3" targetNamespace="http://schemas.microsoft.com/office/2006/metadata/properties" ma:root="true" ma:fieldsID="55d3c2ff1dfae606d6f8168c38786798"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[today]</PublishingStartDat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59A69B-5D69-4868-8E5F-33E2AE7A2C04}">
  <ds:schemaRefs>
    <ds:schemaRef ds:uri="http://schemas.openxmlformats.org/officeDocument/2006/bibliography"/>
  </ds:schemaRefs>
</ds:datastoreItem>
</file>

<file path=customXml/itemProps2.xml><?xml version="1.0" encoding="utf-8"?>
<ds:datastoreItem xmlns:ds="http://schemas.openxmlformats.org/officeDocument/2006/customXml" ds:itemID="{F7F421E0-B93F-4050-9EB3-FACC3C697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5EB7D7-8BDF-437B-A0A0-72460EC5A1C1}">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02C0FAD-7ABD-4327-B9CC-5095FCD64E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UH_thesis_template_4.dotx</Template>
  <TotalTime>1</TotalTime>
  <Pages>21</Pages>
  <Words>3147</Words>
  <Characters>17942</Characters>
  <Application>Microsoft Office Word</Application>
  <DocSecurity>0</DocSecurity>
  <Lines>149</Lines>
  <Paragraphs>42</Paragraphs>
  <ScaleCrop>false</ScaleCrop>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Measuring, and Mitigating Context Bloat in LLM-Based Agents: A Runtime Auditing Approach</dc:title>
  <dc:creator>Guochen Li</dc:creator>
  <cp:lastModifiedBy>Li, Guochen</cp:lastModifiedBy>
  <cp:revision>1</cp:revision>
  <dcterms:created xsi:type="dcterms:W3CDTF">2026-07-26T14:20:00Z</dcterms:created>
  <dcterms:modified xsi:type="dcterms:W3CDTF">2026-07-26T14:21:00Z</dcterms:modified>
  <dc:subject>Master's thesis on runtime auditing of context bloat in LLM-based agents</dc:subject>
  <cp:keywords>LLM agents, context bloat, runtime auditing, context provenance, retrieval-augmented generation, agent memory, tool use</cp:keywords>
  <dc:description>Formal draft generated from version-controlled Markdown using Guochen_Li.docx. Human review remains pending.</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2025-06-13T13:57:28Z</dcterms:created>
  <dc:creator/>
  <dc:description/>
  <dc:language>fi-FI</dc:language>
  <cp:lastModifiedBy/>
  <cp:lastPrinted>2020-10-13T10:06:00Z</cp:lastPrinted>
  <dcterms:modified xsi:type="dcterms:W3CDTF">2025-06-13T13:58:09Z</dcterms:modified>
  <cp:revision>2</cp:revision>
  <dc:subject/>
  <dc:title>Thesis template of the University of Helsinki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0x0101007D83C2406E67DD41848BC75F5F417786</vt:lpwstr>
  </property>
</Properties>
</file>