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E59C5" w14:textId="77777777" w:rsidR="00E32AD9" w:rsidRDefault="00000000">
      <w:pPr>
        <w:jc w:val="center"/>
        <w:rPr>
          <w:b/>
        </w:rPr>
      </w:pPr>
      <w:bookmarkStart w:id="0" w:name="_heading=h.gjdgxs" w:colFirst="0" w:colLast="0"/>
      <w:bookmarkEnd w:id="0"/>
      <w:r>
        <w:rPr>
          <w:b/>
        </w:rPr>
        <w:t>Predictive models of deep molecular response to imatinib treatment in chronic myeloid leukemia patients</w:t>
      </w:r>
    </w:p>
    <w:p w14:paraId="7A169A67" w14:textId="77777777" w:rsidR="00E32AD9" w:rsidRDefault="00E32AD9">
      <w:pPr>
        <w:jc w:val="both"/>
      </w:pPr>
    </w:p>
    <w:p w14:paraId="502E5854" w14:textId="77777777" w:rsidR="00E32AD9" w:rsidRDefault="00000000">
      <w:pPr>
        <w:jc w:val="both"/>
      </w:pPr>
      <w:r>
        <w:rPr>
          <w:b/>
        </w:rPr>
        <w:t>Running title:</w:t>
      </w:r>
      <w:r>
        <w:t xml:space="preserve"> Predictive models of deep molecular response in CML patients</w:t>
      </w:r>
    </w:p>
    <w:p w14:paraId="1CFF728C" w14:textId="77777777" w:rsidR="00E32AD9" w:rsidRDefault="00E32AD9">
      <w:pPr>
        <w:jc w:val="center"/>
        <w:rPr>
          <w:b/>
        </w:rPr>
      </w:pPr>
    </w:p>
    <w:p w14:paraId="0EDA2B25" w14:textId="77777777" w:rsidR="00E32AD9" w:rsidRDefault="00000000">
      <w:pPr>
        <w:shd w:val="clear" w:color="auto" w:fill="FFFFFF"/>
        <w:spacing w:before="240" w:after="240"/>
        <w:rPr>
          <w:color w:val="222222"/>
          <w:vertAlign w:val="superscript"/>
        </w:rPr>
      </w:pPr>
      <w:r>
        <w:rPr>
          <w:b/>
          <w:color w:val="222222"/>
        </w:rPr>
        <w:t xml:space="preserve">Authors: </w:t>
      </w:r>
      <w:r>
        <w:rPr>
          <w:color w:val="222222"/>
        </w:rPr>
        <w:t>Zahra Zad,</w:t>
      </w:r>
      <w:r>
        <w:rPr>
          <w:color w:val="222222"/>
          <w:vertAlign w:val="superscript"/>
        </w:rPr>
        <w:t>1</w:t>
      </w:r>
      <w:r>
        <w:rPr>
          <w:color w:val="222222"/>
        </w:rPr>
        <w:t xml:space="preserve"> Simone Bonecker,</w:t>
      </w:r>
      <w:r>
        <w:rPr>
          <w:color w:val="222222"/>
          <w:vertAlign w:val="superscript"/>
        </w:rPr>
        <w:t xml:space="preserve">2 </w:t>
      </w:r>
      <w:proofErr w:type="spellStart"/>
      <w:r>
        <w:rPr>
          <w:color w:val="222222"/>
        </w:rPr>
        <w:t>Taiyao</w:t>
      </w:r>
      <w:proofErr w:type="spellEnd"/>
      <w:r>
        <w:rPr>
          <w:color w:val="222222"/>
        </w:rPr>
        <w:t xml:space="preserve"> Wang,</w:t>
      </w:r>
      <w:r>
        <w:rPr>
          <w:color w:val="222222"/>
          <w:vertAlign w:val="superscript"/>
        </w:rPr>
        <w:t>1</w:t>
      </w:r>
      <w:r>
        <w:rPr>
          <w:color w:val="222222"/>
        </w:rPr>
        <w:t xml:space="preserve"> </w:t>
      </w:r>
      <w:proofErr w:type="spellStart"/>
      <w:r>
        <w:rPr>
          <w:color w:val="222222"/>
        </w:rPr>
        <w:t>Jordana</w:t>
      </w:r>
      <w:proofErr w:type="spellEnd"/>
      <w:r>
        <w:rPr>
          <w:color w:val="222222"/>
        </w:rPr>
        <w:t xml:space="preserve"> Ramires,</w:t>
      </w:r>
      <w:r>
        <w:rPr>
          <w:color w:val="222222"/>
          <w:vertAlign w:val="superscript"/>
        </w:rPr>
        <w:t>2</w:t>
      </w:r>
      <w:r>
        <w:rPr>
          <w:color w:val="222222"/>
        </w:rPr>
        <w:t xml:space="preserve"> Ilana </w:t>
      </w:r>
      <w:proofErr w:type="spellStart"/>
      <w:r>
        <w:rPr>
          <w:color w:val="222222"/>
        </w:rPr>
        <w:t>Zalcberg</w:t>
      </w:r>
      <w:proofErr w:type="spellEnd"/>
      <w:r>
        <w:rPr>
          <w:color w:val="222222"/>
        </w:rPr>
        <w:t>,</w:t>
      </w:r>
      <w:r>
        <w:rPr>
          <w:color w:val="222222"/>
          <w:vertAlign w:val="superscript"/>
        </w:rPr>
        <w:t xml:space="preserve"> 2</w:t>
      </w:r>
      <w:r>
        <w:rPr>
          <w:color w:val="222222"/>
        </w:rPr>
        <w:t xml:space="preserve"> Luciana Mayumi Gutiyama,</w:t>
      </w:r>
      <w:r>
        <w:rPr>
          <w:color w:val="222222"/>
          <w:vertAlign w:val="superscript"/>
        </w:rPr>
        <w:t>2</w:t>
      </w:r>
      <w:r>
        <w:rPr>
          <w:color w:val="222222"/>
        </w:rPr>
        <w:t xml:space="preserve"> Julia L. Fleck,</w:t>
      </w:r>
      <w:proofErr w:type="gramStart"/>
      <w:r>
        <w:rPr>
          <w:color w:val="222222"/>
          <w:vertAlign w:val="superscript"/>
        </w:rPr>
        <w:t>3</w:t>
      </w:r>
      <w:proofErr w:type="gramEnd"/>
      <w:r>
        <w:rPr>
          <w:color w:val="222222"/>
        </w:rPr>
        <w:t xml:space="preserve"> and </w:t>
      </w:r>
      <w:proofErr w:type="spellStart"/>
      <w:r>
        <w:rPr>
          <w:color w:val="222222"/>
        </w:rPr>
        <w:t>Ioannis</w:t>
      </w:r>
      <w:proofErr w:type="spellEnd"/>
      <w:r>
        <w:rPr>
          <w:color w:val="222222"/>
        </w:rPr>
        <w:t xml:space="preserve"> Ch. </w:t>
      </w:r>
      <w:proofErr w:type="spellStart"/>
      <w:r>
        <w:rPr>
          <w:color w:val="222222"/>
        </w:rPr>
        <w:t>Paschalidis</w:t>
      </w:r>
      <w:proofErr w:type="spellEnd"/>
      <w:r>
        <w:rPr>
          <w:color w:val="222222"/>
        </w:rPr>
        <w:t>, Ph.D.</w:t>
      </w:r>
      <w:r>
        <w:rPr>
          <w:color w:val="222222"/>
          <w:vertAlign w:val="superscript"/>
        </w:rPr>
        <w:t>1</w:t>
      </w:r>
      <w:r>
        <w:rPr>
          <w:color w:val="222222"/>
        </w:rPr>
        <w:t>*</w:t>
      </w:r>
    </w:p>
    <w:p w14:paraId="62B5EC74" w14:textId="77777777" w:rsidR="00E32AD9" w:rsidRDefault="00000000">
      <w:pPr>
        <w:widowControl w:val="0"/>
        <w:shd w:val="clear" w:color="auto" w:fill="FFFFFF"/>
        <w:jc w:val="both"/>
        <w:rPr>
          <w:color w:val="222222"/>
        </w:rPr>
      </w:pPr>
      <w:r>
        <w:rPr>
          <w:color w:val="222222"/>
          <w:sz w:val="40"/>
          <w:szCs w:val="40"/>
          <w:vertAlign w:val="superscript"/>
        </w:rPr>
        <w:t>1</w:t>
      </w:r>
      <w:r>
        <w:rPr>
          <w:color w:val="222222"/>
        </w:rPr>
        <w:t>Department of Electrical and Computer Engineering, Department of Biomedical Engineering, Division of Systems Engineering, and Faculty of Computing &amp; Data Sciences,</w:t>
      </w:r>
    </w:p>
    <w:p w14:paraId="783CF8F3" w14:textId="77777777" w:rsidR="00E32AD9" w:rsidRDefault="00000000">
      <w:pPr>
        <w:widowControl w:val="0"/>
        <w:shd w:val="clear" w:color="auto" w:fill="FFFFFF"/>
        <w:jc w:val="both"/>
        <w:rPr>
          <w:color w:val="222222"/>
        </w:rPr>
      </w:pPr>
      <w:r>
        <w:rPr>
          <w:color w:val="222222"/>
        </w:rPr>
        <w:t>Boston University, Boston, MA</w:t>
      </w:r>
    </w:p>
    <w:p w14:paraId="5627882C" w14:textId="77777777" w:rsidR="00E32AD9" w:rsidRDefault="00E32AD9">
      <w:pPr>
        <w:widowControl w:val="0"/>
        <w:shd w:val="clear" w:color="auto" w:fill="FFFFFF"/>
        <w:jc w:val="both"/>
        <w:rPr>
          <w:color w:val="222222"/>
        </w:rPr>
      </w:pPr>
    </w:p>
    <w:p w14:paraId="459FF09A" w14:textId="77777777" w:rsidR="00E32AD9" w:rsidRDefault="00000000">
      <w:pPr>
        <w:shd w:val="clear" w:color="auto" w:fill="FFFFFF"/>
        <w:jc w:val="both"/>
      </w:pPr>
      <w:r>
        <w:rPr>
          <w:sz w:val="40"/>
          <w:szCs w:val="40"/>
          <w:vertAlign w:val="superscript"/>
        </w:rPr>
        <w:t>2</w:t>
      </w:r>
      <w:r>
        <w:rPr>
          <w:color w:val="202124"/>
          <w:highlight w:val="white"/>
        </w:rPr>
        <w:t xml:space="preserve"> Brazilian National Cancer Institute </w:t>
      </w:r>
      <w:r>
        <w:t xml:space="preserve">(INCA), Rio de Janeiro, Brazil. </w:t>
      </w:r>
    </w:p>
    <w:p w14:paraId="23DE1E03" w14:textId="77777777" w:rsidR="00E32AD9" w:rsidRDefault="00E32AD9">
      <w:pPr>
        <w:shd w:val="clear" w:color="auto" w:fill="FFFFFF"/>
        <w:jc w:val="both"/>
      </w:pPr>
    </w:p>
    <w:p w14:paraId="1B32194E" w14:textId="77777777" w:rsidR="00E32AD9" w:rsidRDefault="00000000">
      <w:pPr>
        <w:shd w:val="clear" w:color="auto" w:fill="FFFFFF"/>
        <w:jc w:val="both"/>
      </w:pPr>
      <w:r>
        <w:rPr>
          <w:sz w:val="40"/>
          <w:szCs w:val="40"/>
          <w:vertAlign w:val="superscript"/>
        </w:rPr>
        <w:t>3</w:t>
      </w:r>
      <w:r>
        <w:t>Mines Saint-Etienne, Univ Clermont Auvergne, CNRS, UMR 6158 LIMOS, Centre CIS, F – 42023 Saint-Etienne, France</w:t>
      </w:r>
      <w:r>
        <w:rPr>
          <w:color w:val="202124"/>
        </w:rPr>
        <w:t>.</w:t>
      </w:r>
    </w:p>
    <w:p w14:paraId="6C01925C" w14:textId="77777777" w:rsidR="00E32AD9" w:rsidRDefault="00E32AD9">
      <w:pPr>
        <w:rPr>
          <w:b/>
        </w:rPr>
      </w:pPr>
    </w:p>
    <w:p w14:paraId="1358C923" w14:textId="77777777" w:rsidR="00E32AD9" w:rsidRDefault="00000000">
      <w:pPr>
        <w:rPr>
          <w:b/>
        </w:rPr>
      </w:pPr>
      <w:r>
        <w:rPr>
          <w:b/>
        </w:rPr>
        <w:t>*Corresponding author:</w:t>
      </w:r>
    </w:p>
    <w:p w14:paraId="502904FA" w14:textId="77777777" w:rsidR="00E32AD9" w:rsidRDefault="00000000">
      <w:pPr>
        <w:widowControl w:val="0"/>
        <w:shd w:val="clear" w:color="auto" w:fill="FFFFFF"/>
        <w:rPr>
          <w:color w:val="222222"/>
        </w:rPr>
      </w:pPr>
      <w:proofErr w:type="spellStart"/>
      <w:r>
        <w:t>Ioannis</w:t>
      </w:r>
      <w:proofErr w:type="spellEnd"/>
      <w:r>
        <w:t xml:space="preserve"> Ch. </w:t>
      </w:r>
      <w:proofErr w:type="spellStart"/>
      <w:r>
        <w:t>Paschalidis</w:t>
      </w:r>
      <w:proofErr w:type="spellEnd"/>
      <w:r>
        <w:t xml:space="preserve">, Department of Electrical and Computer Engineering, Division of Systems Engineering, </w:t>
      </w:r>
      <w:r>
        <w:rPr>
          <w:color w:val="222222"/>
        </w:rPr>
        <w:t xml:space="preserve">Department of Biomedical Engineering, and Faculty of Computing &amp; Data Sciences, </w:t>
      </w:r>
      <w:r>
        <w:t>Boston University, 8 Saint Mary’s St., Boston 02215, MA, USA.</w:t>
      </w:r>
    </w:p>
    <w:p w14:paraId="50B0CCAD" w14:textId="77777777" w:rsidR="00E32AD9" w:rsidRDefault="00000000">
      <w:r>
        <w:t xml:space="preserve">Email: </w:t>
      </w:r>
      <w:hyperlink r:id="rId7">
        <w:r>
          <w:rPr>
            <w:color w:val="0000FF"/>
            <w:u w:val="single"/>
          </w:rPr>
          <w:t>yannisp@bu.edu</w:t>
        </w:r>
      </w:hyperlink>
    </w:p>
    <w:p w14:paraId="29A8EB3B" w14:textId="77777777" w:rsidR="00E32AD9" w:rsidRDefault="00000000">
      <w:pPr>
        <w:widowControl w:val="0"/>
        <w:shd w:val="clear" w:color="auto" w:fill="FFFFFF"/>
        <w:rPr>
          <w:color w:val="222222"/>
        </w:rPr>
      </w:pPr>
      <w:r>
        <w:rPr>
          <w:color w:val="222222"/>
        </w:rPr>
        <w:t>Tel: 617-353-0434</w:t>
      </w:r>
    </w:p>
    <w:p w14:paraId="5054FCDE" w14:textId="77777777" w:rsidR="00E32AD9" w:rsidRDefault="00E32AD9">
      <w:pPr>
        <w:jc w:val="both"/>
      </w:pPr>
    </w:p>
    <w:p w14:paraId="6775A098" w14:textId="77777777" w:rsidR="00E32AD9" w:rsidRDefault="00000000">
      <w:pPr>
        <w:jc w:val="both"/>
      </w:pPr>
      <w:r>
        <w:rPr>
          <w:b/>
        </w:rPr>
        <w:t>Keywords:</w:t>
      </w:r>
      <w:r>
        <w:t xml:space="preserve"> Chronic Myeloid Leukemia (CML), BCR-ABL1, imatinib (IM), Deep Molecular Response (DMR), treatment-free remission (TFR)</w:t>
      </w:r>
    </w:p>
    <w:p w14:paraId="269EE028" w14:textId="77777777" w:rsidR="00E32AD9" w:rsidRDefault="00E32AD9">
      <w:pPr>
        <w:jc w:val="both"/>
      </w:pPr>
    </w:p>
    <w:p w14:paraId="380A1874" w14:textId="77777777" w:rsidR="00E32AD9" w:rsidRDefault="00000000">
      <w:pPr>
        <w:jc w:val="both"/>
        <w:rPr>
          <w:sz w:val="24"/>
          <w:szCs w:val="24"/>
        </w:rPr>
      </w:pPr>
      <w:r>
        <w:rPr>
          <w:b/>
          <w:sz w:val="24"/>
          <w:szCs w:val="24"/>
        </w:rPr>
        <w:t xml:space="preserve">Authorship statement: </w:t>
      </w:r>
      <w:r>
        <w:rPr>
          <w:sz w:val="24"/>
          <w:szCs w:val="24"/>
        </w:rPr>
        <w:t xml:space="preserve">Z.Z. performed the analysis, compiled the results, and wrote the manuscript. T.W. contributed to the analysis and commented on the manuscript. S.B. and L.M.G. provided access to the data, helped interpreting the data, provided medical insight, and commented on the manuscript. J.R. and I.Z. added to the discussion and provided medical insight. J.L.F. and I.C.P. co-led the study and co-edited the manuscript.  </w:t>
      </w:r>
    </w:p>
    <w:p w14:paraId="7658DD46" w14:textId="77777777" w:rsidR="00E32AD9" w:rsidRDefault="00E32AD9">
      <w:pPr>
        <w:rPr>
          <w:b/>
          <w:sz w:val="24"/>
          <w:szCs w:val="24"/>
        </w:rPr>
      </w:pPr>
    </w:p>
    <w:p w14:paraId="4A2DBD0A" w14:textId="77777777" w:rsidR="00E32AD9" w:rsidRDefault="00000000">
      <w:pPr>
        <w:rPr>
          <w:sz w:val="24"/>
          <w:szCs w:val="24"/>
        </w:rPr>
      </w:pPr>
      <w:r>
        <w:rPr>
          <w:b/>
          <w:sz w:val="24"/>
          <w:szCs w:val="24"/>
        </w:rPr>
        <w:t>Conflict of interest:</w:t>
      </w:r>
      <w:r>
        <w:rPr>
          <w:sz w:val="24"/>
          <w:szCs w:val="24"/>
        </w:rPr>
        <w:t xml:space="preserve"> The authors report no conflicts of interest.</w:t>
      </w:r>
    </w:p>
    <w:p w14:paraId="57BA1727" w14:textId="77777777" w:rsidR="00E32AD9" w:rsidRDefault="00E32AD9"/>
    <w:p w14:paraId="191709F0" w14:textId="77777777" w:rsidR="00E32AD9" w:rsidRDefault="00000000">
      <w:pPr>
        <w:rPr>
          <w:sz w:val="24"/>
          <w:szCs w:val="24"/>
        </w:rPr>
      </w:pPr>
      <w:r>
        <w:rPr>
          <w:sz w:val="24"/>
          <w:szCs w:val="24"/>
        </w:rPr>
        <w:t>Word count: 1,180. Figures: 1. Tables: 2. Supplementary tables: 1. References: 19.</w:t>
      </w:r>
    </w:p>
    <w:p w14:paraId="23E4FCB4" w14:textId="77777777" w:rsidR="00E32AD9" w:rsidRDefault="00000000">
      <w:pPr>
        <w:rPr>
          <w:b/>
          <w:sz w:val="24"/>
          <w:szCs w:val="24"/>
        </w:rPr>
      </w:pPr>
      <w:r>
        <w:br w:type="page"/>
      </w:r>
    </w:p>
    <w:p w14:paraId="22BF47EE" w14:textId="77777777" w:rsidR="00E32AD9" w:rsidRDefault="00000000">
      <w:pPr>
        <w:spacing w:line="480" w:lineRule="auto"/>
        <w:jc w:val="both"/>
        <w:rPr>
          <w:sz w:val="24"/>
          <w:szCs w:val="24"/>
        </w:rPr>
      </w:pPr>
      <w:r>
        <w:rPr>
          <w:sz w:val="24"/>
          <w:szCs w:val="24"/>
        </w:rPr>
        <w:lastRenderedPageBreak/>
        <w:t>To the editor:</w:t>
      </w:r>
    </w:p>
    <w:p w14:paraId="1F373454" w14:textId="77777777" w:rsidR="00E32AD9" w:rsidRDefault="00E32AD9">
      <w:pPr>
        <w:spacing w:line="480" w:lineRule="auto"/>
        <w:jc w:val="both"/>
        <w:rPr>
          <w:sz w:val="24"/>
          <w:szCs w:val="24"/>
        </w:rPr>
      </w:pPr>
    </w:p>
    <w:p w14:paraId="23DF3D34" w14:textId="77777777" w:rsidR="00E32AD9" w:rsidRDefault="00000000">
      <w:pPr>
        <w:spacing w:line="480" w:lineRule="auto"/>
        <w:jc w:val="both"/>
      </w:pPr>
      <w:r>
        <w:rPr>
          <w:sz w:val="24"/>
          <w:szCs w:val="24"/>
        </w:rPr>
        <w:t>Chronic Myeloid Leukemia (CML) is a myeloproliferative disease leading to a significant accumulation of circulating leukemic cells.</w:t>
      </w:r>
      <w:r>
        <w:rPr>
          <w:sz w:val="24"/>
          <w:szCs w:val="24"/>
          <w:vertAlign w:val="superscript"/>
        </w:rPr>
        <w:t>1</w:t>
      </w:r>
      <w:r>
        <w:rPr>
          <w:sz w:val="24"/>
          <w:szCs w:val="24"/>
        </w:rPr>
        <w:t xml:space="preserve"> These cells are characterized by the presence of the Philadelphia chromosome (Ph),</w:t>
      </w:r>
      <w:r>
        <w:t xml:space="preserve"> resultant of translocation </w:t>
      </w:r>
      <w:proofErr w:type="gramStart"/>
      <w:r>
        <w:t>t(</w:t>
      </w:r>
      <w:proofErr w:type="gramEnd"/>
      <w:r>
        <w:t>9;22).</w:t>
      </w:r>
      <w:r>
        <w:rPr>
          <w:vertAlign w:val="superscript"/>
        </w:rPr>
        <w:t>2</w:t>
      </w:r>
      <w:r>
        <w:t xml:space="preserve"> This translocation gives rise to the fusion gene BCR-ABL1</w:t>
      </w:r>
      <w:r>
        <w:rPr>
          <w:vertAlign w:val="superscript"/>
        </w:rPr>
        <w:t>3-7</w:t>
      </w:r>
    </w:p>
    <w:p w14:paraId="463BC0B1" w14:textId="77777777" w:rsidR="00E32AD9" w:rsidRDefault="00000000">
      <w:pPr>
        <w:spacing w:line="480" w:lineRule="auto"/>
        <w:jc w:val="both"/>
      </w:pPr>
      <w:r>
        <w:t>Estimates put CML to comprise about 15% of all leukemia cases. It is expected that about 1 person for every 526 in the U.S. will suffer from CML during their lifetime.</w:t>
      </w:r>
      <w:r>
        <w:rPr>
          <w:vertAlign w:val="superscript"/>
        </w:rPr>
        <w:t>8</w:t>
      </w:r>
      <w:r>
        <w:t xml:space="preserve"> In 2022, about 9,000 new CML cases are expected in the U.S. (at a rate of 2.7 per 100,000 inhabitants) and about 1200 deaths.</w:t>
      </w:r>
      <w:r>
        <w:rPr>
          <w:vertAlign w:val="superscript"/>
        </w:rPr>
        <w:t>8</w:t>
      </w:r>
      <w:r>
        <w:t xml:space="preserve"> In Brazil, where our data originated, the incidence rate has been estimated to be about 1.5 per 100,000 inhabitants.</w:t>
      </w:r>
      <w:r>
        <w:rPr>
          <w:vertAlign w:val="superscript"/>
        </w:rPr>
        <w:t>9</w:t>
      </w:r>
      <w:r>
        <w:t xml:space="preserve">  </w:t>
      </w:r>
    </w:p>
    <w:p w14:paraId="7D5C271B" w14:textId="77777777" w:rsidR="00E32AD9" w:rsidRDefault="00000000">
      <w:pPr>
        <w:spacing w:line="480" w:lineRule="auto"/>
        <w:jc w:val="both"/>
      </w:pPr>
      <w:r>
        <w:t>The actionable gene fusion led to the development of specific and effective tyrosine kinase inhibitors (TKI), used until today, after more than 20 years.</w:t>
      </w:r>
      <w:r>
        <w:rPr>
          <w:vertAlign w:val="superscript"/>
        </w:rPr>
        <w:t>10</w:t>
      </w:r>
      <w:r>
        <w:t xml:space="preserve"> TKI therapy has profoundly changed the CML landscape since leukemia is not the major cause of death among Ph</w:t>
      </w:r>
      <w:r>
        <w:rPr>
          <w:vertAlign w:val="superscript"/>
        </w:rPr>
        <w:t>+</w:t>
      </w:r>
      <w:r>
        <w:t xml:space="preserve"> patients.</w:t>
      </w:r>
      <w:r>
        <w:rPr>
          <w:vertAlign w:val="superscript"/>
        </w:rPr>
        <w:t>11</w:t>
      </w:r>
      <w:r>
        <w:t xml:space="preserve"> The new perspective that has emerged considers a patient's optimal long-term management which seeks to reach and maintain a stable Deep Molecular Response (DMR) and discontinue medication when achieving Treatment-Free Remission (TFR).</w:t>
      </w:r>
      <w:r>
        <w:rPr>
          <w:vertAlign w:val="superscript"/>
        </w:rPr>
        <w:t>12</w:t>
      </w:r>
    </w:p>
    <w:p w14:paraId="53552AB9" w14:textId="77777777" w:rsidR="00E32AD9" w:rsidRDefault="00000000">
      <w:pPr>
        <w:spacing w:line="480" w:lineRule="auto"/>
        <w:jc w:val="both"/>
      </w:pPr>
      <w:r>
        <w:t xml:space="preserve">Monitoring the response to TKI treatment is carried out by quantitative polymerase chain reaction (qPCR) at determined timepoints, as recommended by the European Leukemia Net (ELN). Changing TKI must be considered if molecular milestones are not </w:t>
      </w:r>
      <w:proofErr w:type="gramStart"/>
      <w:r>
        <w:t>reached</w:t>
      </w:r>
      <w:proofErr w:type="gramEnd"/>
      <w:r>
        <w:t xml:space="preserve"> or the patient presents some clinical intolerance to treatment.</w:t>
      </w:r>
      <w:r>
        <w:rPr>
          <w:vertAlign w:val="superscript"/>
        </w:rPr>
        <w:t>13</w:t>
      </w:r>
    </w:p>
    <w:p w14:paraId="0554D50D" w14:textId="77777777" w:rsidR="00E32AD9" w:rsidRDefault="00000000">
      <w:pPr>
        <w:spacing w:line="480" w:lineRule="auto"/>
        <w:jc w:val="both"/>
      </w:pPr>
      <w:sdt>
        <w:sdtPr>
          <w:tag w:val="goog_rdk_0"/>
          <w:id w:val="-2056072790"/>
        </w:sdtPr>
        <w:sdtContent>
          <w:r>
            <w:rPr>
              <w:rFonts w:ascii="Arial Unicode MS" w:eastAsia="Arial Unicode MS" w:hAnsi="Arial Unicode MS" w:cs="Arial Unicode MS"/>
            </w:rPr>
            <w:t>Molecular response (MR) is reported according to the International Scale (IS) as the ratio of BCR-ABL1 transcripts to ABL1 transcripts, as BCR-ABL1 % on a log scale. Major Molecular Response (MMR) has been defined as achieving MR3.0 or greater and DMR by the more stringent criteria of ≥MR4.0, which means BCR-ABL1&lt;0.01%.</w:t>
          </w:r>
        </w:sdtContent>
      </w:sdt>
      <w:r>
        <w:rPr>
          <w:vertAlign w:val="superscript"/>
        </w:rPr>
        <w:t>14</w:t>
      </w:r>
    </w:p>
    <w:p w14:paraId="227DFF09" w14:textId="77777777" w:rsidR="00E32AD9" w:rsidRDefault="00000000">
      <w:pPr>
        <w:spacing w:line="480" w:lineRule="auto"/>
        <w:jc w:val="both"/>
      </w:pPr>
      <w:r>
        <w:lastRenderedPageBreak/>
        <w:t>Patients with a stable DMR are considered for discontinuing further treatment. TFR can be considered the new goal of CML management. The current most relevant issues for CML are to increase the number of patients eligible for TFR and to decrease the rate of patients who progress to the stage of blast crisis.</w:t>
      </w:r>
      <w:r>
        <w:rPr>
          <w:vertAlign w:val="superscript"/>
        </w:rPr>
        <w:t>15</w:t>
      </w:r>
      <w:r>
        <w:t xml:space="preserve"> With this motivation, in this study we sought to provide an earlier and better recognition of patients more likely to achieve DMR by developing predictive models that classify patients into those who achieve DMR and those who do not. Such models have the potential to identify a patient with a low likelihood of reaching DMR at ELN milestones, thus improving the management of refractory disease by increasing the therapeutic window for changing TKI treatment or by an earlier indication of hematopoietic stem cell transplantation before patients progress to blast crisis.</w:t>
      </w:r>
    </w:p>
    <w:p w14:paraId="56ADAF4B" w14:textId="77777777" w:rsidR="00E32AD9" w:rsidRDefault="00000000">
      <w:pPr>
        <w:spacing w:line="480" w:lineRule="auto"/>
        <w:jc w:val="both"/>
      </w:pPr>
      <w:r>
        <w:t>Since there is significant heterogeneity in CML outcomes, models for predicting resistance, risk of progression, or sustained molecular response after therapy, are limited. This study developed predictive models of achieving DMR for CML patients treated with imatinib. We used the patients’ clinical data and BCR-ABL1</w:t>
      </w:r>
      <w:r>
        <w:rPr>
          <w:vertAlign w:val="superscript"/>
        </w:rPr>
        <w:t>IS</w:t>
      </w:r>
      <w:r>
        <w:t xml:space="preserve"> quantification in the early stages of treatment to predict whether they achieve DMR at later treatment stages. W</w:t>
      </w:r>
      <w:r>
        <w:rPr>
          <w:highlight w:val="white"/>
        </w:rPr>
        <w:t xml:space="preserve">e also sought to inform drug discontinuation decisions by predicting the achievement of long-term DMR, namely, reaching DMR at 24 months from treatment initiation and maintaining this status until 60 months. </w:t>
      </w:r>
      <w:r>
        <w:t xml:space="preserve">The proposed models include linear and non-linear classification methods and were developed based on a dataset of 144 CML patients from the Brazilian National Cancer Institute (INCA). </w:t>
      </w:r>
    </w:p>
    <w:p w14:paraId="602AC4D5" w14:textId="77777777" w:rsidR="00E32AD9" w:rsidRDefault="00000000">
      <w:pPr>
        <w:spacing w:line="480" w:lineRule="auto"/>
        <w:jc w:val="both"/>
      </w:pPr>
      <w:r>
        <w:t>We compared results from L2 and L1-penalized logistic regression (L2LR and L1LR, respectively), with the two SVM variants, the Random Forest (RF), the Gradient Boosted Trees (</w:t>
      </w:r>
      <w:proofErr w:type="spellStart"/>
      <w:r>
        <w:t>LightGBM</w:t>
      </w:r>
      <w:proofErr w:type="spellEnd"/>
      <w:r>
        <w:t xml:space="preserve">), and the feed forward Multilayer Perceptron Neural Networks (MLP) (Table 1). Table 1 shows the mean and standard deviation of AUC and weighted-F1 score on the test set over the twenty repetitions using all variables selected by statistical feature selection and recursive feature elimination (parsimonious models). </w:t>
      </w:r>
    </w:p>
    <w:p w14:paraId="63CE117E" w14:textId="77777777" w:rsidR="00E32AD9" w:rsidRDefault="00E32AD9">
      <w:pPr>
        <w:spacing w:line="480" w:lineRule="auto"/>
        <w:jc w:val="both"/>
      </w:pPr>
    </w:p>
    <w:p w14:paraId="7382011C" w14:textId="77777777" w:rsidR="00E32AD9" w:rsidRDefault="00000000">
      <w:pPr>
        <w:spacing w:line="480" w:lineRule="auto"/>
        <w:jc w:val="both"/>
      </w:pPr>
      <w:r>
        <w:lastRenderedPageBreak/>
        <w:t xml:space="preserve">The median of the patient’s recorded BCR-ABL1 ratios and white blood cell count at diagnosis (time 0) are among the most important predictive variables. In model_6_18, the achievement of MMR is an important predictor. The AUC of the best parsimonious models is 86.1% for model_6_18, 85.4% for model_3_18, 89.7% for model_6_12, and 86.2% for model_long_12. Figure 1 shows </w:t>
      </w:r>
      <w:r>
        <w:rPr>
          <w:color w:val="222222"/>
          <w:highlight w:val="white"/>
        </w:rPr>
        <w:t xml:space="preserve">the evolution of the best AUC we can achieve with our models. </w:t>
      </w:r>
    </w:p>
    <w:p w14:paraId="5D71966A" w14:textId="77777777" w:rsidR="00E32AD9" w:rsidRDefault="00000000">
      <w:pPr>
        <w:spacing w:line="480" w:lineRule="auto"/>
        <w:jc w:val="both"/>
      </w:pPr>
      <w:r>
        <w:t xml:space="preserve">The best AUCs achieved by the three models are between 85% and 89%, using only two variables. This suggests moderate to strong predictive power for DMR shorter term (the first three models) but also longer-term (model_long_12), informing physicians on how to optimize treatment but also recommending discontinuing treatment upon achieving TFR.  </w:t>
      </w:r>
    </w:p>
    <w:p w14:paraId="69A45B77" w14:textId="77777777" w:rsidR="00E32AD9" w:rsidRDefault="00000000">
      <w:pPr>
        <w:spacing w:line="480" w:lineRule="auto"/>
        <w:jc w:val="both"/>
      </w:pPr>
      <w:r>
        <w:t xml:space="preserve">The most important predictive variables </w:t>
      </w:r>
      <w:proofErr w:type="gramStart"/>
      <w:r>
        <w:t>are:</w:t>
      </w:r>
      <w:proofErr w:type="gramEnd"/>
      <w:r>
        <w:t xml:space="preserve"> the median of the patient’s recorded BCR-ABL1 ratios, the white blood cell count at the time of diagnosis, and the achievement of MMR in the three month interval starting at 3 months after IM treatment initiation and extending to 6 months (Table 2). The first two variables have negative coefficients, implying that larger values of these variables lead to a smaller probability of achieving DMR, which </w:t>
      </w:r>
      <w:proofErr w:type="gramStart"/>
      <w:r>
        <w:t>is in agreement</w:t>
      </w:r>
      <w:proofErr w:type="gramEnd"/>
      <w:r>
        <w:t xml:space="preserve"> with medical intuition and the literature. </w:t>
      </w:r>
      <w:proofErr w:type="gramStart"/>
      <w:r>
        <w:t>In particular, it</w:t>
      </w:r>
      <w:proofErr w:type="gramEnd"/>
      <w:r>
        <w:t xml:space="preserve"> is well known that higher values of the BCR-ABL1 ratio and white blood cell count at diagnosis indicates poor prognosis and thus, the achievement of DMR is less likely.</w:t>
      </w:r>
      <w:r>
        <w:rPr>
          <w:vertAlign w:val="superscript"/>
        </w:rPr>
        <w:t>8</w:t>
      </w:r>
      <w:r>
        <w:t xml:space="preserve"> The third variable, the achievement of MMR in the [3,6] month interval, has a positive coefficient and implies an increased likelihood of achieving DMR at 18 months. For example, in model_6_18 we have that 59% of patients with recorded BCR-ABL1 &lt; 0.01 at 3 to 6 months after start of IM achieve DMR in 18 months. </w:t>
      </w:r>
    </w:p>
    <w:p w14:paraId="6155C0D7" w14:textId="77777777" w:rsidR="00E32AD9" w:rsidRDefault="00000000">
      <w:pPr>
        <w:spacing w:line="480" w:lineRule="auto"/>
        <w:jc w:val="both"/>
      </w:pPr>
      <w:r>
        <w:t xml:space="preserve">Nevertheless, our results </w:t>
      </w:r>
      <w:proofErr w:type="gramStart"/>
      <w:r>
        <w:t>are in agreement</w:t>
      </w:r>
      <w:proofErr w:type="gramEnd"/>
      <w:r>
        <w:t xml:space="preserve"> with recent data which indicates that patients with an early molecular response have a higher probability of achieving DMR</w:t>
      </w:r>
      <w:r>
        <w:rPr>
          <w:vertAlign w:val="superscript"/>
        </w:rPr>
        <w:t>16</w:t>
      </w:r>
      <w:r>
        <w:t>, since those patients will have smaller BCR-ABL1 median and will achieve MMR before 6 months of treatment.</w:t>
      </w:r>
    </w:p>
    <w:p w14:paraId="31D3E56D" w14:textId="77777777" w:rsidR="00E32AD9" w:rsidRDefault="00000000">
      <w:pPr>
        <w:spacing w:line="480" w:lineRule="auto"/>
        <w:jc w:val="both"/>
      </w:pPr>
      <w:r>
        <w:t xml:space="preserve">Stopping TKI treatment is a safe option which especially benefits patients with comorbidities and the young, providing a higher quality of life and reducing costs. At present, monthly BCR-ABL1 transcript level monitoring is recommended during the first 12 months after stopping TKI to detect </w:t>
      </w:r>
      <w:r>
        <w:lastRenderedPageBreak/>
        <w:t>early loss of MMR.</w:t>
      </w:r>
      <w:r>
        <w:rPr>
          <w:vertAlign w:val="superscript"/>
        </w:rPr>
        <w:t>17-19</w:t>
      </w:r>
      <w:r>
        <w:t xml:space="preserve"> To our knowledge, this is the first study to model DMR using data from a Brazilian cohort of CML patients. Results shown here reveal that the probability of reaching DMR can be predicted with high accuracy. The models can inform decisions to discontinue TKI for patients with no side effects. </w:t>
      </w:r>
    </w:p>
    <w:p w14:paraId="291560F7" w14:textId="77777777" w:rsidR="00E32AD9" w:rsidRDefault="00000000">
      <w:pPr>
        <w:spacing w:line="480" w:lineRule="auto"/>
        <w:jc w:val="both"/>
      </w:pPr>
      <w:r>
        <w:rPr>
          <w:color w:val="222222"/>
          <w:highlight w:val="white"/>
        </w:rPr>
        <w:t xml:space="preserve">Before publication, we will make available on-line modules implementing the models for anyone to use. De-identified data from the </w:t>
      </w:r>
      <w:r>
        <w:t xml:space="preserve">CML patients at the </w:t>
      </w:r>
      <w:r>
        <w:rPr>
          <w:color w:val="202124"/>
          <w:highlight w:val="white"/>
        </w:rPr>
        <w:t xml:space="preserve">Brazilian National Cancer Institute </w:t>
      </w:r>
      <w:r>
        <w:t xml:space="preserve">(INCA) can be made available to individual researchers upon a reasonable request to the authors. </w:t>
      </w:r>
    </w:p>
    <w:p w14:paraId="34359975" w14:textId="77777777" w:rsidR="00E32AD9" w:rsidRDefault="00000000">
      <w:pPr>
        <w:spacing w:line="480" w:lineRule="auto"/>
        <w:jc w:val="both"/>
      </w:pPr>
      <w:r>
        <w:t xml:space="preserve">This work was supported in part by the National Science Foundation grants CCF-2200052, IIS-1914792, and DMS-1664644, by the Office of Naval Research grant N00014-19-1-2571, by the National Institutes of Health grant R01 GM135930, and by the Boston University Clinical and Translational Science Award (CTSA) under NIH/NCATS grant UL54 TR004130. </w:t>
      </w:r>
    </w:p>
    <w:p w14:paraId="074CDA0D" w14:textId="77777777" w:rsidR="00E32AD9" w:rsidRDefault="00E32AD9">
      <w:pPr>
        <w:spacing w:line="480" w:lineRule="auto"/>
        <w:jc w:val="both"/>
      </w:pPr>
    </w:p>
    <w:p w14:paraId="2A55CF35" w14:textId="77777777" w:rsidR="00E32AD9" w:rsidRDefault="00000000">
      <w:pPr>
        <w:spacing w:line="480" w:lineRule="auto"/>
        <w:jc w:val="both"/>
        <w:rPr>
          <w:b/>
          <w:sz w:val="24"/>
          <w:szCs w:val="24"/>
        </w:rPr>
      </w:pPr>
      <w:r>
        <w:rPr>
          <w:b/>
          <w:sz w:val="24"/>
          <w:szCs w:val="24"/>
        </w:rPr>
        <w:t>Tables</w:t>
      </w:r>
    </w:p>
    <w:p w14:paraId="38FAFDB8" w14:textId="77777777" w:rsidR="00E32AD9" w:rsidRDefault="00000000">
      <w:pPr>
        <w:jc w:val="center"/>
        <w:rPr>
          <w:i/>
          <w:color w:val="434343"/>
          <w:sz w:val="18"/>
          <w:szCs w:val="18"/>
        </w:rPr>
      </w:pPr>
      <w:r>
        <w:rPr>
          <w:i/>
          <w:color w:val="1F497D"/>
          <w:sz w:val="18"/>
          <w:szCs w:val="18"/>
        </w:rPr>
        <w:t>Table 1</w:t>
      </w:r>
      <w:r>
        <w:rPr>
          <w:sz w:val="20"/>
          <w:szCs w:val="20"/>
        </w:rPr>
        <w:t xml:space="preserve">. </w:t>
      </w:r>
      <w:r>
        <w:rPr>
          <w:i/>
          <w:color w:val="434343"/>
          <w:sz w:val="18"/>
          <w:szCs w:val="18"/>
        </w:rPr>
        <w:t xml:space="preserve">Test set performance of the parsimonious models using LR, SVM, RF, MLP, and </w:t>
      </w:r>
      <w:proofErr w:type="spellStart"/>
      <w:r>
        <w:rPr>
          <w:i/>
          <w:color w:val="434343"/>
          <w:sz w:val="18"/>
          <w:szCs w:val="18"/>
        </w:rPr>
        <w:t>LightGBM</w:t>
      </w:r>
      <w:proofErr w:type="spellEnd"/>
      <w:r>
        <w:rPr>
          <w:i/>
          <w:color w:val="434343"/>
          <w:sz w:val="18"/>
          <w:szCs w:val="18"/>
        </w:rPr>
        <w:t xml:space="preserve">. </w:t>
      </w:r>
    </w:p>
    <w:p w14:paraId="0FE4510A" w14:textId="77777777" w:rsidR="00E32AD9" w:rsidRDefault="00E32AD9">
      <w:pPr>
        <w:jc w:val="both"/>
        <w:rPr>
          <w:i/>
          <w:color w:val="434343"/>
          <w:sz w:val="18"/>
          <w:szCs w:val="18"/>
        </w:rPr>
      </w:pPr>
    </w:p>
    <w:tbl>
      <w:tblPr>
        <w:tblStyle w:val="a3"/>
        <w:tblW w:w="10530" w:type="dxa"/>
        <w:jc w:val="center"/>
        <w:tblBorders>
          <w:top w:val="nil"/>
          <w:left w:val="nil"/>
          <w:bottom w:val="nil"/>
          <w:right w:val="nil"/>
          <w:insideH w:val="nil"/>
          <w:insideV w:val="nil"/>
        </w:tblBorders>
        <w:tblLayout w:type="fixed"/>
        <w:tblLook w:val="0600" w:firstRow="0" w:lastRow="0" w:firstColumn="0" w:lastColumn="0" w:noHBand="1" w:noVBand="1"/>
      </w:tblPr>
      <w:tblGrid>
        <w:gridCol w:w="720"/>
        <w:gridCol w:w="712"/>
        <w:gridCol w:w="630"/>
        <w:gridCol w:w="630"/>
        <w:gridCol w:w="540"/>
        <w:gridCol w:w="630"/>
        <w:gridCol w:w="630"/>
        <w:gridCol w:w="638"/>
        <w:gridCol w:w="540"/>
        <w:gridCol w:w="630"/>
        <w:gridCol w:w="612"/>
        <w:gridCol w:w="648"/>
        <w:gridCol w:w="540"/>
        <w:gridCol w:w="630"/>
        <w:gridCol w:w="630"/>
        <w:gridCol w:w="630"/>
        <w:gridCol w:w="540"/>
      </w:tblGrid>
      <w:tr w:rsidR="00E32AD9" w14:paraId="67A20CC2" w14:textId="77777777">
        <w:trPr>
          <w:trHeight w:val="315"/>
          <w:jc w:val="center"/>
        </w:trPr>
        <w:tc>
          <w:tcPr>
            <w:tcW w:w="7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505B444" w14:textId="77777777" w:rsidR="00E32AD9" w:rsidRDefault="00E32AD9">
            <w:pPr>
              <w:widowControl w:val="0"/>
              <w:rPr>
                <w:color w:val="434343"/>
                <w:sz w:val="18"/>
                <w:szCs w:val="18"/>
              </w:rPr>
            </w:pPr>
          </w:p>
        </w:tc>
        <w:tc>
          <w:tcPr>
            <w:tcW w:w="2512" w:type="dxa"/>
            <w:gridSpan w:val="4"/>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6E1610F" w14:textId="77777777" w:rsidR="00E32AD9" w:rsidRDefault="00000000">
            <w:pPr>
              <w:widowControl w:val="0"/>
              <w:rPr>
                <w:color w:val="434343"/>
                <w:sz w:val="18"/>
                <w:szCs w:val="18"/>
              </w:rPr>
            </w:pPr>
            <w:r>
              <w:rPr>
                <w:color w:val="434343"/>
                <w:sz w:val="18"/>
                <w:szCs w:val="18"/>
              </w:rPr>
              <w:t>model_6_18</w:t>
            </w:r>
          </w:p>
        </w:tc>
        <w:tc>
          <w:tcPr>
            <w:tcW w:w="2438" w:type="dxa"/>
            <w:gridSpan w:val="4"/>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F553373" w14:textId="77777777" w:rsidR="00E32AD9" w:rsidRDefault="00000000">
            <w:pPr>
              <w:widowControl w:val="0"/>
              <w:rPr>
                <w:color w:val="434343"/>
                <w:sz w:val="18"/>
                <w:szCs w:val="18"/>
              </w:rPr>
            </w:pPr>
            <w:r>
              <w:rPr>
                <w:color w:val="434343"/>
                <w:sz w:val="18"/>
                <w:szCs w:val="18"/>
              </w:rPr>
              <w:t>model_3_18</w:t>
            </w:r>
          </w:p>
        </w:tc>
        <w:tc>
          <w:tcPr>
            <w:tcW w:w="2430" w:type="dxa"/>
            <w:gridSpan w:val="4"/>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2A382B1" w14:textId="77777777" w:rsidR="00E32AD9" w:rsidRDefault="00000000">
            <w:pPr>
              <w:widowControl w:val="0"/>
              <w:rPr>
                <w:color w:val="434343"/>
                <w:sz w:val="18"/>
                <w:szCs w:val="18"/>
              </w:rPr>
            </w:pPr>
            <w:r>
              <w:rPr>
                <w:color w:val="434343"/>
                <w:sz w:val="18"/>
                <w:szCs w:val="18"/>
              </w:rPr>
              <w:t>model_6_12</w:t>
            </w:r>
          </w:p>
        </w:tc>
        <w:tc>
          <w:tcPr>
            <w:tcW w:w="2430" w:type="dxa"/>
            <w:gridSpan w:val="4"/>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D997D1" w14:textId="77777777" w:rsidR="00E32AD9" w:rsidRDefault="00000000">
            <w:pPr>
              <w:widowControl w:val="0"/>
              <w:rPr>
                <w:color w:val="434343"/>
                <w:sz w:val="18"/>
                <w:szCs w:val="18"/>
              </w:rPr>
            </w:pPr>
            <w:r>
              <w:rPr>
                <w:color w:val="434343"/>
                <w:sz w:val="18"/>
                <w:szCs w:val="18"/>
              </w:rPr>
              <w:t>model_long_12</w:t>
            </w:r>
          </w:p>
        </w:tc>
      </w:tr>
      <w:tr w:rsidR="00E32AD9" w14:paraId="0AEFEDB9" w14:textId="77777777">
        <w:trPr>
          <w:trHeight w:val="315"/>
          <w:jc w:val="center"/>
        </w:trPr>
        <w:tc>
          <w:tcPr>
            <w:tcW w:w="7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ED05487" w14:textId="77777777" w:rsidR="00E32AD9" w:rsidRDefault="00E32AD9">
            <w:pPr>
              <w:widowControl w:val="0"/>
              <w:rPr>
                <w:color w:val="434343"/>
                <w:sz w:val="18"/>
                <w:szCs w:val="18"/>
              </w:rPr>
            </w:pPr>
          </w:p>
        </w:tc>
        <w:tc>
          <w:tcPr>
            <w:tcW w:w="1342"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47A805" w14:textId="77777777" w:rsidR="00E32AD9" w:rsidRDefault="00000000">
            <w:pPr>
              <w:widowControl w:val="0"/>
              <w:rPr>
                <w:color w:val="434343"/>
                <w:sz w:val="18"/>
                <w:szCs w:val="18"/>
              </w:rPr>
            </w:pPr>
            <w:r>
              <w:rPr>
                <w:color w:val="434343"/>
                <w:sz w:val="18"/>
                <w:szCs w:val="18"/>
              </w:rPr>
              <w:t>AUC</w:t>
            </w:r>
          </w:p>
        </w:tc>
        <w:tc>
          <w:tcPr>
            <w:tcW w:w="117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D058DA6" w14:textId="77777777" w:rsidR="00E32AD9" w:rsidRDefault="00000000">
            <w:pPr>
              <w:widowControl w:val="0"/>
              <w:rPr>
                <w:color w:val="434343"/>
                <w:sz w:val="18"/>
                <w:szCs w:val="18"/>
              </w:rPr>
            </w:pPr>
            <w:r>
              <w:rPr>
                <w:color w:val="434343"/>
                <w:sz w:val="18"/>
                <w:szCs w:val="18"/>
              </w:rPr>
              <w:t>weighted_F1_score</w:t>
            </w:r>
          </w:p>
        </w:tc>
        <w:tc>
          <w:tcPr>
            <w:tcW w:w="126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17FE3C" w14:textId="77777777" w:rsidR="00E32AD9" w:rsidRDefault="00000000">
            <w:pPr>
              <w:widowControl w:val="0"/>
              <w:rPr>
                <w:color w:val="434343"/>
                <w:sz w:val="18"/>
                <w:szCs w:val="18"/>
              </w:rPr>
            </w:pPr>
            <w:r>
              <w:rPr>
                <w:color w:val="434343"/>
                <w:sz w:val="18"/>
                <w:szCs w:val="18"/>
              </w:rPr>
              <w:t>AUC</w:t>
            </w:r>
          </w:p>
        </w:tc>
        <w:tc>
          <w:tcPr>
            <w:tcW w:w="1178"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88110F9" w14:textId="77777777" w:rsidR="00E32AD9" w:rsidRDefault="00000000">
            <w:pPr>
              <w:widowControl w:val="0"/>
              <w:rPr>
                <w:color w:val="434343"/>
                <w:sz w:val="18"/>
                <w:szCs w:val="18"/>
              </w:rPr>
            </w:pPr>
            <w:r>
              <w:rPr>
                <w:color w:val="434343"/>
                <w:sz w:val="18"/>
                <w:szCs w:val="18"/>
              </w:rPr>
              <w:t>weighted_F1_score</w:t>
            </w:r>
          </w:p>
        </w:tc>
        <w:tc>
          <w:tcPr>
            <w:tcW w:w="1242"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A74FDBF" w14:textId="77777777" w:rsidR="00E32AD9" w:rsidRDefault="00000000">
            <w:pPr>
              <w:widowControl w:val="0"/>
              <w:rPr>
                <w:color w:val="434343"/>
                <w:sz w:val="18"/>
                <w:szCs w:val="18"/>
              </w:rPr>
            </w:pPr>
            <w:r>
              <w:rPr>
                <w:color w:val="434343"/>
                <w:sz w:val="18"/>
                <w:szCs w:val="18"/>
              </w:rPr>
              <w:t>AUC</w:t>
            </w:r>
          </w:p>
        </w:tc>
        <w:tc>
          <w:tcPr>
            <w:tcW w:w="1188"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5374156" w14:textId="77777777" w:rsidR="00E32AD9" w:rsidRDefault="00000000">
            <w:pPr>
              <w:widowControl w:val="0"/>
              <w:rPr>
                <w:color w:val="434343"/>
                <w:sz w:val="18"/>
                <w:szCs w:val="18"/>
              </w:rPr>
            </w:pPr>
            <w:r>
              <w:rPr>
                <w:color w:val="434343"/>
                <w:sz w:val="18"/>
                <w:szCs w:val="18"/>
              </w:rPr>
              <w:t>weighted_F1_score</w:t>
            </w:r>
          </w:p>
        </w:tc>
        <w:tc>
          <w:tcPr>
            <w:tcW w:w="126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3D23585" w14:textId="77777777" w:rsidR="00E32AD9" w:rsidRDefault="00000000">
            <w:pPr>
              <w:widowControl w:val="0"/>
              <w:rPr>
                <w:color w:val="434343"/>
                <w:sz w:val="18"/>
                <w:szCs w:val="18"/>
              </w:rPr>
            </w:pPr>
            <w:r>
              <w:rPr>
                <w:color w:val="434343"/>
                <w:sz w:val="18"/>
                <w:szCs w:val="18"/>
              </w:rPr>
              <w:t>AUC</w:t>
            </w:r>
          </w:p>
        </w:tc>
        <w:tc>
          <w:tcPr>
            <w:tcW w:w="117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5BE86A" w14:textId="77777777" w:rsidR="00E32AD9" w:rsidRDefault="00000000">
            <w:pPr>
              <w:widowControl w:val="0"/>
              <w:rPr>
                <w:color w:val="434343"/>
                <w:sz w:val="18"/>
                <w:szCs w:val="18"/>
              </w:rPr>
            </w:pPr>
            <w:r>
              <w:rPr>
                <w:color w:val="434343"/>
                <w:sz w:val="18"/>
                <w:szCs w:val="18"/>
              </w:rPr>
              <w:t>weighted_F1_score</w:t>
            </w:r>
          </w:p>
        </w:tc>
      </w:tr>
      <w:tr w:rsidR="00E32AD9" w14:paraId="0AF5A502" w14:textId="77777777">
        <w:trPr>
          <w:trHeight w:val="315"/>
          <w:jc w:val="center"/>
        </w:trPr>
        <w:tc>
          <w:tcPr>
            <w:tcW w:w="7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17F8310" w14:textId="77777777" w:rsidR="00E32AD9" w:rsidRDefault="00E32AD9">
            <w:pPr>
              <w:widowControl w:val="0"/>
              <w:rPr>
                <w:color w:val="434343"/>
                <w:sz w:val="18"/>
                <w:szCs w:val="18"/>
              </w:rPr>
            </w:pPr>
          </w:p>
        </w:tc>
        <w:tc>
          <w:tcPr>
            <w:tcW w:w="7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3D3C0C7" w14:textId="77777777" w:rsidR="00E32AD9" w:rsidRDefault="00000000">
            <w:pPr>
              <w:widowControl w:val="0"/>
              <w:rPr>
                <w:color w:val="434343"/>
                <w:sz w:val="18"/>
                <w:szCs w:val="18"/>
              </w:rPr>
            </w:pPr>
            <w:r>
              <w:rPr>
                <w:color w:val="434343"/>
                <w:sz w:val="18"/>
                <w:szCs w:val="18"/>
              </w:rPr>
              <w:t>mean</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D973C1A" w14:textId="77777777" w:rsidR="00E32AD9" w:rsidRDefault="00000000">
            <w:pPr>
              <w:widowControl w:val="0"/>
              <w:rPr>
                <w:color w:val="434343"/>
                <w:sz w:val="18"/>
                <w:szCs w:val="18"/>
              </w:rPr>
            </w:pPr>
            <w:r>
              <w:rPr>
                <w:color w:val="434343"/>
                <w:sz w:val="18"/>
                <w:szCs w:val="18"/>
              </w:rPr>
              <w:t>std</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DE998EB" w14:textId="77777777" w:rsidR="00E32AD9" w:rsidRDefault="00000000">
            <w:pPr>
              <w:widowControl w:val="0"/>
              <w:rPr>
                <w:color w:val="434343"/>
                <w:sz w:val="18"/>
                <w:szCs w:val="18"/>
              </w:rPr>
            </w:pPr>
            <w:r>
              <w:rPr>
                <w:color w:val="434343"/>
                <w:sz w:val="18"/>
                <w:szCs w:val="18"/>
              </w:rPr>
              <w:t>mean</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59C69BA" w14:textId="77777777" w:rsidR="00E32AD9" w:rsidRDefault="00000000">
            <w:pPr>
              <w:widowControl w:val="0"/>
              <w:rPr>
                <w:color w:val="434343"/>
                <w:sz w:val="18"/>
                <w:szCs w:val="18"/>
              </w:rPr>
            </w:pPr>
            <w:r>
              <w:rPr>
                <w:color w:val="434343"/>
                <w:sz w:val="18"/>
                <w:szCs w:val="18"/>
              </w:rPr>
              <w:t>std</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C90F62A" w14:textId="77777777" w:rsidR="00E32AD9" w:rsidRDefault="00000000">
            <w:pPr>
              <w:widowControl w:val="0"/>
              <w:rPr>
                <w:color w:val="434343"/>
                <w:sz w:val="18"/>
                <w:szCs w:val="18"/>
              </w:rPr>
            </w:pPr>
            <w:r>
              <w:rPr>
                <w:color w:val="434343"/>
                <w:sz w:val="18"/>
                <w:szCs w:val="18"/>
              </w:rPr>
              <w:t>mean</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0406AD3" w14:textId="77777777" w:rsidR="00E32AD9" w:rsidRDefault="00000000">
            <w:pPr>
              <w:widowControl w:val="0"/>
              <w:rPr>
                <w:color w:val="434343"/>
                <w:sz w:val="18"/>
                <w:szCs w:val="18"/>
              </w:rPr>
            </w:pPr>
            <w:r>
              <w:rPr>
                <w:color w:val="434343"/>
                <w:sz w:val="18"/>
                <w:szCs w:val="18"/>
              </w:rPr>
              <w:t>std</w:t>
            </w:r>
          </w:p>
        </w:tc>
        <w:tc>
          <w:tcPr>
            <w:tcW w:w="63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24ED1A7" w14:textId="77777777" w:rsidR="00E32AD9" w:rsidRDefault="00000000">
            <w:pPr>
              <w:widowControl w:val="0"/>
              <w:rPr>
                <w:color w:val="434343"/>
                <w:sz w:val="18"/>
                <w:szCs w:val="18"/>
              </w:rPr>
            </w:pPr>
            <w:r>
              <w:rPr>
                <w:color w:val="434343"/>
                <w:sz w:val="18"/>
                <w:szCs w:val="18"/>
              </w:rPr>
              <w:t>mean</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CDEBEF" w14:textId="77777777" w:rsidR="00E32AD9" w:rsidRDefault="00000000">
            <w:pPr>
              <w:widowControl w:val="0"/>
              <w:rPr>
                <w:color w:val="434343"/>
                <w:sz w:val="18"/>
                <w:szCs w:val="18"/>
              </w:rPr>
            </w:pPr>
            <w:r>
              <w:rPr>
                <w:color w:val="434343"/>
                <w:sz w:val="18"/>
                <w:szCs w:val="18"/>
              </w:rPr>
              <w:t>std</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AE0D164" w14:textId="77777777" w:rsidR="00E32AD9" w:rsidRDefault="00000000">
            <w:pPr>
              <w:widowControl w:val="0"/>
              <w:rPr>
                <w:color w:val="434343"/>
                <w:sz w:val="18"/>
                <w:szCs w:val="18"/>
              </w:rPr>
            </w:pPr>
            <w:r>
              <w:rPr>
                <w:color w:val="434343"/>
                <w:sz w:val="18"/>
                <w:szCs w:val="18"/>
              </w:rPr>
              <w:t>mean</w:t>
            </w:r>
          </w:p>
        </w:tc>
        <w:tc>
          <w:tcPr>
            <w:tcW w:w="6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DCDD18E" w14:textId="77777777" w:rsidR="00E32AD9" w:rsidRDefault="00000000">
            <w:pPr>
              <w:widowControl w:val="0"/>
              <w:rPr>
                <w:color w:val="434343"/>
                <w:sz w:val="18"/>
                <w:szCs w:val="18"/>
              </w:rPr>
            </w:pPr>
            <w:r>
              <w:rPr>
                <w:color w:val="434343"/>
                <w:sz w:val="18"/>
                <w:szCs w:val="18"/>
              </w:rPr>
              <w:t>std</w:t>
            </w:r>
          </w:p>
        </w:tc>
        <w:tc>
          <w:tcPr>
            <w:tcW w:w="6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BED0189" w14:textId="77777777" w:rsidR="00E32AD9" w:rsidRDefault="00000000">
            <w:pPr>
              <w:widowControl w:val="0"/>
              <w:rPr>
                <w:color w:val="434343"/>
                <w:sz w:val="18"/>
                <w:szCs w:val="18"/>
              </w:rPr>
            </w:pPr>
            <w:r>
              <w:rPr>
                <w:color w:val="434343"/>
                <w:sz w:val="18"/>
                <w:szCs w:val="18"/>
              </w:rPr>
              <w:t>mean</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E60D383" w14:textId="77777777" w:rsidR="00E32AD9" w:rsidRDefault="00000000">
            <w:pPr>
              <w:widowControl w:val="0"/>
              <w:rPr>
                <w:color w:val="434343"/>
                <w:sz w:val="18"/>
                <w:szCs w:val="18"/>
              </w:rPr>
            </w:pPr>
            <w:r>
              <w:rPr>
                <w:color w:val="434343"/>
                <w:sz w:val="18"/>
                <w:szCs w:val="18"/>
              </w:rPr>
              <w:t>std</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39F3469" w14:textId="77777777" w:rsidR="00E32AD9" w:rsidRDefault="00000000">
            <w:pPr>
              <w:widowControl w:val="0"/>
              <w:rPr>
                <w:color w:val="434343"/>
                <w:sz w:val="18"/>
                <w:szCs w:val="18"/>
              </w:rPr>
            </w:pPr>
            <w:r>
              <w:rPr>
                <w:color w:val="434343"/>
                <w:sz w:val="18"/>
                <w:szCs w:val="18"/>
              </w:rPr>
              <w:t>mean</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DAA88AB" w14:textId="77777777" w:rsidR="00E32AD9" w:rsidRDefault="00000000">
            <w:pPr>
              <w:widowControl w:val="0"/>
              <w:rPr>
                <w:color w:val="434343"/>
                <w:sz w:val="18"/>
                <w:szCs w:val="18"/>
              </w:rPr>
            </w:pPr>
            <w:r>
              <w:rPr>
                <w:color w:val="434343"/>
                <w:sz w:val="18"/>
                <w:szCs w:val="18"/>
              </w:rPr>
              <w:t>std</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249F0DF" w14:textId="77777777" w:rsidR="00E32AD9" w:rsidRDefault="00000000">
            <w:pPr>
              <w:widowControl w:val="0"/>
              <w:rPr>
                <w:color w:val="434343"/>
                <w:sz w:val="18"/>
                <w:szCs w:val="18"/>
              </w:rPr>
            </w:pPr>
            <w:r>
              <w:rPr>
                <w:color w:val="434343"/>
                <w:sz w:val="18"/>
                <w:szCs w:val="18"/>
              </w:rPr>
              <w:t>mean</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AA7274" w14:textId="77777777" w:rsidR="00E32AD9" w:rsidRDefault="00000000">
            <w:pPr>
              <w:widowControl w:val="0"/>
              <w:rPr>
                <w:color w:val="434343"/>
                <w:sz w:val="18"/>
                <w:szCs w:val="18"/>
              </w:rPr>
            </w:pPr>
            <w:r>
              <w:rPr>
                <w:color w:val="434343"/>
                <w:sz w:val="18"/>
                <w:szCs w:val="18"/>
              </w:rPr>
              <w:t>std</w:t>
            </w:r>
          </w:p>
        </w:tc>
      </w:tr>
      <w:tr w:rsidR="00E32AD9" w14:paraId="3360FF11" w14:textId="77777777">
        <w:trPr>
          <w:trHeight w:val="315"/>
          <w:jc w:val="center"/>
        </w:trPr>
        <w:tc>
          <w:tcPr>
            <w:tcW w:w="7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CC8018A" w14:textId="77777777" w:rsidR="00E32AD9" w:rsidRDefault="00000000">
            <w:pPr>
              <w:widowControl w:val="0"/>
              <w:jc w:val="right"/>
              <w:rPr>
                <w:color w:val="434343"/>
                <w:sz w:val="18"/>
                <w:szCs w:val="18"/>
              </w:rPr>
            </w:pPr>
            <w:r>
              <w:rPr>
                <w:color w:val="434343"/>
                <w:sz w:val="18"/>
                <w:szCs w:val="18"/>
              </w:rPr>
              <w:t>L2LR</w:t>
            </w:r>
          </w:p>
        </w:tc>
        <w:tc>
          <w:tcPr>
            <w:tcW w:w="7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FEFCD5E" w14:textId="77777777" w:rsidR="00E32AD9" w:rsidRDefault="00000000">
            <w:pPr>
              <w:widowControl w:val="0"/>
              <w:jc w:val="right"/>
              <w:rPr>
                <w:color w:val="434343"/>
                <w:sz w:val="18"/>
                <w:szCs w:val="18"/>
              </w:rPr>
            </w:pPr>
            <w:r>
              <w:rPr>
                <w:color w:val="434343"/>
                <w:sz w:val="18"/>
                <w:szCs w:val="18"/>
              </w:rPr>
              <w:t>84.7%</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DA67EDD" w14:textId="77777777" w:rsidR="00E32AD9" w:rsidRDefault="00000000">
            <w:pPr>
              <w:widowControl w:val="0"/>
              <w:jc w:val="right"/>
              <w:rPr>
                <w:color w:val="434343"/>
                <w:sz w:val="18"/>
                <w:szCs w:val="18"/>
              </w:rPr>
            </w:pPr>
            <w:r>
              <w:rPr>
                <w:color w:val="434343"/>
                <w:sz w:val="18"/>
                <w:szCs w:val="18"/>
              </w:rPr>
              <w:t>8.3%</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75DDDE5" w14:textId="77777777" w:rsidR="00E32AD9" w:rsidRDefault="00000000">
            <w:pPr>
              <w:widowControl w:val="0"/>
              <w:jc w:val="right"/>
              <w:rPr>
                <w:color w:val="434343"/>
                <w:sz w:val="18"/>
                <w:szCs w:val="18"/>
              </w:rPr>
            </w:pPr>
            <w:r>
              <w:rPr>
                <w:color w:val="434343"/>
                <w:sz w:val="18"/>
                <w:szCs w:val="18"/>
              </w:rPr>
              <w:t>81.2%</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7166C76" w14:textId="77777777" w:rsidR="00E32AD9" w:rsidRDefault="00000000">
            <w:pPr>
              <w:widowControl w:val="0"/>
              <w:jc w:val="right"/>
              <w:rPr>
                <w:color w:val="434343"/>
                <w:sz w:val="18"/>
                <w:szCs w:val="18"/>
              </w:rPr>
            </w:pPr>
            <w:r>
              <w:rPr>
                <w:color w:val="434343"/>
                <w:sz w:val="18"/>
                <w:szCs w:val="18"/>
              </w:rPr>
              <w:t>5.8%</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24BD5A4" w14:textId="77777777" w:rsidR="00E32AD9" w:rsidRDefault="00000000">
            <w:pPr>
              <w:widowControl w:val="0"/>
              <w:jc w:val="right"/>
              <w:rPr>
                <w:color w:val="434343"/>
                <w:sz w:val="18"/>
                <w:szCs w:val="18"/>
              </w:rPr>
            </w:pPr>
            <w:r>
              <w:rPr>
                <w:color w:val="434343"/>
                <w:sz w:val="18"/>
                <w:szCs w:val="18"/>
              </w:rPr>
              <w:t>84.3%</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24FC832" w14:textId="77777777" w:rsidR="00E32AD9" w:rsidRDefault="00000000">
            <w:pPr>
              <w:widowControl w:val="0"/>
              <w:jc w:val="right"/>
              <w:rPr>
                <w:color w:val="434343"/>
                <w:sz w:val="18"/>
                <w:szCs w:val="18"/>
              </w:rPr>
            </w:pPr>
            <w:r>
              <w:rPr>
                <w:color w:val="434343"/>
                <w:sz w:val="18"/>
                <w:szCs w:val="18"/>
              </w:rPr>
              <w:t>7.6%</w:t>
            </w:r>
          </w:p>
        </w:tc>
        <w:tc>
          <w:tcPr>
            <w:tcW w:w="63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9C01B46" w14:textId="77777777" w:rsidR="00E32AD9" w:rsidRDefault="00000000">
            <w:pPr>
              <w:widowControl w:val="0"/>
              <w:jc w:val="right"/>
              <w:rPr>
                <w:color w:val="434343"/>
                <w:sz w:val="18"/>
                <w:szCs w:val="18"/>
              </w:rPr>
            </w:pPr>
            <w:r>
              <w:rPr>
                <w:color w:val="434343"/>
                <w:sz w:val="18"/>
                <w:szCs w:val="18"/>
              </w:rPr>
              <w:t>81.8%</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9E34909" w14:textId="77777777" w:rsidR="00E32AD9" w:rsidRDefault="00000000">
            <w:pPr>
              <w:widowControl w:val="0"/>
              <w:jc w:val="right"/>
              <w:rPr>
                <w:color w:val="434343"/>
                <w:sz w:val="18"/>
                <w:szCs w:val="18"/>
              </w:rPr>
            </w:pPr>
            <w:r>
              <w:rPr>
                <w:color w:val="434343"/>
                <w:sz w:val="18"/>
                <w:szCs w:val="18"/>
              </w:rPr>
              <w:t>5.4%</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F75BACD" w14:textId="77777777" w:rsidR="00E32AD9" w:rsidRDefault="00000000">
            <w:pPr>
              <w:widowControl w:val="0"/>
              <w:jc w:val="right"/>
              <w:rPr>
                <w:color w:val="434343"/>
                <w:sz w:val="18"/>
                <w:szCs w:val="18"/>
              </w:rPr>
            </w:pPr>
            <w:r>
              <w:rPr>
                <w:color w:val="434343"/>
                <w:sz w:val="18"/>
                <w:szCs w:val="18"/>
              </w:rPr>
              <w:t>78.5%</w:t>
            </w:r>
          </w:p>
        </w:tc>
        <w:tc>
          <w:tcPr>
            <w:tcW w:w="6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28C5730" w14:textId="77777777" w:rsidR="00E32AD9" w:rsidRDefault="00000000">
            <w:pPr>
              <w:widowControl w:val="0"/>
              <w:jc w:val="right"/>
              <w:rPr>
                <w:color w:val="434343"/>
                <w:sz w:val="18"/>
                <w:szCs w:val="18"/>
              </w:rPr>
            </w:pPr>
            <w:r>
              <w:rPr>
                <w:color w:val="434343"/>
                <w:sz w:val="18"/>
                <w:szCs w:val="18"/>
              </w:rPr>
              <w:t>11.9%</w:t>
            </w:r>
          </w:p>
        </w:tc>
        <w:tc>
          <w:tcPr>
            <w:tcW w:w="6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CF9AB13" w14:textId="77777777" w:rsidR="00E32AD9" w:rsidRDefault="00000000">
            <w:pPr>
              <w:widowControl w:val="0"/>
              <w:jc w:val="right"/>
              <w:rPr>
                <w:color w:val="434343"/>
                <w:sz w:val="18"/>
                <w:szCs w:val="18"/>
              </w:rPr>
            </w:pPr>
            <w:r>
              <w:rPr>
                <w:color w:val="434343"/>
                <w:sz w:val="18"/>
                <w:szCs w:val="18"/>
              </w:rPr>
              <w:t>81.4%</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124BB30" w14:textId="77777777" w:rsidR="00E32AD9" w:rsidRDefault="00000000">
            <w:pPr>
              <w:widowControl w:val="0"/>
              <w:jc w:val="right"/>
              <w:rPr>
                <w:color w:val="434343"/>
                <w:sz w:val="18"/>
                <w:szCs w:val="18"/>
              </w:rPr>
            </w:pPr>
            <w:r>
              <w:rPr>
                <w:color w:val="434343"/>
                <w:sz w:val="18"/>
                <w:szCs w:val="18"/>
              </w:rPr>
              <w:t>5.1%</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92DFEA0" w14:textId="77777777" w:rsidR="00E32AD9" w:rsidRDefault="00000000">
            <w:pPr>
              <w:widowControl w:val="0"/>
              <w:jc w:val="right"/>
              <w:rPr>
                <w:color w:val="434343"/>
                <w:sz w:val="18"/>
                <w:szCs w:val="18"/>
              </w:rPr>
            </w:pPr>
            <w:r>
              <w:rPr>
                <w:color w:val="434343"/>
                <w:sz w:val="18"/>
                <w:szCs w:val="18"/>
              </w:rPr>
              <w:t>83.4%</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48DFFF7" w14:textId="77777777" w:rsidR="00E32AD9" w:rsidRDefault="00000000">
            <w:pPr>
              <w:widowControl w:val="0"/>
              <w:jc w:val="right"/>
              <w:rPr>
                <w:color w:val="434343"/>
                <w:sz w:val="18"/>
                <w:szCs w:val="18"/>
              </w:rPr>
            </w:pPr>
            <w:r>
              <w:rPr>
                <w:color w:val="434343"/>
                <w:sz w:val="18"/>
                <w:szCs w:val="18"/>
              </w:rPr>
              <w:t>10.3%</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6A17748" w14:textId="77777777" w:rsidR="00E32AD9" w:rsidRDefault="00000000">
            <w:pPr>
              <w:widowControl w:val="0"/>
              <w:jc w:val="right"/>
              <w:rPr>
                <w:color w:val="434343"/>
                <w:sz w:val="18"/>
                <w:szCs w:val="18"/>
              </w:rPr>
            </w:pPr>
            <w:r>
              <w:rPr>
                <w:color w:val="434343"/>
                <w:sz w:val="18"/>
                <w:szCs w:val="18"/>
              </w:rPr>
              <w:t>82.9%</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B69C2BF" w14:textId="77777777" w:rsidR="00E32AD9" w:rsidRDefault="00000000">
            <w:pPr>
              <w:widowControl w:val="0"/>
              <w:jc w:val="right"/>
              <w:rPr>
                <w:color w:val="434343"/>
                <w:sz w:val="18"/>
                <w:szCs w:val="18"/>
              </w:rPr>
            </w:pPr>
            <w:r>
              <w:rPr>
                <w:color w:val="434343"/>
                <w:sz w:val="18"/>
                <w:szCs w:val="18"/>
              </w:rPr>
              <w:t>3.6%</w:t>
            </w:r>
          </w:p>
        </w:tc>
      </w:tr>
      <w:tr w:rsidR="00E32AD9" w14:paraId="60561535" w14:textId="77777777">
        <w:trPr>
          <w:trHeight w:val="315"/>
          <w:jc w:val="center"/>
        </w:trPr>
        <w:tc>
          <w:tcPr>
            <w:tcW w:w="7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B25F54F" w14:textId="77777777" w:rsidR="00E32AD9" w:rsidRDefault="00000000">
            <w:pPr>
              <w:widowControl w:val="0"/>
              <w:jc w:val="right"/>
              <w:rPr>
                <w:color w:val="434343"/>
                <w:sz w:val="18"/>
                <w:szCs w:val="18"/>
              </w:rPr>
            </w:pPr>
            <w:r>
              <w:rPr>
                <w:color w:val="434343"/>
                <w:sz w:val="18"/>
                <w:szCs w:val="18"/>
              </w:rPr>
              <w:t>L1LR</w:t>
            </w:r>
          </w:p>
        </w:tc>
        <w:tc>
          <w:tcPr>
            <w:tcW w:w="7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A40B223" w14:textId="77777777" w:rsidR="00E32AD9" w:rsidRDefault="00000000">
            <w:pPr>
              <w:widowControl w:val="0"/>
              <w:jc w:val="right"/>
              <w:rPr>
                <w:color w:val="434343"/>
                <w:sz w:val="18"/>
                <w:szCs w:val="18"/>
              </w:rPr>
            </w:pPr>
            <w:r>
              <w:rPr>
                <w:color w:val="434343"/>
                <w:sz w:val="18"/>
                <w:szCs w:val="18"/>
              </w:rPr>
              <w:t>85.7%</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EFECBC5" w14:textId="77777777" w:rsidR="00E32AD9" w:rsidRDefault="00000000">
            <w:pPr>
              <w:widowControl w:val="0"/>
              <w:jc w:val="right"/>
              <w:rPr>
                <w:color w:val="434343"/>
                <w:sz w:val="18"/>
                <w:szCs w:val="18"/>
              </w:rPr>
            </w:pPr>
            <w:r>
              <w:rPr>
                <w:color w:val="434343"/>
                <w:sz w:val="18"/>
                <w:szCs w:val="18"/>
              </w:rPr>
              <w:t>8.3%</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FDC235A" w14:textId="77777777" w:rsidR="00E32AD9" w:rsidRDefault="00000000">
            <w:pPr>
              <w:widowControl w:val="0"/>
              <w:jc w:val="right"/>
              <w:rPr>
                <w:color w:val="434343"/>
                <w:sz w:val="18"/>
                <w:szCs w:val="18"/>
              </w:rPr>
            </w:pPr>
            <w:r>
              <w:rPr>
                <w:color w:val="434343"/>
                <w:sz w:val="18"/>
                <w:szCs w:val="18"/>
              </w:rPr>
              <w:t>81.5%</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B4504EB" w14:textId="77777777" w:rsidR="00E32AD9" w:rsidRDefault="00000000">
            <w:pPr>
              <w:widowControl w:val="0"/>
              <w:jc w:val="right"/>
              <w:rPr>
                <w:color w:val="434343"/>
                <w:sz w:val="18"/>
                <w:szCs w:val="18"/>
              </w:rPr>
            </w:pPr>
            <w:r>
              <w:rPr>
                <w:color w:val="434343"/>
                <w:sz w:val="18"/>
                <w:szCs w:val="18"/>
              </w:rPr>
              <w:t>5.6%</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DA8151" w14:textId="77777777" w:rsidR="00E32AD9" w:rsidRDefault="00000000">
            <w:pPr>
              <w:widowControl w:val="0"/>
              <w:jc w:val="right"/>
              <w:rPr>
                <w:color w:val="434343"/>
                <w:sz w:val="18"/>
                <w:szCs w:val="18"/>
              </w:rPr>
            </w:pPr>
            <w:r>
              <w:rPr>
                <w:color w:val="434343"/>
                <w:sz w:val="18"/>
                <w:szCs w:val="18"/>
              </w:rPr>
              <w:t>85.4%</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69FC104" w14:textId="77777777" w:rsidR="00E32AD9" w:rsidRDefault="00000000">
            <w:pPr>
              <w:widowControl w:val="0"/>
              <w:jc w:val="right"/>
              <w:rPr>
                <w:color w:val="434343"/>
                <w:sz w:val="18"/>
                <w:szCs w:val="18"/>
              </w:rPr>
            </w:pPr>
            <w:r>
              <w:rPr>
                <w:color w:val="434343"/>
                <w:sz w:val="18"/>
                <w:szCs w:val="18"/>
              </w:rPr>
              <w:t>6.9%</w:t>
            </w:r>
          </w:p>
        </w:tc>
        <w:tc>
          <w:tcPr>
            <w:tcW w:w="63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BC7FF6" w14:textId="77777777" w:rsidR="00E32AD9" w:rsidRDefault="00000000">
            <w:pPr>
              <w:widowControl w:val="0"/>
              <w:jc w:val="right"/>
              <w:rPr>
                <w:color w:val="434343"/>
                <w:sz w:val="18"/>
                <w:szCs w:val="18"/>
              </w:rPr>
            </w:pPr>
            <w:r>
              <w:rPr>
                <w:color w:val="434343"/>
                <w:sz w:val="18"/>
                <w:szCs w:val="18"/>
              </w:rPr>
              <w:t>83.5%</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F85D21D" w14:textId="77777777" w:rsidR="00E32AD9" w:rsidRDefault="00000000">
            <w:pPr>
              <w:widowControl w:val="0"/>
              <w:jc w:val="right"/>
              <w:rPr>
                <w:color w:val="434343"/>
                <w:sz w:val="18"/>
                <w:szCs w:val="18"/>
              </w:rPr>
            </w:pPr>
            <w:r>
              <w:rPr>
                <w:color w:val="434343"/>
                <w:sz w:val="18"/>
                <w:szCs w:val="18"/>
              </w:rPr>
              <w:t>6.3%</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BDA82E5" w14:textId="77777777" w:rsidR="00E32AD9" w:rsidRDefault="00000000">
            <w:pPr>
              <w:widowControl w:val="0"/>
              <w:jc w:val="right"/>
              <w:rPr>
                <w:color w:val="434343"/>
                <w:sz w:val="18"/>
                <w:szCs w:val="18"/>
              </w:rPr>
            </w:pPr>
            <w:r>
              <w:rPr>
                <w:color w:val="434343"/>
                <w:sz w:val="18"/>
                <w:szCs w:val="18"/>
              </w:rPr>
              <w:t>76.7%</w:t>
            </w:r>
          </w:p>
        </w:tc>
        <w:tc>
          <w:tcPr>
            <w:tcW w:w="6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8DC554B" w14:textId="77777777" w:rsidR="00E32AD9" w:rsidRDefault="00000000">
            <w:pPr>
              <w:widowControl w:val="0"/>
              <w:jc w:val="right"/>
              <w:rPr>
                <w:color w:val="434343"/>
                <w:sz w:val="18"/>
                <w:szCs w:val="18"/>
              </w:rPr>
            </w:pPr>
            <w:r>
              <w:rPr>
                <w:color w:val="434343"/>
                <w:sz w:val="18"/>
                <w:szCs w:val="18"/>
              </w:rPr>
              <w:t>13.3%</w:t>
            </w:r>
          </w:p>
        </w:tc>
        <w:tc>
          <w:tcPr>
            <w:tcW w:w="6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7C110BD" w14:textId="77777777" w:rsidR="00E32AD9" w:rsidRDefault="00000000">
            <w:pPr>
              <w:widowControl w:val="0"/>
              <w:jc w:val="right"/>
              <w:rPr>
                <w:color w:val="434343"/>
                <w:sz w:val="18"/>
                <w:szCs w:val="18"/>
              </w:rPr>
            </w:pPr>
            <w:r>
              <w:rPr>
                <w:color w:val="434343"/>
                <w:sz w:val="18"/>
                <w:szCs w:val="18"/>
              </w:rPr>
              <w:t>81.5%</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4ABEB1D" w14:textId="77777777" w:rsidR="00E32AD9" w:rsidRDefault="00000000">
            <w:pPr>
              <w:widowControl w:val="0"/>
              <w:jc w:val="right"/>
              <w:rPr>
                <w:color w:val="434343"/>
                <w:sz w:val="18"/>
                <w:szCs w:val="18"/>
              </w:rPr>
            </w:pPr>
            <w:r>
              <w:rPr>
                <w:color w:val="434343"/>
                <w:sz w:val="18"/>
                <w:szCs w:val="18"/>
              </w:rPr>
              <w:t>5.3%</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67AA2D" w14:textId="77777777" w:rsidR="00E32AD9" w:rsidRDefault="00000000">
            <w:pPr>
              <w:widowControl w:val="0"/>
              <w:jc w:val="right"/>
              <w:rPr>
                <w:color w:val="434343"/>
                <w:sz w:val="18"/>
                <w:szCs w:val="18"/>
              </w:rPr>
            </w:pPr>
            <w:r>
              <w:rPr>
                <w:color w:val="434343"/>
                <w:sz w:val="18"/>
                <w:szCs w:val="18"/>
              </w:rPr>
              <w:t>85.6%</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DF856BD" w14:textId="77777777" w:rsidR="00E32AD9" w:rsidRDefault="00000000">
            <w:pPr>
              <w:widowControl w:val="0"/>
              <w:jc w:val="right"/>
              <w:rPr>
                <w:color w:val="434343"/>
                <w:sz w:val="18"/>
                <w:szCs w:val="18"/>
              </w:rPr>
            </w:pPr>
            <w:r>
              <w:rPr>
                <w:color w:val="434343"/>
                <w:sz w:val="18"/>
                <w:szCs w:val="18"/>
              </w:rPr>
              <w:t>8.5%</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B247B0F" w14:textId="77777777" w:rsidR="00E32AD9" w:rsidRDefault="00000000">
            <w:pPr>
              <w:widowControl w:val="0"/>
              <w:jc w:val="right"/>
              <w:rPr>
                <w:color w:val="434343"/>
                <w:sz w:val="18"/>
                <w:szCs w:val="18"/>
              </w:rPr>
            </w:pPr>
            <w:r>
              <w:rPr>
                <w:color w:val="434343"/>
                <w:sz w:val="18"/>
                <w:szCs w:val="18"/>
              </w:rPr>
              <w:t>84.3%</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191C597" w14:textId="77777777" w:rsidR="00E32AD9" w:rsidRDefault="00000000">
            <w:pPr>
              <w:widowControl w:val="0"/>
              <w:jc w:val="right"/>
              <w:rPr>
                <w:color w:val="434343"/>
                <w:sz w:val="18"/>
                <w:szCs w:val="18"/>
              </w:rPr>
            </w:pPr>
            <w:r>
              <w:rPr>
                <w:color w:val="434343"/>
                <w:sz w:val="18"/>
                <w:szCs w:val="18"/>
              </w:rPr>
              <w:t>4.3%</w:t>
            </w:r>
          </w:p>
        </w:tc>
      </w:tr>
      <w:tr w:rsidR="00E32AD9" w14:paraId="2A17C541" w14:textId="77777777">
        <w:trPr>
          <w:trHeight w:val="315"/>
          <w:jc w:val="center"/>
        </w:trPr>
        <w:tc>
          <w:tcPr>
            <w:tcW w:w="7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1788CE9" w14:textId="77777777" w:rsidR="00E32AD9" w:rsidRDefault="00000000">
            <w:pPr>
              <w:widowControl w:val="0"/>
              <w:jc w:val="right"/>
              <w:rPr>
                <w:color w:val="434343"/>
                <w:sz w:val="18"/>
                <w:szCs w:val="18"/>
              </w:rPr>
            </w:pPr>
            <w:r>
              <w:rPr>
                <w:color w:val="434343"/>
                <w:sz w:val="18"/>
                <w:szCs w:val="18"/>
              </w:rPr>
              <w:t>L1SVM</w:t>
            </w:r>
          </w:p>
        </w:tc>
        <w:tc>
          <w:tcPr>
            <w:tcW w:w="7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8C2ADBE" w14:textId="77777777" w:rsidR="00E32AD9" w:rsidRDefault="00000000">
            <w:pPr>
              <w:widowControl w:val="0"/>
              <w:jc w:val="right"/>
              <w:rPr>
                <w:color w:val="434343"/>
                <w:sz w:val="18"/>
                <w:szCs w:val="18"/>
              </w:rPr>
            </w:pPr>
            <w:r>
              <w:rPr>
                <w:color w:val="434343"/>
                <w:sz w:val="18"/>
                <w:szCs w:val="18"/>
              </w:rPr>
              <w:t>86.1%</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F904FD5" w14:textId="77777777" w:rsidR="00E32AD9" w:rsidRDefault="00000000">
            <w:pPr>
              <w:widowControl w:val="0"/>
              <w:jc w:val="right"/>
              <w:rPr>
                <w:color w:val="434343"/>
                <w:sz w:val="18"/>
                <w:szCs w:val="18"/>
              </w:rPr>
            </w:pPr>
            <w:r>
              <w:rPr>
                <w:color w:val="434343"/>
                <w:sz w:val="18"/>
                <w:szCs w:val="18"/>
              </w:rPr>
              <w:t>5.5%</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E5350E2" w14:textId="77777777" w:rsidR="00E32AD9" w:rsidRDefault="00000000">
            <w:pPr>
              <w:widowControl w:val="0"/>
              <w:jc w:val="right"/>
              <w:rPr>
                <w:color w:val="434343"/>
                <w:sz w:val="18"/>
                <w:szCs w:val="18"/>
              </w:rPr>
            </w:pPr>
            <w:r>
              <w:rPr>
                <w:color w:val="434343"/>
                <w:sz w:val="18"/>
                <w:szCs w:val="18"/>
              </w:rPr>
              <w:t>82.0%</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D52B1E9" w14:textId="77777777" w:rsidR="00E32AD9" w:rsidRDefault="00000000">
            <w:pPr>
              <w:widowControl w:val="0"/>
              <w:jc w:val="right"/>
              <w:rPr>
                <w:color w:val="434343"/>
                <w:sz w:val="18"/>
                <w:szCs w:val="18"/>
              </w:rPr>
            </w:pPr>
            <w:r>
              <w:rPr>
                <w:color w:val="434343"/>
                <w:sz w:val="18"/>
                <w:szCs w:val="18"/>
              </w:rPr>
              <w:t>4.4%</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880203E" w14:textId="77777777" w:rsidR="00E32AD9" w:rsidRDefault="00000000">
            <w:pPr>
              <w:widowControl w:val="0"/>
              <w:jc w:val="right"/>
              <w:rPr>
                <w:color w:val="434343"/>
                <w:sz w:val="18"/>
                <w:szCs w:val="18"/>
              </w:rPr>
            </w:pPr>
            <w:r>
              <w:rPr>
                <w:color w:val="434343"/>
                <w:sz w:val="18"/>
                <w:szCs w:val="18"/>
              </w:rPr>
              <w:t>85.3%</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661DA3D" w14:textId="77777777" w:rsidR="00E32AD9" w:rsidRDefault="00000000">
            <w:pPr>
              <w:widowControl w:val="0"/>
              <w:jc w:val="right"/>
              <w:rPr>
                <w:color w:val="434343"/>
                <w:sz w:val="18"/>
                <w:szCs w:val="18"/>
              </w:rPr>
            </w:pPr>
            <w:r>
              <w:rPr>
                <w:color w:val="434343"/>
                <w:sz w:val="18"/>
                <w:szCs w:val="18"/>
              </w:rPr>
              <w:t>7.1%</w:t>
            </w:r>
          </w:p>
        </w:tc>
        <w:tc>
          <w:tcPr>
            <w:tcW w:w="63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2FE4FC5" w14:textId="77777777" w:rsidR="00E32AD9" w:rsidRDefault="00000000">
            <w:pPr>
              <w:widowControl w:val="0"/>
              <w:jc w:val="right"/>
              <w:rPr>
                <w:color w:val="434343"/>
                <w:sz w:val="18"/>
                <w:szCs w:val="18"/>
              </w:rPr>
            </w:pPr>
            <w:r>
              <w:rPr>
                <w:color w:val="434343"/>
                <w:sz w:val="18"/>
                <w:szCs w:val="18"/>
              </w:rPr>
              <w:t>83.5%</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470AD8" w14:textId="77777777" w:rsidR="00E32AD9" w:rsidRDefault="00000000">
            <w:pPr>
              <w:widowControl w:val="0"/>
              <w:jc w:val="right"/>
              <w:rPr>
                <w:color w:val="434343"/>
                <w:sz w:val="18"/>
                <w:szCs w:val="18"/>
              </w:rPr>
            </w:pPr>
            <w:r>
              <w:rPr>
                <w:color w:val="434343"/>
                <w:sz w:val="18"/>
                <w:szCs w:val="18"/>
              </w:rPr>
              <w:t>5.8%</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D779E84" w14:textId="77777777" w:rsidR="00E32AD9" w:rsidRDefault="00000000">
            <w:pPr>
              <w:widowControl w:val="0"/>
              <w:jc w:val="right"/>
              <w:rPr>
                <w:color w:val="434343"/>
                <w:sz w:val="18"/>
                <w:szCs w:val="18"/>
              </w:rPr>
            </w:pPr>
            <w:r>
              <w:rPr>
                <w:color w:val="434343"/>
                <w:sz w:val="18"/>
                <w:szCs w:val="18"/>
              </w:rPr>
              <w:t>77.5%</w:t>
            </w:r>
          </w:p>
        </w:tc>
        <w:tc>
          <w:tcPr>
            <w:tcW w:w="6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1090194" w14:textId="77777777" w:rsidR="00E32AD9" w:rsidRDefault="00000000">
            <w:pPr>
              <w:widowControl w:val="0"/>
              <w:jc w:val="right"/>
              <w:rPr>
                <w:color w:val="434343"/>
                <w:sz w:val="18"/>
                <w:szCs w:val="18"/>
              </w:rPr>
            </w:pPr>
            <w:r>
              <w:rPr>
                <w:color w:val="434343"/>
                <w:sz w:val="18"/>
                <w:szCs w:val="18"/>
              </w:rPr>
              <w:t>12.4%</w:t>
            </w:r>
          </w:p>
        </w:tc>
        <w:tc>
          <w:tcPr>
            <w:tcW w:w="6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18E3EA8" w14:textId="77777777" w:rsidR="00E32AD9" w:rsidRDefault="00000000">
            <w:pPr>
              <w:widowControl w:val="0"/>
              <w:jc w:val="right"/>
              <w:rPr>
                <w:color w:val="434343"/>
                <w:sz w:val="18"/>
                <w:szCs w:val="18"/>
              </w:rPr>
            </w:pPr>
            <w:r>
              <w:rPr>
                <w:color w:val="434343"/>
                <w:sz w:val="18"/>
                <w:szCs w:val="18"/>
              </w:rPr>
              <w:t>80.8%</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906717B" w14:textId="77777777" w:rsidR="00E32AD9" w:rsidRDefault="00000000">
            <w:pPr>
              <w:widowControl w:val="0"/>
              <w:jc w:val="right"/>
              <w:rPr>
                <w:color w:val="434343"/>
                <w:sz w:val="18"/>
                <w:szCs w:val="18"/>
              </w:rPr>
            </w:pPr>
            <w:r>
              <w:rPr>
                <w:color w:val="434343"/>
                <w:sz w:val="18"/>
                <w:szCs w:val="18"/>
              </w:rPr>
              <w:t>4.9%</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73C77F4" w14:textId="77777777" w:rsidR="00E32AD9" w:rsidRDefault="00000000">
            <w:pPr>
              <w:widowControl w:val="0"/>
              <w:jc w:val="right"/>
              <w:rPr>
                <w:color w:val="434343"/>
                <w:sz w:val="18"/>
                <w:szCs w:val="18"/>
              </w:rPr>
            </w:pPr>
            <w:r>
              <w:rPr>
                <w:color w:val="434343"/>
                <w:sz w:val="18"/>
                <w:szCs w:val="18"/>
              </w:rPr>
              <w:t>86.2%</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5D29BF7" w14:textId="77777777" w:rsidR="00E32AD9" w:rsidRDefault="00000000">
            <w:pPr>
              <w:widowControl w:val="0"/>
              <w:jc w:val="right"/>
              <w:rPr>
                <w:color w:val="434343"/>
                <w:sz w:val="18"/>
                <w:szCs w:val="18"/>
              </w:rPr>
            </w:pPr>
            <w:r>
              <w:rPr>
                <w:color w:val="434343"/>
                <w:sz w:val="18"/>
                <w:szCs w:val="18"/>
              </w:rPr>
              <w:t>8.1%</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B621C8" w14:textId="77777777" w:rsidR="00E32AD9" w:rsidRDefault="00000000">
            <w:pPr>
              <w:widowControl w:val="0"/>
              <w:jc w:val="right"/>
              <w:rPr>
                <w:color w:val="434343"/>
                <w:sz w:val="18"/>
                <w:szCs w:val="18"/>
              </w:rPr>
            </w:pPr>
            <w:r>
              <w:rPr>
                <w:color w:val="434343"/>
                <w:sz w:val="18"/>
                <w:szCs w:val="18"/>
              </w:rPr>
              <w:t>84.9%</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53AC156" w14:textId="77777777" w:rsidR="00E32AD9" w:rsidRDefault="00000000">
            <w:pPr>
              <w:widowControl w:val="0"/>
              <w:jc w:val="right"/>
              <w:rPr>
                <w:color w:val="434343"/>
                <w:sz w:val="18"/>
                <w:szCs w:val="18"/>
              </w:rPr>
            </w:pPr>
            <w:r>
              <w:rPr>
                <w:color w:val="434343"/>
                <w:sz w:val="18"/>
                <w:szCs w:val="18"/>
              </w:rPr>
              <w:t>4.6%</w:t>
            </w:r>
          </w:p>
        </w:tc>
      </w:tr>
      <w:tr w:rsidR="00E32AD9" w14:paraId="0C43B02A" w14:textId="77777777">
        <w:trPr>
          <w:trHeight w:val="315"/>
          <w:jc w:val="center"/>
        </w:trPr>
        <w:tc>
          <w:tcPr>
            <w:tcW w:w="7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CF70D40" w14:textId="77777777" w:rsidR="00E32AD9" w:rsidRDefault="00000000">
            <w:pPr>
              <w:widowControl w:val="0"/>
              <w:jc w:val="right"/>
              <w:rPr>
                <w:color w:val="434343"/>
                <w:sz w:val="18"/>
                <w:szCs w:val="18"/>
              </w:rPr>
            </w:pPr>
            <w:r>
              <w:rPr>
                <w:color w:val="434343"/>
                <w:sz w:val="18"/>
                <w:szCs w:val="18"/>
              </w:rPr>
              <w:t>L2SVM</w:t>
            </w:r>
          </w:p>
        </w:tc>
        <w:tc>
          <w:tcPr>
            <w:tcW w:w="7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CC44AC2" w14:textId="77777777" w:rsidR="00E32AD9" w:rsidRDefault="00000000">
            <w:pPr>
              <w:widowControl w:val="0"/>
              <w:jc w:val="right"/>
              <w:rPr>
                <w:color w:val="434343"/>
                <w:sz w:val="18"/>
                <w:szCs w:val="18"/>
              </w:rPr>
            </w:pPr>
            <w:r>
              <w:rPr>
                <w:color w:val="434343"/>
                <w:sz w:val="18"/>
                <w:szCs w:val="18"/>
              </w:rPr>
              <w:t>84.6%</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174CDB7" w14:textId="77777777" w:rsidR="00E32AD9" w:rsidRDefault="00000000">
            <w:pPr>
              <w:widowControl w:val="0"/>
              <w:jc w:val="right"/>
              <w:rPr>
                <w:color w:val="434343"/>
                <w:sz w:val="18"/>
                <w:szCs w:val="18"/>
              </w:rPr>
            </w:pPr>
            <w:r>
              <w:rPr>
                <w:color w:val="434343"/>
                <w:sz w:val="18"/>
                <w:szCs w:val="18"/>
              </w:rPr>
              <w:t>8.4%</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04CC22" w14:textId="77777777" w:rsidR="00E32AD9" w:rsidRDefault="00000000">
            <w:pPr>
              <w:widowControl w:val="0"/>
              <w:jc w:val="right"/>
              <w:rPr>
                <w:color w:val="434343"/>
                <w:sz w:val="18"/>
                <w:szCs w:val="18"/>
              </w:rPr>
            </w:pPr>
            <w:r>
              <w:rPr>
                <w:color w:val="434343"/>
                <w:sz w:val="18"/>
                <w:szCs w:val="18"/>
              </w:rPr>
              <w:t>81.5%</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18087F" w14:textId="77777777" w:rsidR="00E32AD9" w:rsidRDefault="00000000">
            <w:pPr>
              <w:widowControl w:val="0"/>
              <w:jc w:val="right"/>
              <w:rPr>
                <w:color w:val="434343"/>
                <w:sz w:val="18"/>
                <w:szCs w:val="18"/>
              </w:rPr>
            </w:pPr>
            <w:r>
              <w:rPr>
                <w:color w:val="434343"/>
                <w:sz w:val="18"/>
                <w:szCs w:val="18"/>
              </w:rPr>
              <w:t>5.6%</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D0AC94E" w14:textId="77777777" w:rsidR="00E32AD9" w:rsidRDefault="00000000">
            <w:pPr>
              <w:widowControl w:val="0"/>
              <w:jc w:val="right"/>
              <w:rPr>
                <w:color w:val="434343"/>
                <w:sz w:val="18"/>
                <w:szCs w:val="18"/>
              </w:rPr>
            </w:pPr>
            <w:r>
              <w:rPr>
                <w:color w:val="434343"/>
                <w:sz w:val="18"/>
                <w:szCs w:val="18"/>
              </w:rPr>
              <w:t>84.4%</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1D96EA7" w14:textId="77777777" w:rsidR="00E32AD9" w:rsidRDefault="00000000">
            <w:pPr>
              <w:widowControl w:val="0"/>
              <w:jc w:val="right"/>
              <w:rPr>
                <w:color w:val="434343"/>
                <w:sz w:val="18"/>
                <w:szCs w:val="18"/>
              </w:rPr>
            </w:pPr>
            <w:r>
              <w:rPr>
                <w:color w:val="434343"/>
                <w:sz w:val="18"/>
                <w:szCs w:val="18"/>
              </w:rPr>
              <w:t>7.4%</w:t>
            </w:r>
          </w:p>
        </w:tc>
        <w:tc>
          <w:tcPr>
            <w:tcW w:w="63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D76FB26" w14:textId="77777777" w:rsidR="00E32AD9" w:rsidRDefault="00000000">
            <w:pPr>
              <w:widowControl w:val="0"/>
              <w:jc w:val="right"/>
              <w:rPr>
                <w:color w:val="434343"/>
                <w:sz w:val="18"/>
                <w:szCs w:val="18"/>
              </w:rPr>
            </w:pPr>
            <w:r>
              <w:rPr>
                <w:color w:val="434343"/>
                <w:sz w:val="18"/>
                <w:szCs w:val="18"/>
              </w:rPr>
              <w:t>81.3%</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88DABA9" w14:textId="77777777" w:rsidR="00E32AD9" w:rsidRDefault="00000000">
            <w:pPr>
              <w:widowControl w:val="0"/>
              <w:jc w:val="right"/>
              <w:rPr>
                <w:color w:val="434343"/>
                <w:sz w:val="18"/>
                <w:szCs w:val="18"/>
              </w:rPr>
            </w:pPr>
            <w:r>
              <w:rPr>
                <w:color w:val="434343"/>
                <w:sz w:val="18"/>
                <w:szCs w:val="18"/>
              </w:rPr>
              <w:t>6.1%</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DFF377B" w14:textId="77777777" w:rsidR="00E32AD9" w:rsidRDefault="00000000">
            <w:pPr>
              <w:widowControl w:val="0"/>
              <w:jc w:val="right"/>
              <w:rPr>
                <w:color w:val="434343"/>
                <w:sz w:val="18"/>
                <w:szCs w:val="18"/>
              </w:rPr>
            </w:pPr>
            <w:r>
              <w:rPr>
                <w:color w:val="434343"/>
                <w:sz w:val="18"/>
                <w:szCs w:val="18"/>
              </w:rPr>
              <w:t>78.4%</w:t>
            </w:r>
          </w:p>
        </w:tc>
        <w:tc>
          <w:tcPr>
            <w:tcW w:w="6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3002F4C" w14:textId="77777777" w:rsidR="00E32AD9" w:rsidRDefault="00000000">
            <w:pPr>
              <w:widowControl w:val="0"/>
              <w:jc w:val="right"/>
              <w:rPr>
                <w:color w:val="434343"/>
                <w:sz w:val="18"/>
                <w:szCs w:val="18"/>
              </w:rPr>
            </w:pPr>
            <w:r>
              <w:rPr>
                <w:color w:val="434343"/>
                <w:sz w:val="18"/>
                <w:szCs w:val="18"/>
              </w:rPr>
              <w:t>11.6%</w:t>
            </w:r>
          </w:p>
        </w:tc>
        <w:tc>
          <w:tcPr>
            <w:tcW w:w="6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9232046" w14:textId="77777777" w:rsidR="00E32AD9" w:rsidRDefault="00000000">
            <w:pPr>
              <w:widowControl w:val="0"/>
              <w:jc w:val="right"/>
              <w:rPr>
                <w:color w:val="434343"/>
                <w:sz w:val="18"/>
                <w:szCs w:val="18"/>
              </w:rPr>
            </w:pPr>
            <w:r>
              <w:rPr>
                <w:color w:val="434343"/>
                <w:sz w:val="18"/>
                <w:szCs w:val="18"/>
              </w:rPr>
              <w:t>81.7%</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399D09C" w14:textId="77777777" w:rsidR="00E32AD9" w:rsidRDefault="00000000">
            <w:pPr>
              <w:widowControl w:val="0"/>
              <w:jc w:val="right"/>
              <w:rPr>
                <w:color w:val="434343"/>
                <w:sz w:val="18"/>
                <w:szCs w:val="18"/>
              </w:rPr>
            </w:pPr>
            <w:r>
              <w:rPr>
                <w:color w:val="434343"/>
                <w:sz w:val="18"/>
                <w:szCs w:val="18"/>
              </w:rPr>
              <w:t>5.2%</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EE4A678" w14:textId="77777777" w:rsidR="00E32AD9" w:rsidRDefault="00000000">
            <w:pPr>
              <w:widowControl w:val="0"/>
              <w:jc w:val="right"/>
              <w:rPr>
                <w:color w:val="434343"/>
                <w:sz w:val="18"/>
                <w:szCs w:val="18"/>
              </w:rPr>
            </w:pPr>
            <w:r>
              <w:rPr>
                <w:color w:val="434343"/>
                <w:sz w:val="18"/>
                <w:szCs w:val="18"/>
              </w:rPr>
              <w:t>84.7%</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D33379" w14:textId="77777777" w:rsidR="00E32AD9" w:rsidRDefault="00000000">
            <w:pPr>
              <w:widowControl w:val="0"/>
              <w:jc w:val="right"/>
              <w:rPr>
                <w:color w:val="434343"/>
                <w:sz w:val="18"/>
                <w:szCs w:val="18"/>
              </w:rPr>
            </w:pPr>
            <w:r>
              <w:rPr>
                <w:color w:val="434343"/>
                <w:sz w:val="18"/>
                <w:szCs w:val="18"/>
              </w:rPr>
              <w:t>9.7%</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56A4F52" w14:textId="77777777" w:rsidR="00E32AD9" w:rsidRDefault="00000000">
            <w:pPr>
              <w:widowControl w:val="0"/>
              <w:jc w:val="right"/>
              <w:rPr>
                <w:color w:val="434343"/>
                <w:sz w:val="18"/>
                <w:szCs w:val="18"/>
              </w:rPr>
            </w:pPr>
            <w:r>
              <w:rPr>
                <w:color w:val="434343"/>
                <w:sz w:val="18"/>
                <w:szCs w:val="18"/>
              </w:rPr>
              <w:t>85.6%</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A71D6A1" w14:textId="77777777" w:rsidR="00E32AD9" w:rsidRDefault="00000000">
            <w:pPr>
              <w:widowControl w:val="0"/>
              <w:jc w:val="right"/>
              <w:rPr>
                <w:color w:val="434343"/>
                <w:sz w:val="18"/>
                <w:szCs w:val="18"/>
              </w:rPr>
            </w:pPr>
            <w:r>
              <w:rPr>
                <w:color w:val="434343"/>
                <w:sz w:val="18"/>
                <w:szCs w:val="18"/>
              </w:rPr>
              <w:t>5.2%</w:t>
            </w:r>
          </w:p>
        </w:tc>
      </w:tr>
      <w:tr w:rsidR="00E32AD9" w14:paraId="32739EED" w14:textId="77777777">
        <w:trPr>
          <w:trHeight w:val="315"/>
          <w:jc w:val="center"/>
        </w:trPr>
        <w:tc>
          <w:tcPr>
            <w:tcW w:w="7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C9EE49" w14:textId="77777777" w:rsidR="00E32AD9" w:rsidRDefault="00000000">
            <w:pPr>
              <w:widowControl w:val="0"/>
              <w:jc w:val="right"/>
              <w:rPr>
                <w:color w:val="434343"/>
                <w:sz w:val="18"/>
                <w:szCs w:val="18"/>
              </w:rPr>
            </w:pPr>
            <w:r>
              <w:rPr>
                <w:color w:val="434343"/>
                <w:sz w:val="18"/>
                <w:szCs w:val="18"/>
              </w:rPr>
              <w:t>RF</w:t>
            </w:r>
          </w:p>
        </w:tc>
        <w:tc>
          <w:tcPr>
            <w:tcW w:w="7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CC734BF" w14:textId="77777777" w:rsidR="00E32AD9" w:rsidRDefault="00000000">
            <w:pPr>
              <w:widowControl w:val="0"/>
              <w:jc w:val="right"/>
              <w:rPr>
                <w:color w:val="434343"/>
                <w:sz w:val="18"/>
                <w:szCs w:val="18"/>
              </w:rPr>
            </w:pPr>
            <w:r>
              <w:rPr>
                <w:color w:val="434343"/>
                <w:sz w:val="18"/>
                <w:szCs w:val="18"/>
              </w:rPr>
              <w:t>83.3%</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13F4F23" w14:textId="77777777" w:rsidR="00E32AD9" w:rsidRDefault="00000000">
            <w:pPr>
              <w:widowControl w:val="0"/>
              <w:jc w:val="right"/>
              <w:rPr>
                <w:color w:val="434343"/>
                <w:sz w:val="18"/>
                <w:szCs w:val="18"/>
              </w:rPr>
            </w:pPr>
            <w:r>
              <w:rPr>
                <w:color w:val="434343"/>
                <w:sz w:val="18"/>
                <w:szCs w:val="18"/>
              </w:rPr>
              <w:t>7.9%</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CBE40F" w14:textId="77777777" w:rsidR="00E32AD9" w:rsidRDefault="00000000">
            <w:pPr>
              <w:widowControl w:val="0"/>
              <w:jc w:val="right"/>
              <w:rPr>
                <w:color w:val="434343"/>
                <w:sz w:val="18"/>
                <w:szCs w:val="18"/>
              </w:rPr>
            </w:pPr>
            <w:r>
              <w:rPr>
                <w:color w:val="434343"/>
                <w:sz w:val="18"/>
                <w:szCs w:val="18"/>
              </w:rPr>
              <w:t>81.0%</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CF8CE1E" w14:textId="77777777" w:rsidR="00E32AD9" w:rsidRDefault="00000000">
            <w:pPr>
              <w:widowControl w:val="0"/>
              <w:jc w:val="right"/>
              <w:rPr>
                <w:color w:val="434343"/>
                <w:sz w:val="18"/>
                <w:szCs w:val="18"/>
              </w:rPr>
            </w:pPr>
            <w:r>
              <w:rPr>
                <w:color w:val="434343"/>
                <w:sz w:val="18"/>
                <w:szCs w:val="18"/>
              </w:rPr>
              <w:t>6.6%</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008375B" w14:textId="77777777" w:rsidR="00E32AD9" w:rsidRDefault="00000000">
            <w:pPr>
              <w:widowControl w:val="0"/>
              <w:jc w:val="right"/>
              <w:rPr>
                <w:color w:val="434343"/>
                <w:sz w:val="18"/>
                <w:szCs w:val="18"/>
              </w:rPr>
            </w:pPr>
            <w:r>
              <w:rPr>
                <w:color w:val="434343"/>
                <w:sz w:val="18"/>
                <w:szCs w:val="18"/>
              </w:rPr>
              <w:t>83.7%</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6406B76" w14:textId="77777777" w:rsidR="00E32AD9" w:rsidRDefault="00000000">
            <w:pPr>
              <w:widowControl w:val="0"/>
              <w:jc w:val="right"/>
              <w:rPr>
                <w:color w:val="434343"/>
                <w:sz w:val="18"/>
                <w:szCs w:val="18"/>
              </w:rPr>
            </w:pPr>
            <w:r>
              <w:rPr>
                <w:color w:val="434343"/>
                <w:sz w:val="18"/>
                <w:szCs w:val="18"/>
              </w:rPr>
              <w:t>11.2%</w:t>
            </w:r>
          </w:p>
        </w:tc>
        <w:tc>
          <w:tcPr>
            <w:tcW w:w="63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06759B2" w14:textId="77777777" w:rsidR="00E32AD9" w:rsidRDefault="00000000">
            <w:pPr>
              <w:widowControl w:val="0"/>
              <w:jc w:val="right"/>
              <w:rPr>
                <w:color w:val="434343"/>
                <w:sz w:val="18"/>
                <w:szCs w:val="18"/>
              </w:rPr>
            </w:pPr>
            <w:r>
              <w:rPr>
                <w:color w:val="434343"/>
                <w:sz w:val="18"/>
                <w:szCs w:val="18"/>
              </w:rPr>
              <w:t>80.0%</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E8D49D" w14:textId="77777777" w:rsidR="00E32AD9" w:rsidRDefault="00000000">
            <w:pPr>
              <w:widowControl w:val="0"/>
              <w:jc w:val="right"/>
              <w:rPr>
                <w:color w:val="434343"/>
                <w:sz w:val="18"/>
                <w:szCs w:val="18"/>
              </w:rPr>
            </w:pPr>
            <w:r>
              <w:rPr>
                <w:color w:val="434343"/>
                <w:sz w:val="18"/>
                <w:szCs w:val="18"/>
              </w:rPr>
              <w:t>6.9%</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A314170" w14:textId="77777777" w:rsidR="00E32AD9" w:rsidRDefault="00000000">
            <w:pPr>
              <w:widowControl w:val="0"/>
              <w:jc w:val="right"/>
              <w:rPr>
                <w:color w:val="434343"/>
                <w:sz w:val="18"/>
                <w:szCs w:val="18"/>
              </w:rPr>
            </w:pPr>
            <w:r>
              <w:rPr>
                <w:color w:val="434343"/>
                <w:sz w:val="18"/>
                <w:szCs w:val="18"/>
              </w:rPr>
              <w:t>89.3%</w:t>
            </w:r>
          </w:p>
        </w:tc>
        <w:tc>
          <w:tcPr>
            <w:tcW w:w="6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EA81438" w14:textId="77777777" w:rsidR="00E32AD9" w:rsidRDefault="00000000">
            <w:pPr>
              <w:widowControl w:val="0"/>
              <w:jc w:val="right"/>
              <w:rPr>
                <w:color w:val="434343"/>
                <w:sz w:val="18"/>
                <w:szCs w:val="18"/>
              </w:rPr>
            </w:pPr>
            <w:r>
              <w:rPr>
                <w:color w:val="434343"/>
                <w:sz w:val="18"/>
                <w:szCs w:val="18"/>
              </w:rPr>
              <w:t>5.7%</w:t>
            </w:r>
          </w:p>
        </w:tc>
        <w:tc>
          <w:tcPr>
            <w:tcW w:w="6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11C7A77" w14:textId="77777777" w:rsidR="00E32AD9" w:rsidRDefault="00000000">
            <w:pPr>
              <w:widowControl w:val="0"/>
              <w:jc w:val="right"/>
              <w:rPr>
                <w:color w:val="434343"/>
                <w:sz w:val="18"/>
                <w:szCs w:val="18"/>
              </w:rPr>
            </w:pPr>
            <w:r>
              <w:rPr>
                <w:color w:val="434343"/>
                <w:sz w:val="18"/>
                <w:szCs w:val="18"/>
              </w:rPr>
              <w:t>90.2%</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C930411" w14:textId="77777777" w:rsidR="00E32AD9" w:rsidRDefault="00000000">
            <w:pPr>
              <w:widowControl w:val="0"/>
              <w:jc w:val="right"/>
              <w:rPr>
                <w:color w:val="434343"/>
                <w:sz w:val="18"/>
                <w:szCs w:val="18"/>
              </w:rPr>
            </w:pPr>
            <w:r>
              <w:rPr>
                <w:color w:val="434343"/>
                <w:sz w:val="18"/>
                <w:szCs w:val="18"/>
              </w:rPr>
              <w:t>4.4%</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F0FDC0A" w14:textId="77777777" w:rsidR="00E32AD9" w:rsidRDefault="00000000">
            <w:pPr>
              <w:widowControl w:val="0"/>
              <w:jc w:val="right"/>
              <w:rPr>
                <w:color w:val="434343"/>
                <w:sz w:val="18"/>
                <w:szCs w:val="18"/>
              </w:rPr>
            </w:pPr>
            <w:r>
              <w:rPr>
                <w:color w:val="434343"/>
                <w:sz w:val="18"/>
                <w:szCs w:val="18"/>
              </w:rPr>
              <w:t>78.4%</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E7939A2" w14:textId="77777777" w:rsidR="00E32AD9" w:rsidRDefault="00000000">
            <w:pPr>
              <w:widowControl w:val="0"/>
              <w:jc w:val="right"/>
              <w:rPr>
                <w:color w:val="434343"/>
                <w:sz w:val="18"/>
                <w:szCs w:val="18"/>
              </w:rPr>
            </w:pPr>
            <w:r>
              <w:rPr>
                <w:color w:val="434343"/>
                <w:sz w:val="18"/>
                <w:szCs w:val="18"/>
              </w:rPr>
              <w:t>14.6%</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BA4D910" w14:textId="77777777" w:rsidR="00E32AD9" w:rsidRDefault="00000000">
            <w:pPr>
              <w:widowControl w:val="0"/>
              <w:jc w:val="right"/>
              <w:rPr>
                <w:color w:val="434343"/>
                <w:sz w:val="18"/>
                <w:szCs w:val="18"/>
              </w:rPr>
            </w:pPr>
            <w:r>
              <w:rPr>
                <w:color w:val="434343"/>
                <w:sz w:val="18"/>
                <w:szCs w:val="18"/>
              </w:rPr>
              <w:t>81.1%</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E281328" w14:textId="77777777" w:rsidR="00E32AD9" w:rsidRDefault="00000000">
            <w:pPr>
              <w:widowControl w:val="0"/>
              <w:jc w:val="right"/>
              <w:rPr>
                <w:color w:val="434343"/>
                <w:sz w:val="18"/>
                <w:szCs w:val="18"/>
              </w:rPr>
            </w:pPr>
            <w:r>
              <w:rPr>
                <w:color w:val="434343"/>
                <w:sz w:val="18"/>
                <w:szCs w:val="18"/>
              </w:rPr>
              <w:t>4.3%</w:t>
            </w:r>
          </w:p>
        </w:tc>
      </w:tr>
      <w:tr w:rsidR="00E32AD9" w14:paraId="0FAF555A" w14:textId="77777777">
        <w:trPr>
          <w:trHeight w:val="315"/>
          <w:jc w:val="center"/>
        </w:trPr>
        <w:tc>
          <w:tcPr>
            <w:tcW w:w="7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8A4C92F" w14:textId="77777777" w:rsidR="00E32AD9" w:rsidRDefault="00000000">
            <w:pPr>
              <w:widowControl w:val="0"/>
              <w:jc w:val="right"/>
              <w:rPr>
                <w:color w:val="434343"/>
                <w:sz w:val="18"/>
                <w:szCs w:val="18"/>
              </w:rPr>
            </w:pPr>
            <w:r>
              <w:rPr>
                <w:color w:val="434343"/>
                <w:sz w:val="18"/>
                <w:szCs w:val="18"/>
              </w:rPr>
              <w:t>MLP</w:t>
            </w:r>
          </w:p>
        </w:tc>
        <w:tc>
          <w:tcPr>
            <w:tcW w:w="7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C6D6CF" w14:textId="77777777" w:rsidR="00E32AD9" w:rsidRDefault="00000000">
            <w:pPr>
              <w:widowControl w:val="0"/>
              <w:jc w:val="right"/>
              <w:rPr>
                <w:color w:val="434343"/>
                <w:sz w:val="18"/>
                <w:szCs w:val="18"/>
              </w:rPr>
            </w:pPr>
            <w:r>
              <w:rPr>
                <w:color w:val="434343"/>
                <w:sz w:val="18"/>
                <w:szCs w:val="18"/>
              </w:rPr>
              <w:t>83.3%</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B2B88A8" w14:textId="77777777" w:rsidR="00E32AD9" w:rsidRDefault="00000000">
            <w:pPr>
              <w:widowControl w:val="0"/>
              <w:jc w:val="right"/>
              <w:rPr>
                <w:color w:val="434343"/>
                <w:sz w:val="18"/>
                <w:szCs w:val="18"/>
              </w:rPr>
            </w:pPr>
            <w:r>
              <w:rPr>
                <w:color w:val="434343"/>
                <w:sz w:val="18"/>
                <w:szCs w:val="18"/>
              </w:rPr>
              <w:t>11.9%</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0267D7C" w14:textId="77777777" w:rsidR="00E32AD9" w:rsidRDefault="00000000">
            <w:pPr>
              <w:widowControl w:val="0"/>
              <w:jc w:val="right"/>
              <w:rPr>
                <w:color w:val="434343"/>
                <w:sz w:val="18"/>
                <w:szCs w:val="18"/>
              </w:rPr>
            </w:pPr>
            <w:r>
              <w:rPr>
                <w:color w:val="434343"/>
                <w:sz w:val="18"/>
                <w:szCs w:val="18"/>
              </w:rPr>
              <w:t>83.1%</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FA8B977" w14:textId="77777777" w:rsidR="00E32AD9" w:rsidRDefault="00000000">
            <w:pPr>
              <w:widowControl w:val="0"/>
              <w:jc w:val="right"/>
              <w:rPr>
                <w:color w:val="434343"/>
                <w:sz w:val="18"/>
                <w:szCs w:val="18"/>
              </w:rPr>
            </w:pPr>
            <w:r>
              <w:rPr>
                <w:color w:val="434343"/>
                <w:sz w:val="18"/>
                <w:szCs w:val="18"/>
              </w:rPr>
              <w:t>7.2%</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6DFE5A5" w14:textId="77777777" w:rsidR="00E32AD9" w:rsidRDefault="00000000">
            <w:pPr>
              <w:widowControl w:val="0"/>
              <w:jc w:val="right"/>
              <w:rPr>
                <w:color w:val="434343"/>
                <w:sz w:val="18"/>
                <w:szCs w:val="18"/>
              </w:rPr>
            </w:pPr>
            <w:r>
              <w:rPr>
                <w:color w:val="434343"/>
                <w:sz w:val="18"/>
                <w:szCs w:val="18"/>
              </w:rPr>
              <w:t>84.9%</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79B57F" w14:textId="77777777" w:rsidR="00E32AD9" w:rsidRDefault="00000000">
            <w:pPr>
              <w:widowControl w:val="0"/>
              <w:jc w:val="right"/>
              <w:rPr>
                <w:color w:val="434343"/>
                <w:sz w:val="18"/>
                <w:szCs w:val="18"/>
              </w:rPr>
            </w:pPr>
            <w:r>
              <w:rPr>
                <w:color w:val="434343"/>
                <w:sz w:val="18"/>
                <w:szCs w:val="18"/>
              </w:rPr>
              <w:t>8.0%</w:t>
            </w:r>
          </w:p>
        </w:tc>
        <w:tc>
          <w:tcPr>
            <w:tcW w:w="63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3498B6" w14:textId="77777777" w:rsidR="00E32AD9" w:rsidRDefault="00000000">
            <w:pPr>
              <w:widowControl w:val="0"/>
              <w:jc w:val="right"/>
              <w:rPr>
                <w:color w:val="434343"/>
                <w:sz w:val="18"/>
                <w:szCs w:val="18"/>
              </w:rPr>
            </w:pPr>
            <w:r>
              <w:rPr>
                <w:color w:val="434343"/>
                <w:sz w:val="18"/>
                <w:szCs w:val="18"/>
              </w:rPr>
              <w:t>81.9%</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AD35436" w14:textId="77777777" w:rsidR="00E32AD9" w:rsidRDefault="00000000">
            <w:pPr>
              <w:widowControl w:val="0"/>
              <w:jc w:val="right"/>
              <w:rPr>
                <w:color w:val="434343"/>
                <w:sz w:val="18"/>
                <w:szCs w:val="18"/>
              </w:rPr>
            </w:pPr>
            <w:r>
              <w:rPr>
                <w:color w:val="434343"/>
                <w:sz w:val="18"/>
                <w:szCs w:val="18"/>
              </w:rPr>
              <w:t>5.2%</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8526A25" w14:textId="77777777" w:rsidR="00E32AD9" w:rsidRDefault="00000000">
            <w:pPr>
              <w:widowControl w:val="0"/>
              <w:jc w:val="right"/>
              <w:rPr>
                <w:color w:val="434343"/>
                <w:sz w:val="18"/>
                <w:szCs w:val="18"/>
              </w:rPr>
            </w:pPr>
            <w:r>
              <w:rPr>
                <w:color w:val="434343"/>
                <w:sz w:val="18"/>
                <w:szCs w:val="18"/>
              </w:rPr>
              <w:t>81.1%</w:t>
            </w:r>
          </w:p>
        </w:tc>
        <w:tc>
          <w:tcPr>
            <w:tcW w:w="6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CBECEB3" w14:textId="77777777" w:rsidR="00E32AD9" w:rsidRDefault="00000000">
            <w:pPr>
              <w:widowControl w:val="0"/>
              <w:jc w:val="right"/>
              <w:rPr>
                <w:color w:val="434343"/>
                <w:sz w:val="18"/>
                <w:szCs w:val="18"/>
              </w:rPr>
            </w:pPr>
            <w:r>
              <w:rPr>
                <w:color w:val="434343"/>
                <w:sz w:val="18"/>
                <w:szCs w:val="18"/>
              </w:rPr>
              <w:t>11.6%</w:t>
            </w:r>
          </w:p>
        </w:tc>
        <w:tc>
          <w:tcPr>
            <w:tcW w:w="6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F0CB13F" w14:textId="77777777" w:rsidR="00E32AD9" w:rsidRDefault="00000000">
            <w:pPr>
              <w:widowControl w:val="0"/>
              <w:jc w:val="right"/>
              <w:rPr>
                <w:color w:val="434343"/>
                <w:sz w:val="18"/>
                <w:szCs w:val="18"/>
              </w:rPr>
            </w:pPr>
            <w:r>
              <w:rPr>
                <w:color w:val="434343"/>
                <w:sz w:val="18"/>
                <w:szCs w:val="18"/>
              </w:rPr>
              <w:t>83.2%</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4F8A06A" w14:textId="77777777" w:rsidR="00E32AD9" w:rsidRDefault="00000000">
            <w:pPr>
              <w:widowControl w:val="0"/>
              <w:jc w:val="right"/>
              <w:rPr>
                <w:color w:val="434343"/>
                <w:sz w:val="18"/>
                <w:szCs w:val="18"/>
              </w:rPr>
            </w:pPr>
            <w:r>
              <w:rPr>
                <w:color w:val="434343"/>
                <w:sz w:val="18"/>
                <w:szCs w:val="18"/>
              </w:rPr>
              <w:t>4.9%</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12EFD3E" w14:textId="77777777" w:rsidR="00E32AD9" w:rsidRDefault="00000000">
            <w:pPr>
              <w:widowControl w:val="0"/>
              <w:jc w:val="right"/>
              <w:rPr>
                <w:color w:val="434343"/>
                <w:sz w:val="18"/>
                <w:szCs w:val="18"/>
              </w:rPr>
            </w:pPr>
            <w:r>
              <w:rPr>
                <w:color w:val="434343"/>
                <w:sz w:val="18"/>
                <w:szCs w:val="18"/>
              </w:rPr>
              <w:t>77.8%</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2B5FB3A" w14:textId="77777777" w:rsidR="00E32AD9" w:rsidRDefault="00000000">
            <w:pPr>
              <w:widowControl w:val="0"/>
              <w:jc w:val="right"/>
              <w:rPr>
                <w:color w:val="434343"/>
                <w:sz w:val="18"/>
                <w:szCs w:val="18"/>
              </w:rPr>
            </w:pPr>
            <w:r>
              <w:rPr>
                <w:color w:val="434343"/>
                <w:sz w:val="18"/>
                <w:szCs w:val="18"/>
              </w:rPr>
              <w:t>12.0%</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A73D9C1" w14:textId="77777777" w:rsidR="00E32AD9" w:rsidRDefault="00000000">
            <w:pPr>
              <w:widowControl w:val="0"/>
              <w:jc w:val="right"/>
              <w:rPr>
                <w:color w:val="434343"/>
                <w:sz w:val="18"/>
                <w:szCs w:val="18"/>
              </w:rPr>
            </w:pPr>
            <w:r>
              <w:rPr>
                <w:color w:val="434343"/>
                <w:sz w:val="18"/>
                <w:szCs w:val="18"/>
              </w:rPr>
              <w:t>79.9%</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9759A5A" w14:textId="77777777" w:rsidR="00E32AD9" w:rsidRDefault="00000000">
            <w:pPr>
              <w:widowControl w:val="0"/>
              <w:jc w:val="right"/>
              <w:rPr>
                <w:color w:val="434343"/>
                <w:sz w:val="18"/>
                <w:szCs w:val="18"/>
              </w:rPr>
            </w:pPr>
            <w:r>
              <w:rPr>
                <w:color w:val="434343"/>
                <w:sz w:val="18"/>
                <w:szCs w:val="18"/>
              </w:rPr>
              <w:t>3.9%</w:t>
            </w:r>
          </w:p>
        </w:tc>
      </w:tr>
      <w:tr w:rsidR="00E32AD9" w14:paraId="412820F7" w14:textId="77777777">
        <w:trPr>
          <w:trHeight w:val="315"/>
          <w:jc w:val="center"/>
        </w:trPr>
        <w:tc>
          <w:tcPr>
            <w:tcW w:w="7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46A0B53" w14:textId="77777777" w:rsidR="00E32AD9" w:rsidRDefault="00000000">
            <w:pPr>
              <w:widowControl w:val="0"/>
              <w:jc w:val="right"/>
              <w:rPr>
                <w:color w:val="434343"/>
                <w:sz w:val="18"/>
                <w:szCs w:val="18"/>
              </w:rPr>
            </w:pPr>
            <w:proofErr w:type="spellStart"/>
            <w:r>
              <w:rPr>
                <w:color w:val="434343"/>
                <w:sz w:val="18"/>
                <w:szCs w:val="18"/>
              </w:rPr>
              <w:t>LightGBM</w:t>
            </w:r>
            <w:proofErr w:type="spellEnd"/>
          </w:p>
        </w:tc>
        <w:tc>
          <w:tcPr>
            <w:tcW w:w="7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34160BF" w14:textId="77777777" w:rsidR="00E32AD9" w:rsidRDefault="00000000">
            <w:pPr>
              <w:widowControl w:val="0"/>
              <w:jc w:val="right"/>
              <w:rPr>
                <w:color w:val="434343"/>
                <w:sz w:val="18"/>
                <w:szCs w:val="18"/>
              </w:rPr>
            </w:pPr>
            <w:r>
              <w:rPr>
                <w:color w:val="434343"/>
                <w:sz w:val="18"/>
                <w:szCs w:val="18"/>
              </w:rPr>
              <w:t>81.8%</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E2940F2" w14:textId="77777777" w:rsidR="00E32AD9" w:rsidRDefault="00000000">
            <w:pPr>
              <w:widowControl w:val="0"/>
              <w:jc w:val="right"/>
              <w:rPr>
                <w:color w:val="434343"/>
                <w:sz w:val="18"/>
                <w:szCs w:val="18"/>
              </w:rPr>
            </w:pPr>
            <w:r>
              <w:rPr>
                <w:color w:val="434343"/>
                <w:sz w:val="18"/>
                <w:szCs w:val="18"/>
              </w:rPr>
              <w:t>6.8%</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FAD81A6" w14:textId="77777777" w:rsidR="00E32AD9" w:rsidRDefault="00000000">
            <w:pPr>
              <w:widowControl w:val="0"/>
              <w:jc w:val="right"/>
              <w:rPr>
                <w:color w:val="434343"/>
                <w:sz w:val="18"/>
                <w:szCs w:val="18"/>
              </w:rPr>
            </w:pPr>
            <w:r>
              <w:rPr>
                <w:color w:val="434343"/>
                <w:sz w:val="18"/>
                <w:szCs w:val="18"/>
              </w:rPr>
              <w:t>78.6%</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E537FEB" w14:textId="77777777" w:rsidR="00E32AD9" w:rsidRDefault="00000000">
            <w:pPr>
              <w:widowControl w:val="0"/>
              <w:jc w:val="right"/>
              <w:rPr>
                <w:color w:val="434343"/>
                <w:sz w:val="18"/>
                <w:szCs w:val="18"/>
              </w:rPr>
            </w:pPr>
            <w:r>
              <w:rPr>
                <w:color w:val="434343"/>
                <w:sz w:val="18"/>
                <w:szCs w:val="18"/>
              </w:rPr>
              <w:t>5.6%</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45F2035" w14:textId="77777777" w:rsidR="00E32AD9" w:rsidRDefault="00000000">
            <w:pPr>
              <w:widowControl w:val="0"/>
              <w:jc w:val="right"/>
              <w:rPr>
                <w:color w:val="434343"/>
                <w:sz w:val="18"/>
                <w:szCs w:val="18"/>
              </w:rPr>
            </w:pPr>
            <w:r>
              <w:rPr>
                <w:color w:val="434343"/>
                <w:sz w:val="18"/>
                <w:szCs w:val="18"/>
              </w:rPr>
              <w:t>83.6%</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0634FD2" w14:textId="77777777" w:rsidR="00E32AD9" w:rsidRDefault="00000000">
            <w:pPr>
              <w:widowControl w:val="0"/>
              <w:jc w:val="right"/>
              <w:rPr>
                <w:color w:val="434343"/>
                <w:sz w:val="18"/>
                <w:szCs w:val="18"/>
              </w:rPr>
            </w:pPr>
            <w:r>
              <w:rPr>
                <w:color w:val="434343"/>
                <w:sz w:val="18"/>
                <w:szCs w:val="18"/>
              </w:rPr>
              <w:t>11.1%</w:t>
            </w:r>
          </w:p>
        </w:tc>
        <w:tc>
          <w:tcPr>
            <w:tcW w:w="63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CF9F877" w14:textId="77777777" w:rsidR="00E32AD9" w:rsidRDefault="00000000">
            <w:pPr>
              <w:widowControl w:val="0"/>
              <w:jc w:val="right"/>
              <w:rPr>
                <w:color w:val="434343"/>
                <w:sz w:val="18"/>
                <w:szCs w:val="18"/>
              </w:rPr>
            </w:pPr>
            <w:r>
              <w:rPr>
                <w:color w:val="434343"/>
                <w:sz w:val="18"/>
                <w:szCs w:val="18"/>
              </w:rPr>
              <w:t>78.2%</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CBDCA84" w14:textId="77777777" w:rsidR="00E32AD9" w:rsidRDefault="00000000">
            <w:pPr>
              <w:widowControl w:val="0"/>
              <w:jc w:val="right"/>
              <w:rPr>
                <w:color w:val="434343"/>
                <w:sz w:val="18"/>
                <w:szCs w:val="18"/>
              </w:rPr>
            </w:pPr>
            <w:r>
              <w:rPr>
                <w:color w:val="434343"/>
                <w:sz w:val="18"/>
                <w:szCs w:val="18"/>
              </w:rPr>
              <w:t>6.0%</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80F0942" w14:textId="77777777" w:rsidR="00E32AD9" w:rsidRDefault="00000000">
            <w:pPr>
              <w:widowControl w:val="0"/>
              <w:jc w:val="right"/>
              <w:rPr>
                <w:color w:val="434343"/>
                <w:sz w:val="18"/>
                <w:szCs w:val="18"/>
              </w:rPr>
            </w:pPr>
            <w:r>
              <w:rPr>
                <w:color w:val="434343"/>
                <w:sz w:val="18"/>
                <w:szCs w:val="18"/>
              </w:rPr>
              <w:t>83.4%</w:t>
            </w:r>
          </w:p>
        </w:tc>
        <w:tc>
          <w:tcPr>
            <w:tcW w:w="6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3E32AF9" w14:textId="77777777" w:rsidR="00E32AD9" w:rsidRDefault="00000000">
            <w:pPr>
              <w:widowControl w:val="0"/>
              <w:jc w:val="right"/>
              <w:rPr>
                <w:color w:val="434343"/>
                <w:sz w:val="18"/>
                <w:szCs w:val="18"/>
              </w:rPr>
            </w:pPr>
            <w:r>
              <w:rPr>
                <w:color w:val="434343"/>
                <w:sz w:val="18"/>
                <w:szCs w:val="18"/>
              </w:rPr>
              <w:t>10.3%</w:t>
            </w:r>
          </w:p>
        </w:tc>
        <w:tc>
          <w:tcPr>
            <w:tcW w:w="6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CF4985A" w14:textId="77777777" w:rsidR="00E32AD9" w:rsidRDefault="00000000">
            <w:pPr>
              <w:widowControl w:val="0"/>
              <w:jc w:val="right"/>
              <w:rPr>
                <w:color w:val="434343"/>
                <w:sz w:val="18"/>
                <w:szCs w:val="18"/>
              </w:rPr>
            </w:pPr>
            <w:r>
              <w:rPr>
                <w:color w:val="434343"/>
                <w:sz w:val="18"/>
                <w:szCs w:val="18"/>
              </w:rPr>
              <w:t>86.1%</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E85A54F" w14:textId="77777777" w:rsidR="00E32AD9" w:rsidRDefault="00000000">
            <w:pPr>
              <w:widowControl w:val="0"/>
              <w:jc w:val="right"/>
              <w:rPr>
                <w:color w:val="434343"/>
                <w:sz w:val="18"/>
                <w:szCs w:val="18"/>
              </w:rPr>
            </w:pPr>
            <w:r>
              <w:rPr>
                <w:color w:val="434343"/>
                <w:sz w:val="18"/>
                <w:szCs w:val="18"/>
              </w:rPr>
              <w:t>4.6%</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823C833" w14:textId="77777777" w:rsidR="00E32AD9" w:rsidRDefault="00000000">
            <w:pPr>
              <w:widowControl w:val="0"/>
              <w:jc w:val="right"/>
              <w:rPr>
                <w:color w:val="434343"/>
                <w:sz w:val="18"/>
                <w:szCs w:val="18"/>
              </w:rPr>
            </w:pPr>
            <w:r>
              <w:rPr>
                <w:color w:val="434343"/>
                <w:sz w:val="18"/>
                <w:szCs w:val="18"/>
              </w:rPr>
              <w:t>80.8%</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FC43A26" w14:textId="77777777" w:rsidR="00E32AD9" w:rsidRDefault="00000000">
            <w:pPr>
              <w:widowControl w:val="0"/>
              <w:jc w:val="right"/>
              <w:rPr>
                <w:color w:val="434343"/>
                <w:sz w:val="18"/>
                <w:szCs w:val="18"/>
              </w:rPr>
            </w:pPr>
            <w:r>
              <w:rPr>
                <w:color w:val="434343"/>
                <w:sz w:val="18"/>
                <w:szCs w:val="18"/>
              </w:rPr>
              <w:t>10.2%</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5F793AD" w14:textId="77777777" w:rsidR="00E32AD9" w:rsidRDefault="00000000">
            <w:pPr>
              <w:widowControl w:val="0"/>
              <w:jc w:val="right"/>
              <w:rPr>
                <w:color w:val="434343"/>
                <w:sz w:val="18"/>
                <w:szCs w:val="18"/>
              </w:rPr>
            </w:pPr>
            <w:r>
              <w:rPr>
                <w:color w:val="434343"/>
                <w:sz w:val="18"/>
                <w:szCs w:val="18"/>
              </w:rPr>
              <w:t>83.7%</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5E945D0" w14:textId="77777777" w:rsidR="00E32AD9" w:rsidRDefault="00000000">
            <w:pPr>
              <w:widowControl w:val="0"/>
              <w:jc w:val="right"/>
              <w:rPr>
                <w:color w:val="434343"/>
                <w:sz w:val="18"/>
                <w:szCs w:val="18"/>
              </w:rPr>
            </w:pPr>
            <w:r>
              <w:rPr>
                <w:color w:val="434343"/>
                <w:sz w:val="18"/>
                <w:szCs w:val="18"/>
              </w:rPr>
              <w:t>6.0%</w:t>
            </w:r>
          </w:p>
        </w:tc>
      </w:tr>
    </w:tbl>
    <w:p w14:paraId="3B858CDB" w14:textId="77777777" w:rsidR="00E32AD9" w:rsidRDefault="00E32AD9">
      <w:pPr>
        <w:jc w:val="both"/>
        <w:rPr>
          <w:color w:val="434343"/>
          <w:sz w:val="18"/>
          <w:szCs w:val="18"/>
        </w:rPr>
      </w:pPr>
    </w:p>
    <w:p w14:paraId="0D798155" w14:textId="77777777" w:rsidR="00E32AD9" w:rsidRDefault="00E32AD9">
      <w:pPr>
        <w:jc w:val="both"/>
        <w:rPr>
          <w:color w:val="434343"/>
        </w:rPr>
      </w:pPr>
    </w:p>
    <w:p w14:paraId="09635035" w14:textId="77777777" w:rsidR="00E32AD9" w:rsidRDefault="00000000">
      <w:pPr>
        <w:keepNext/>
        <w:spacing w:after="200" w:line="240" w:lineRule="auto"/>
        <w:jc w:val="center"/>
        <w:rPr>
          <w:i/>
          <w:color w:val="1F497D"/>
          <w:sz w:val="18"/>
          <w:szCs w:val="18"/>
        </w:rPr>
      </w:pPr>
      <w:r>
        <w:rPr>
          <w:i/>
          <w:color w:val="1F497D"/>
          <w:sz w:val="18"/>
          <w:szCs w:val="18"/>
        </w:rPr>
        <w:lastRenderedPageBreak/>
        <w:t xml:space="preserve">Table 2. </w:t>
      </w:r>
      <w:r>
        <w:rPr>
          <w:i/>
          <w:color w:val="434343"/>
          <w:sz w:val="18"/>
          <w:szCs w:val="18"/>
        </w:rPr>
        <w:t>We list the LR coefficients of each variable (</w:t>
      </w:r>
      <w:proofErr w:type="spellStart"/>
      <w:r>
        <w:rPr>
          <w:i/>
          <w:color w:val="434343"/>
          <w:sz w:val="18"/>
          <w:szCs w:val="18"/>
        </w:rPr>
        <w:t>Coef</w:t>
      </w:r>
      <w:proofErr w:type="spellEnd"/>
      <w:r>
        <w:rPr>
          <w:i/>
          <w:color w:val="434343"/>
          <w:sz w:val="18"/>
          <w:szCs w:val="18"/>
        </w:rPr>
        <w:t>), the correlation of the variable with the outcome (Y-</w:t>
      </w:r>
      <w:proofErr w:type="spellStart"/>
      <w:r>
        <w:rPr>
          <w:i/>
          <w:color w:val="434343"/>
          <w:sz w:val="18"/>
          <w:szCs w:val="18"/>
        </w:rPr>
        <w:t>corr</w:t>
      </w:r>
      <w:proofErr w:type="spellEnd"/>
      <w:r>
        <w:rPr>
          <w:i/>
          <w:color w:val="434343"/>
          <w:sz w:val="18"/>
          <w:szCs w:val="18"/>
        </w:rPr>
        <w:t>), the mean of the variable (Y1-mean) in the patients achieving DMR at the time corresponding to each model, and the mean of the variable (Y0-mean) in the remaining (non-DMR) patients.</w:t>
      </w:r>
    </w:p>
    <w:tbl>
      <w:tblPr>
        <w:tblStyle w:val="a4"/>
        <w:tblW w:w="9358" w:type="dxa"/>
        <w:tblBorders>
          <w:top w:val="nil"/>
          <w:left w:val="nil"/>
          <w:bottom w:val="nil"/>
          <w:right w:val="nil"/>
          <w:insideH w:val="nil"/>
          <w:insideV w:val="nil"/>
        </w:tblBorders>
        <w:tblLayout w:type="fixed"/>
        <w:tblLook w:val="0600" w:firstRow="0" w:lastRow="0" w:firstColumn="0" w:lastColumn="0" w:noHBand="1" w:noVBand="1"/>
      </w:tblPr>
      <w:tblGrid>
        <w:gridCol w:w="754"/>
        <w:gridCol w:w="1398"/>
        <w:gridCol w:w="1006"/>
        <w:gridCol w:w="963"/>
        <w:gridCol w:w="908"/>
        <w:gridCol w:w="908"/>
        <w:gridCol w:w="1019"/>
        <w:gridCol w:w="824"/>
        <w:gridCol w:w="880"/>
        <w:gridCol w:w="698"/>
      </w:tblGrid>
      <w:tr w:rsidR="00E32AD9" w14:paraId="58E6A48F" w14:textId="77777777">
        <w:trPr>
          <w:trHeight w:val="315"/>
        </w:trPr>
        <w:tc>
          <w:tcPr>
            <w:tcW w:w="75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208A8D1" w14:textId="77777777" w:rsidR="00E32AD9" w:rsidRDefault="00000000">
            <w:pPr>
              <w:widowControl w:val="0"/>
              <w:jc w:val="center"/>
              <w:rPr>
                <w:color w:val="434343"/>
                <w:sz w:val="18"/>
                <w:szCs w:val="18"/>
              </w:rPr>
            </w:pPr>
            <w:proofErr w:type="spellStart"/>
            <w:r>
              <w:rPr>
                <w:color w:val="434343"/>
                <w:sz w:val="18"/>
                <w:szCs w:val="18"/>
              </w:rPr>
              <w:t>Coef</w:t>
            </w:r>
            <w:proofErr w:type="spellEnd"/>
          </w:p>
        </w:tc>
        <w:tc>
          <w:tcPr>
            <w:tcW w:w="139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141302B" w14:textId="77777777" w:rsidR="00E32AD9" w:rsidRDefault="00000000">
            <w:pPr>
              <w:widowControl w:val="0"/>
              <w:jc w:val="center"/>
              <w:rPr>
                <w:color w:val="434343"/>
                <w:sz w:val="18"/>
                <w:szCs w:val="18"/>
              </w:rPr>
            </w:pPr>
            <w:r>
              <w:rPr>
                <w:color w:val="434343"/>
                <w:sz w:val="18"/>
                <w:szCs w:val="18"/>
              </w:rPr>
              <w:t>Variable</w:t>
            </w:r>
          </w:p>
        </w:tc>
        <w:tc>
          <w:tcPr>
            <w:tcW w:w="100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CE1BE16" w14:textId="77777777" w:rsidR="00E32AD9" w:rsidRDefault="00000000">
            <w:pPr>
              <w:widowControl w:val="0"/>
              <w:jc w:val="center"/>
              <w:rPr>
                <w:color w:val="434343"/>
                <w:sz w:val="18"/>
                <w:szCs w:val="18"/>
              </w:rPr>
            </w:pPr>
            <w:proofErr w:type="spellStart"/>
            <w:r>
              <w:rPr>
                <w:color w:val="434343"/>
                <w:sz w:val="18"/>
                <w:szCs w:val="18"/>
              </w:rPr>
              <w:t>All_mean</w:t>
            </w:r>
            <w:proofErr w:type="spellEnd"/>
          </w:p>
        </w:tc>
        <w:tc>
          <w:tcPr>
            <w:tcW w:w="96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460B04" w14:textId="77777777" w:rsidR="00E32AD9" w:rsidRDefault="00000000">
            <w:pPr>
              <w:widowControl w:val="0"/>
              <w:jc w:val="center"/>
              <w:rPr>
                <w:color w:val="434343"/>
                <w:sz w:val="18"/>
                <w:szCs w:val="18"/>
              </w:rPr>
            </w:pPr>
            <w:proofErr w:type="spellStart"/>
            <w:r>
              <w:rPr>
                <w:color w:val="434343"/>
                <w:sz w:val="18"/>
                <w:szCs w:val="18"/>
              </w:rPr>
              <w:t>All_std</w:t>
            </w:r>
            <w:proofErr w:type="spellEnd"/>
          </w:p>
        </w:tc>
        <w:tc>
          <w:tcPr>
            <w:tcW w:w="90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92154B1" w14:textId="77777777" w:rsidR="00E32AD9" w:rsidRDefault="00000000">
            <w:pPr>
              <w:widowControl w:val="0"/>
              <w:jc w:val="center"/>
              <w:rPr>
                <w:color w:val="434343"/>
                <w:sz w:val="18"/>
                <w:szCs w:val="18"/>
              </w:rPr>
            </w:pPr>
            <w:r>
              <w:rPr>
                <w:color w:val="434343"/>
                <w:sz w:val="18"/>
                <w:szCs w:val="18"/>
              </w:rPr>
              <w:t>y1_mean</w:t>
            </w:r>
          </w:p>
        </w:tc>
        <w:tc>
          <w:tcPr>
            <w:tcW w:w="90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EBB0C01" w14:textId="77777777" w:rsidR="00E32AD9" w:rsidRDefault="00000000">
            <w:pPr>
              <w:widowControl w:val="0"/>
              <w:jc w:val="center"/>
              <w:rPr>
                <w:color w:val="434343"/>
                <w:sz w:val="18"/>
                <w:szCs w:val="18"/>
              </w:rPr>
            </w:pPr>
            <w:r>
              <w:rPr>
                <w:color w:val="434343"/>
                <w:sz w:val="18"/>
                <w:szCs w:val="18"/>
              </w:rPr>
              <w:t>y1_std</w:t>
            </w:r>
          </w:p>
        </w:tc>
        <w:tc>
          <w:tcPr>
            <w:tcW w:w="10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8C845F3" w14:textId="77777777" w:rsidR="00E32AD9" w:rsidRDefault="00000000">
            <w:pPr>
              <w:widowControl w:val="0"/>
              <w:jc w:val="center"/>
              <w:rPr>
                <w:color w:val="434343"/>
                <w:sz w:val="18"/>
                <w:szCs w:val="18"/>
              </w:rPr>
            </w:pPr>
            <w:r>
              <w:rPr>
                <w:color w:val="434343"/>
                <w:sz w:val="18"/>
                <w:szCs w:val="18"/>
              </w:rPr>
              <w:t>y0_mean</w:t>
            </w:r>
          </w:p>
        </w:tc>
        <w:tc>
          <w:tcPr>
            <w:tcW w:w="82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304EF9" w14:textId="77777777" w:rsidR="00E32AD9" w:rsidRDefault="00000000">
            <w:pPr>
              <w:widowControl w:val="0"/>
              <w:jc w:val="center"/>
              <w:rPr>
                <w:color w:val="434343"/>
                <w:sz w:val="18"/>
                <w:szCs w:val="18"/>
              </w:rPr>
            </w:pPr>
            <w:r>
              <w:rPr>
                <w:color w:val="434343"/>
                <w:sz w:val="18"/>
                <w:szCs w:val="18"/>
              </w:rPr>
              <w:t>y0_std</w:t>
            </w:r>
          </w:p>
        </w:tc>
        <w:tc>
          <w:tcPr>
            <w:tcW w:w="8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527C2D" w14:textId="77777777" w:rsidR="00E32AD9" w:rsidRDefault="00000000">
            <w:pPr>
              <w:widowControl w:val="0"/>
              <w:jc w:val="center"/>
              <w:rPr>
                <w:color w:val="434343"/>
                <w:sz w:val="18"/>
                <w:szCs w:val="18"/>
              </w:rPr>
            </w:pPr>
            <w:r>
              <w:rPr>
                <w:color w:val="434343"/>
                <w:sz w:val="18"/>
                <w:szCs w:val="18"/>
              </w:rPr>
              <w:t>p-value</w:t>
            </w:r>
          </w:p>
        </w:tc>
        <w:tc>
          <w:tcPr>
            <w:tcW w:w="69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5729C65" w14:textId="77777777" w:rsidR="00E32AD9" w:rsidRDefault="00000000">
            <w:pPr>
              <w:widowControl w:val="0"/>
              <w:jc w:val="center"/>
              <w:rPr>
                <w:color w:val="434343"/>
                <w:sz w:val="18"/>
                <w:szCs w:val="18"/>
              </w:rPr>
            </w:pPr>
            <w:proofErr w:type="spellStart"/>
            <w:r>
              <w:rPr>
                <w:color w:val="434343"/>
                <w:sz w:val="18"/>
                <w:szCs w:val="18"/>
              </w:rPr>
              <w:t>y_corr</w:t>
            </w:r>
            <w:proofErr w:type="spellEnd"/>
          </w:p>
        </w:tc>
      </w:tr>
      <w:tr w:rsidR="00E32AD9" w14:paraId="7E3F5B72" w14:textId="77777777">
        <w:trPr>
          <w:trHeight w:val="315"/>
        </w:trPr>
        <w:tc>
          <w:tcPr>
            <w:tcW w:w="9358" w:type="dxa"/>
            <w:gridSpan w:val="10"/>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343E1EF" w14:textId="77777777" w:rsidR="00E32AD9" w:rsidRDefault="00000000">
            <w:pPr>
              <w:widowControl w:val="0"/>
              <w:jc w:val="center"/>
              <w:rPr>
                <w:color w:val="434343"/>
                <w:sz w:val="18"/>
                <w:szCs w:val="18"/>
              </w:rPr>
            </w:pPr>
            <w:r>
              <w:rPr>
                <w:color w:val="434343"/>
                <w:sz w:val="18"/>
                <w:szCs w:val="18"/>
              </w:rPr>
              <w:t>model_6_18 parsimonious model's features</w:t>
            </w:r>
          </w:p>
        </w:tc>
      </w:tr>
      <w:tr w:rsidR="00E32AD9" w14:paraId="567672E7" w14:textId="77777777">
        <w:trPr>
          <w:trHeight w:val="315"/>
        </w:trPr>
        <w:tc>
          <w:tcPr>
            <w:tcW w:w="75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A42B82" w14:textId="77777777" w:rsidR="00E32AD9" w:rsidRDefault="00000000">
            <w:pPr>
              <w:widowControl w:val="0"/>
              <w:jc w:val="center"/>
              <w:rPr>
                <w:color w:val="434343"/>
                <w:sz w:val="18"/>
                <w:szCs w:val="18"/>
              </w:rPr>
            </w:pPr>
            <w:r>
              <w:rPr>
                <w:color w:val="434343"/>
                <w:sz w:val="18"/>
                <w:szCs w:val="18"/>
              </w:rPr>
              <w:t>-3.10</w:t>
            </w:r>
          </w:p>
        </w:tc>
        <w:tc>
          <w:tcPr>
            <w:tcW w:w="139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26073F" w14:textId="77777777" w:rsidR="00E32AD9" w:rsidRDefault="00000000">
            <w:pPr>
              <w:widowControl w:val="0"/>
              <w:jc w:val="center"/>
              <w:rPr>
                <w:color w:val="434343"/>
                <w:sz w:val="18"/>
                <w:szCs w:val="18"/>
              </w:rPr>
            </w:pPr>
            <w:r>
              <w:rPr>
                <w:color w:val="434343"/>
                <w:sz w:val="18"/>
                <w:szCs w:val="18"/>
              </w:rPr>
              <w:t xml:space="preserve">Median of </w:t>
            </w:r>
            <w:proofErr w:type="spellStart"/>
            <w:r>
              <w:rPr>
                <w:color w:val="434343"/>
                <w:sz w:val="18"/>
                <w:szCs w:val="18"/>
              </w:rPr>
              <w:t>Bcr-Abl</w:t>
            </w:r>
            <w:proofErr w:type="spellEnd"/>
            <w:r>
              <w:rPr>
                <w:color w:val="434343"/>
                <w:sz w:val="18"/>
                <w:szCs w:val="18"/>
              </w:rPr>
              <w:t xml:space="preserve"> ratios</w:t>
            </w:r>
          </w:p>
        </w:tc>
        <w:tc>
          <w:tcPr>
            <w:tcW w:w="100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5F0E0BE" w14:textId="77777777" w:rsidR="00E32AD9" w:rsidRDefault="00000000">
            <w:pPr>
              <w:widowControl w:val="0"/>
              <w:jc w:val="center"/>
              <w:rPr>
                <w:color w:val="434343"/>
                <w:sz w:val="18"/>
                <w:szCs w:val="18"/>
              </w:rPr>
            </w:pPr>
            <w:r>
              <w:rPr>
                <w:color w:val="434343"/>
                <w:sz w:val="18"/>
                <w:szCs w:val="18"/>
              </w:rPr>
              <w:t>10.15</w:t>
            </w:r>
          </w:p>
        </w:tc>
        <w:tc>
          <w:tcPr>
            <w:tcW w:w="96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EA9F3C" w14:textId="77777777" w:rsidR="00E32AD9" w:rsidRDefault="00000000">
            <w:pPr>
              <w:widowControl w:val="0"/>
              <w:jc w:val="center"/>
              <w:rPr>
                <w:color w:val="434343"/>
                <w:sz w:val="18"/>
                <w:szCs w:val="18"/>
              </w:rPr>
            </w:pPr>
            <w:r>
              <w:rPr>
                <w:color w:val="434343"/>
                <w:sz w:val="18"/>
                <w:szCs w:val="18"/>
              </w:rPr>
              <w:t>16.6</w:t>
            </w:r>
          </w:p>
        </w:tc>
        <w:tc>
          <w:tcPr>
            <w:tcW w:w="90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7EB7BD7" w14:textId="77777777" w:rsidR="00E32AD9" w:rsidRDefault="00000000">
            <w:pPr>
              <w:widowControl w:val="0"/>
              <w:jc w:val="center"/>
              <w:rPr>
                <w:color w:val="434343"/>
                <w:sz w:val="18"/>
                <w:szCs w:val="18"/>
              </w:rPr>
            </w:pPr>
            <w:r>
              <w:rPr>
                <w:color w:val="434343"/>
                <w:sz w:val="18"/>
                <w:szCs w:val="18"/>
              </w:rPr>
              <w:t>1.8</w:t>
            </w:r>
          </w:p>
        </w:tc>
        <w:tc>
          <w:tcPr>
            <w:tcW w:w="90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FFAC609" w14:textId="77777777" w:rsidR="00E32AD9" w:rsidRDefault="00000000">
            <w:pPr>
              <w:widowControl w:val="0"/>
              <w:jc w:val="center"/>
              <w:rPr>
                <w:color w:val="434343"/>
                <w:sz w:val="18"/>
                <w:szCs w:val="18"/>
              </w:rPr>
            </w:pPr>
            <w:r>
              <w:rPr>
                <w:color w:val="434343"/>
                <w:sz w:val="18"/>
                <w:szCs w:val="18"/>
              </w:rPr>
              <w:t>3.56</w:t>
            </w:r>
          </w:p>
        </w:tc>
        <w:tc>
          <w:tcPr>
            <w:tcW w:w="10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28C4CCA" w14:textId="77777777" w:rsidR="00E32AD9" w:rsidRDefault="00000000">
            <w:pPr>
              <w:widowControl w:val="0"/>
              <w:jc w:val="center"/>
              <w:rPr>
                <w:color w:val="434343"/>
                <w:sz w:val="18"/>
                <w:szCs w:val="18"/>
              </w:rPr>
            </w:pPr>
            <w:r>
              <w:rPr>
                <w:color w:val="434343"/>
                <w:sz w:val="18"/>
                <w:szCs w:val="18"/>
              </w:rPr>
              <w:t>12.97</w:t>
            </w:r>
          </w:p>
        </w:tc>
        <w:tc>
          <w:tcPr>
            <w:tcW w:w="82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B6AD598" w14:textId="77777777" w:rsidR="00E32AD9" w:rsidRDefault="00000000">
            <w:pPr>
              <w:widowControl w:val="0"/>
              <w:jc w:val="center"/>
              <w:rPr>
                <w:color w:val="434343"/>
                <w:sz w:val="18"/>
                <w:szCs w:val="18"/>
              </w:rPr>
            </w:pPr>
            <w:r>
              <w:rPr>
                <w:color w:val="434343"/>
                <w:sz w:val="18"/>
                <w:szCs w:val="18"/>
              </w:rPr>
              <w:t>18.27</w:t>
            </w:r>
          </w:p>
        </w:tc>
        <w:tc>
          <w:tcPr>
            <w:tcW w:w="8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C911DDA" w14:textId="77777777" w:rsidR="00E32AD9" w:rsidRDefault="00000000">
            <w:pPr>
              <w:widowControl w:val="0"/>
              <w:jc w:val="center"/>
              <w:rPr>
                <w:color w:val="434343"/>
                <w:sz w:val="18"/>
                <w:szCs w:val="18"/>
              </w:rPr>
            </w:pPr>
            <w:r>
              <w:rPr>
                <w:color w:val="434343"/>
                <w:sz w:val="18"/>
                <w:szCs w:val="18"/>
              </w:rPr>
              <w:t>2.95E-07</w:t>
            </w:r>
          </w:p>
        </w:tc>
        <w:tc>
          <w:tcPr>
            <w:tcW w:w="69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6333B4A" w14:textId="77777777" w:rsidR="00E32AD9" w:rsidRDefault="00000000">
            <w:pPr>
              <w:widowControl w:val="0"/>
              <w:jc w:val="center"/>
              <w:rPr>
                <w:color w:val="434343"/>
                <w:sz w:val="18"/>
                <w:szCs w:val="18"/>
              </w:rPr>
            </w:pPr>
            <w:r>
              <w:rPr>
                <w:color w:val="434343"/>
                <w:sz w:val="18"/>
                <w:szCs w:val="18"/>
              </w:rPr>
              <w:t>-0.29</w:t>
            </w:r>
          </w:p>
        </w:tc>
      </w:tr>
      <w:tr w:rsidR="00E32AD9" w14:paraId="03E92550" w14:textId="77777777">
        <w:trPr>
          <w:trHeight w:val="315"/>
        </w:trPr>
        <w:tc>
          <w:tcPr>
            <w:tcW w:w="75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22ECC6" w14:textId="77777777" w:rsidR="00E32AD9" w:rsidRDefault="00000000">
            <w:pPr>
              <w:widowControl w:val="0"/>
              <w:jc w:val="center"/>
              <w:rPr>
                <w:color w:val="434343"/>
                <w:sz w:val="18"/>
                <w:szCs w:val="18"/>
              </w:rPr>
            </w:pPr>
            <w:r>
              <w:rPr>
                <w:color w:val="434343"/>
                <w:sz w:val="18"/>
                <w:szCs w:val="18"/>
              </w:rPr>
              <w:t>0.31</w:t>
            </w:r>
          </w:p>
        </w:tc>
        <w:tc>
          <w:tcPr>
            <w:tcW w:w="139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BE22E23" w14:textId="77777777" w:rsidR="00E32AD9" w:rsidRDefault="00000000">
            <w:pPr>
              <w:widowControl w:val="0"/>
              <w:jc w:val="center"/>
              <w:rPr>
                <w:color w:val="434343"/>
                <w:sz w:val="18"/>
                <w:szCs w:val="18"/>
              </w:rPr>
            </w:pPr>
            <w:r>
              <w:rPr>
                <w:color w:val="434343"/>
                <w:sz w:val="18"/>
                <w:szCs w:val="18"/>
              </w:rPr>
              <w:t>MMR_3_6</w:t>
            </w:r>
          </w:p>
        </w:tc>
        <w:tc>
          <w:tcPr>
            <w:tcW w:w="100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10D61F" w14:textId="77777777" w:rsidR="00E32AD9" w:rsidRDefault="00000000">
            <w:pPr>
              <w:widowControl w:val="0"/>
              <w:jc w:val="center"/>
              <w:rPr>
                <w:color w:val="434343"/>
                <w:sz w:val="18"/>
                <w:szCs w:val="18"/>
              </w:rPr>
            </w:pPr>
            <w:r>
              <w:rPr>
                <w:color w:val="434343"/>
                <w:sz w:val="18"/>
                <w:szCs w:val="18"/>
              </w:rPr>
              <w:t>33%</w:t>
            </w:r>
          </w:p>
        </w:tc>
        <w:tc>
          <w:tcPr>
            <w:tcW w:w="96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3F34233" w14:textId="77777777" w:rsidR="00E32AD9" w:rsidRDefault="00000000">
            <w:pPr>
              <w:widowControl w:val="0"/>
              <w:jc w:val="center"/>
              <w:rPr>
                <w:color w:val="434343"/>
                <w:sz w:val="18"/>
                <w:szCs w:val="18"/>
              </w:rPr>
            </w:pPr>
            <w:r>
              <w:rPr>
                <w:color w:val="434343"/>
                <w:sz w:val="18"/>
                <w:szCs w:val="18"/>
              </w:rPr>
              <w:t>47%</w:t>
            </w:r>
          </w:p>
        </w:tc>
        <w:tc>
          <w:tcPr>
            <w:tcW w:w="90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63F5753" w14:textId="77777777" w:rsidR="00E32AD9" w:rsidRDefault="00000000">
            <w:pPr>
              <w:widowControl w:val="0"/>
              <w:jc w:val="center"/>
              <w:rPr>
                <w:color w:val="434343"/>
                <w:sz w:val="18"/>
                <w:szCs w:val="18"/>
              </w:rPr>
            </w:pPr>
            <w:r>
              <w:rPr>
                <w:color w:val="434343"/>
                <w:sz w:val="18"/>
                <w:szCs w:val="18"/>
              </w:rPr>
              <w:t>59%</w:t>
            </w:r>
          </w:p>
        </w:tc>
        <w:tc>
          <w:tcPr>
            <w:tcW w:w="90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05D8DB" w14:textId="77777777" w:rsidR="00E32AD9" w:rsidRDefault="00000000">
            <w:pPr>
              <w:widowControl w:val="0"/>
              <w:jc w:val="center"/>
              <w:rPr>
                <w:color w:val="434343"/>
                <w:sz w:val="18"/>
                <w:szCs w:val="18"/>
              </w:rPr>
            </w:pPr>
            <w:r>
              <w:rPr>
                <w:color w:val="434343"/>
                <w:sz w:val="18"/>
                <w:szCs w:val="18"/>
              </w:rPr>
              <w:t>50%</w:t>
            </w:r>
          </w:p>
        </w:tc>
        <w:tc>
          <w:tcPr>
            <w:tcW w:w="10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65D0AE6" w14:textId="77777777" w:rsidR="00E32AD9" w:rsidRDefault="00000000">
            <w:pPr>
              <w:widowControl w:val="0"/>
              <w:jc w:val="center"/>
              <w:rPr>
                <w:color w:val="434343"/>
                <w:sz w:val="18"/>
                <w:szCs w:val="18"/>
              </w:rPr>
            </w:pPr>
            <w:r>
              <w:rPr>
                <w:color w:val="434343"/>
                <w:sz w:val="18"/>
                <w:szCs w:val="18"/>
              </w:rPr>
              <w:t>25%</w:t>
            </w:r>
          </w:p>
        </w:tc>
        <w:tc>
          <w:tcPr>
            <w:tcW w:w="82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A77DC04" w14:textId="77777777" w:rsidR="00E32AD9" w:rsidRDefault="00000000">
            <w:pPr>
              <w:widowControl w:val="0"/>
              <w:jc w:val="center"/>
              <w:rPr>
                <w:color w:val="434343"/>
                <w:sz w:val="18"/>
                <w:szCs w:val="18"/>
              </w:rPr>
            </w:pPr>
            <w:r>
              <w:rPr>
                <w:color w:val="434343"/>
                <w:sz w:val="18"/>
                <w:szCs w:val="18"/>
              </w:rPr>
              <w:t>43%</w:t>
            </w:r>
          </w:p>
        </w:tc>
        <w:tc>
          <w:tcPr>
            <w:tcW w:w="8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34063B7" w14:textId="77777777" w:rsidR="00E32AD9" w:rsidRDefault="00000000">
            <w:pPr>
              <w:widowControl w:val="0"/>
              <w:jc w:val="center"/>
              <w:rPr>
                <w:color w:val="434343"/>
                <w:sz w:val="18"/>
                <w:szCs w:val="18"/>
              </w:rPr>
            </w:pPr>
            <w:r>
              <w:rPr>
                <w:color w:val="434343"/>
                <w:sz w:val="18"/>
                <w:szCs w:val="18"/>
              </w:rPr>
              <w:t>3.22E-02</w:t>
            </w:r>
          </w:p>
        </w:tc>
        <w:tc>
          <w:tcPr>
            <w:tcW w:w="69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83E2A49" w14:textId="77777777" w:rsidR="00E32AD9" w:rsidRDefault="00000000">
            <w:pPr>
              <w:widowControl w:val="0"/>
              <w:jc w:val="center"/>
              <w:rPr>
                <w:color w:val="434343"/>
                <w:sz w:val="18"/>
                <w:szCs w:val="18"/>
              </w:rPr>
            </w:pPr>
            <w:r>
              <w:rPr>
                <w:color w:val="434343"/>
                <w:sz w:val="18"/>
                <w:szCs w:val="18"/>
              </w:rPr>
              <w:t>0.32</w:t>
            </w:r>
          </w:p>
        </w:tc>
      </w:tr>
      <w:tr w:rsidR="00E32AD9" w14:paraId="6C2AEAB2" w14:textId="77777777">
        <w:trPr>
          <w:trHeight w:val="315"/>
        </w:trPr>
        <w:tc>
          <w:tcPr>
            <w:tcW w:w="9358" w:type="dxa"/>
            <w:gridSpan w:val="10"/>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2492C08" w14:textId="77777777" w:rsidR="00E32AD9" w:rsidRDefault="00000000">
            <w:pPr>
              <w:widowControl w:val="0"/>
              <w:jc w:val="center"/>
              <w:rPr>
                <w:color w:val="434343"/>
                <w:sz w:val="18"/>
                <w:szCs w:val="18"/>
              </w:rPr>
            </w:pPr>
            <w:r>
              <w:rPr>
                <w:color w:val="434343"/>
                <w:sz w:val="18"/>
                <w:szCs w:val="18"/>
              </w:rPr>
              <w:t>model_3_18 parsimonious model's features</w:t>
            </w:r>
          </w:p>
        </w:tc>
      </w:tr>
      <w:tr w:rsidR="00E32AD9" w14:paraId="7E668034" w14:textId="77777777">
        <w:trPr>
          <w:trHeight w:val="315"/>
        </w:trPr>
        <w:tc>
          <w:tcPr>
            <w:tcW w:w="75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57AACEB" w14:textId="77777777" w:rsidR="00E32AD9" w:rsidRDefault="00000000">
            <w:pPr>
              <w:widowControl w:val="0"/>
              <w:jc w:val="center"/>
              <w:rPr>
                <w:color w:val="434343"/>
                <w:sz w:val="18"/>
                <w:szCs w:val="18"/>
              </w:rPr>
            </w:pPr>
            <w:r>
              <w:rPr>
                <w:color w:val="434343"/>
                <w:sz w:val="18"/>
                <w:szCs w:val="18"/>
              </w:rPr>
              <w:t>-2.05</w:t>
            </w:r>
          </w:p>
        </w:tc>
        <w:tc>
          <w:tcPr>
            <w:tcW w:w="139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E488FC3" w14:textId="77777777" w:rsidR="00E32AD9" w:rsidRDefault="00000000">
            <w:pPr>
              <w:widowControl w:val="0"/>
              <w:jc w:val="center"/>
              <w:rPr>
                <w:color w:val="434343"/>
                <w:sz w:val="18"/>
                <w:szCs w:val="18"/>
              </w:rPr>
            </w:pPr>
            <w:r>
              <w:rPr>
                <w:color w:val="434343"/>
                <w:sz w:val="18"/>
                <w:szCs w:val="18"/>
              </w:rPr>
              <w:t xml:space="preserve">Median of </w:t>
            </w:r>
            <w:proofErr w:type="spellStart"/>
            <w:r>
              <w:rPr>
                <w:color w:val="434343"/>
                <w:sz w:val="18"/>
                <w:szCs w:val="18"/>
              </w:rPr>
              <w:t>Bcr-Abl</w:t>
            </w:r>
            <w:proofErr w:type="spellEnd"/>
            <w:r>
              <w:rPr>
                <w:color w:val="434343"/>
                <w:sz w:val="18"/>
                <w:szCs w:val="18"/>
              </w:rPr>
              <w:t xml:space="preserve"> ratios</w:t>
            </w:r>
          </w:p>
        </w:tc>
        <w:tc>
          <w:tcPr>
            <w:tcW w:w="100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0BFDDE5" w14:textId="77777777" w:rsidR="00E32AD9" w:rsidRDefault="00000000">
            <w:pPr>
              <w:widowControl w:val="0"/>
              <w:jc w:val="center"/>
              <w:rPr>
                <w:color w:val="434343"/>
                <w:sz w:val="18"/>
                <w:szCs w:val="18"/>
              </w:rPr>
            </w:pPr>
            <w:r>
              <w:rPr>
                <w:color w:val="434343"/>
                <w:sz w:val="18"/>
                <w:szCs w:val="18"/>
              </w:rPr>
              <w:t>14.96</w:t>
            </w:r>
          </w:p>
        </w:tc>
        <w:tc>
          <w:tcPr>
            <w:tcW w:w="96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BB05A8E" w14:textId="77777777" w:rsidR="00E32AD9" w:rsidRDefault="00000000">
            <w:pPr>
              <w:widowControl w:val="0"/>
              <w:jc w:val="center"/>
              <w:rPr>
                <w:color w:val="434343"/>
                <w:sz w:val="18"/>
                <w:szCs w:val="18"/>
              </w:rPr>
            </w:pPr>
            <w:r>
              <w:rPr>
                <w:color w:val="434343"/>
                <w:sz w:val="18"/>
                <w:szCs w:val="18"/>
              </w:rPr>
              <w:t>22.28</w:t>
            </w:r>
          </w:p>
        </w:tc>
        <w:tc>
          <w:tcPr>
            <w:tcW w:w="90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8ED48D" w14:textId="77777777" w:rsidR="00E32AD9" w:rsidRDefault="00000000">
            <w:pPr>
              <w:widowControl w:val="0"/>
              <w:jc w:val="center"/>
              <w:rPr>
                <w:color w:val="434343"/>
                <w:sz w:val="18"/>
                <w:szCs w:val="18"/>
              </w:rPr>
            </w:pPr>
            <w:r>
              <w:rPr>
                <w:color w:val="434343"/>
                <w:sz w:val="18"/>
                <w:szCs w:val="18"/>
              </w:rPr>
              <w:t>2.92</w:t>
            </w:r>
          </w:p>
        </w:tc>
        <w:tc>
          <w:tcPr>
            <w:tcW w:w="90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D7CEC55" w14:textId="77777777" w:rsidR="00E32AD9" w:rsidRDefault="00000000">
            <w:pPr>
              <w:widowControl w:val="0"/>
              <w:jc w:val="center"/>
              <w:rPr>
                <w:color w:val="434343"/>
                <w:sz w:val="18"/>
                <w:szCs w:val="18"/>
              </w:rPr>
            </w:pPr>
            <w:r>
              <w:rPr>
                <w:color w:val="434343"/>
                <w:sz w:val="18"/>
                <w:szCs w:val="18"/>
              </w:rPr>
              <w:t>5.44</w:t>
            </w:r>
          </w:p>
        </w:tc>
        <w:tc>
          <w:tcPr>
            <w:tcW w:w="10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C833AD1" w14:textId="77777777" w:rsidR="00E32AD9" w:rsidRDefault="00000000">
            <w:pPr>
              <w:widowControl w:val="0"/>
              <w:jc w:val="center"/>
              <w:rPr>
                <w:color w:val="434343"/>
                <w:sz w:val="18"/>
                <w:szCs w:val="18"/>
              </w:rPr>
            </w:pPr>
            <w:r>
              <w:rPr>
                <w:color w:val="434343"/>
                <w:sz w:val="18"/>
                <w:szCs w:val="18"/>
              </w:rPr>
              <w:t>19.17</w:t>
            </w:r>
          </w:p>
        </w:tc>
        <w:tc>
          <w:tcPr>
            <w:tcW w:w="82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17437C5" w14:textId="77777777" w:rsidR="00E32AD9" w:rsidRDefault="00000000">
            <w:pPr>
              <w:widowControl w:val="0"/>
              <w:jc w:val="center"/>
              <w:rPr>
                <w:color w:val="434343"/>
                <w:sz w:val="18"/>
                <w:szCs w:val="18"/>
              </w:rPr>
            </w:pPr>
            <w:r>
              <w:rPr>
                <w:color w:val="434343"/>
                <w:sz w:val="18"/>
                <w:szCs w:val="18"/>
              </w:rPr>
              <w:t>24.35</w:t>
            </w:r>
          </w:p>
        </w:tc>
        <w:tc>
          <w:tcPr>
            <w:tcW w:w="8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28C6439" w14:textId="77777777" w:rsidR="00E32AD9" w:rsidRDefault="00000000">
            <w:pPr>
              <w:widowControl w:val="0"/>
              <w:jc w:val="center"/>
              <w:rPr>
                <w:color w:val="434343"/>
                <w:sz w:val="18"/>
                <w:szCs w:val="18"/>
              </w:rPr>
            </w:pPr>
            <w:r>
              <w:rPr>
                <w:color w:val="434343"/>
                <w:sz w:val="18"/>
                <w:szCs w:val="18"/>
              </w:rPr>
              <w:t>4.19E-07</w:t>
            </w:r>
          </w:p>
        </w:tc>
        <w:tc>
          <w:tcPr>
            <w:tcW w:w="69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EEDA882" w14:textId="77777777" w:rsidR="00E32AD9" w:rsidRDefault="00000000">
            <w:pPr>
              <w:widowControl w:val="0"/>
              <w:jc w:val="center"/>
              <w:rPr>
                <w:color w:val="434343"/>
                <w:sz w:val="18"/>
                <w:szCs w:val="18"/>
              </w:rPr>
            </w:pPr>
            <w:r>
              <w:rPr>
                <w:color w:val="434343"/>
                <w:sz w:val="18"/>
                <w:szCs w:val="18"/>
              </w:rPr>
              <w:t>-0.32</w:t>
            </w:r>
          </w:p>
        </w:tc>
      </w:tr>
      <w:tr w:rsidR="00E32AD9" w14:paraId="4F15D9ED" w14:textId="77777777">
        <w:trPr>
          <w:trHeight w:val="315"/>
        </w:trPr>
        <w:tc>
          <w:tcPr>
            <w:tcW w:w="75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D514A32" w14:textId="77777777" w:rsidR="00E32AD9" w:rsidRDefault="00000000">
            <w:pPr>
              <w:widowControl w:val="0"/>
              <w:jc w:val="center"/>
              <w:rPr>
                <w:color w:val="434343"/>
                <w:sz w:val="18"/>
                <w:szCs w:val="18"/>
              </w:rPr>
            </w:pPr>
            <w:r>
              <w:rPr>
                <w:color w:val="434343"/>
                <w:sz w:val="18"/>
                <w:szCs w:val="18"/>
              </w:rPr>
              <w:t>-0.75</w:t>
            </w:r>
          </w:p>
        </w:tc>
        <w:tc>
          <w:tcPr>
            <w:tcW w:w="139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2982B04" w14:textId="77777777" w:rsidR="00E32AD9" w:rsidRDefault="00000000">
            <w:pPr>
              <w:widowControl w:val="0"/>
              <w:jc w:val="center"/>
              <w:rPr>
                <w:color w:val="434343"/>
                <w:sz w:val="18"/>
                <w:szCs w:val="18"/>
              </w:rPr>
            </w:pPr>
            <w:r>
              <w:rPr>
                <w:color w:val="434343"/>
                <w:sz w:val="18"/>
                <w:szCs w:val="18"/>
              </w:rPr>
              <w:t>WBC count at diagnosis</w:t>
            </w:r>
          </w:p>
        </w:tc>
        <w:tc>
          <w:tcPr>
            <w:tcW w:w="100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2B723E6" w14:textId="77777777" w:rsidR="00E32AD9" w:rsidRDefault="00000000">
            <w:pPr>
              <w:widowControl w:val="0"/>
              <w:jc w:val="center"/>
              <w:rPr>
                <w:color w:val="434343"/>
                <w:sz w:val="18"/>
                <w:szCs w:val="18"/>
              </w:rPr>
            </w:pPr>
            <w:r>
              <w:rPr>
                <w:color w:val="434343"/>
                <w:sz w:val="18"/>
                <w:szCs w:val="18"/>
              </w:rPr>
              <w:t>119631.36</w:t>
            </w:r>
          </w:p>
        </w:tc>
        <w:tc>
          <w:tcPr>
            <w:tcW w:w="96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6E91AAD" w14:textId="77777777" w:rsidR="00E32AD9" w:rsidRDefault="00000000">
            <w:pPr>
              <w:widowControl w:val="0"/>
              <w:jc w:val="center"/>
              <w:rPr>
                <w:color w:val="434343"/>
                <w:sz w:val="18"/>
                <w:szCs w:val="18"/>
              </w:rPr>
            </w:pPr>
            <w:r>
              <w:rPr>
                <w:color w:val="434343"/>
                <w:sz w:val="18"/>
                <w:szCs w:val="18"/>
              </w:rPr>
              <w:t>95581.02</w:t>
            </w:r>
          </w:p>
        </w:tc>
        <w:tc>
          <w:tcPr>
            <w:tcW w:w="90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7B13CCF" w14:textId="77777777" w:rsidR="00E32AD9" w:rsidRDefault="00000000">
            <w:pPr>
              <w:widowControl w:val="0"/>
              <w:jc w:val="center"/>
              <w:rPr>
                <w:color w:val="434343"/>
                <w:sz w:val="18"/>
                <w:szCs w:val="18"/>
              </w:rPr>
            </w:pPr>
            <w:r>
              <w:rPr>
                <w:color w:val="434343"/>
                <w:sz w:val="18"/>
                <w:szCs w:val="18"/>
              </w:rPr>
              <w:t>86850</w:t>
            </w:r>
          </w:p>
        </w:tc>
        <w:tc>
          <w:tcPr>
            <w:tcW w:w="90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576A27E" w14:textId="77777777" w:rsidR="00E32AD9" w:rsidRDefault="00000000">
            <w:pPr>
              <w:widowControl w:val="0"/>
              <w:jc w:val="center"/>
              <w:rPr>
                <w:color w:val="434343"/>
                <w:sz w:val="18"/>
                <w:szCs w:val="18"/>
              </w:rPr>
            </w:pPr>
            <w:r>
              <w:rPr>
                <w:color w:val="434343"/>
                <w:sz w:val="18"/>
                <w:szCs w:val="18"/>
              </w:rPr>
              <w:t>70706.17</w:t>
            </w:r>
          </w:p>
        </w:tc>
        <w:tc>
          <w:tcPr>
            <w:tcW w:w="10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344BF0C" w14:textId="77777777" w:rsidR="00E32AD9" w:rsidRDefault="00000000">
            <w:pPr>
              <w:widowControl w:val="0"/>
              <w:jc w:val="center"/>
              <w:rPr>
                <w:color w:val="434343"/>
                <w:sz w:val="18"/>
                <w:szCs w:val="18"/>
              </w:rPr>
            </w:pPr>
            <w:r>
              <w:rPr>
                <w:color w:val="434343"/>
                <w:sz w:val="18"/>
                <w:szCs w:val="18"/>
              </w:rPr>
              <w:t>131104.83</w:t>
            </w:r>
          </w:p>
        </w:tc>
        <w:tc>
          <w:tcPr>
            <w:tcW w:w="82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621230" w14:textId="77777777" w:rsidR="00E32AD9" w:rsidRDefault="00000000">
            <w:pPr>
              <w:widowControl w:val="0"/>
              <w:jc w:val="center"/>
              <w:rPr>
                <w:color w:val="434343"/>
                <w:sz w:val="18"/>
                <w:szCs w:val="18"/>
              </w:rPr>
            </w:pPr>
            <w:r>
              <w:rPr>
                <w:color w:val="434343"/>
                <w:sz w:val="18"/>
                <w:szCs w:val="18"/>
              </w:rPr>
              <w:t>100877.99</w:t>
            </w:r>
          </w:p>
        </w:tc>
        <w:tc>
          <w:tcPr>
            <w:tcW w:w="8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060ABAE" w14:textId="77777777" w:rsidR="00E32AD9" w:rsidRDefault="00000000">
            <w:pPr>
              <w:widowControl w:val="0"/>
              <w:jc w:val="center"/>
              <w:rPr>
                <w:color w:val="434343"/>
                <w:sz w:val="18"/>
                <w:szCs w:val="18"/>
              </w:rPr>
            </w:pPr>
            <w:r>
              <w:rPr>
                <w:color w:val="434343"/>
                <w:sz w:val="18"/>
                <w:szCs w:val="18"/>
              </w:rPr>
              <w:t>3.14E-02</w:t>
            </w:r>
          </w:p>
        </w:tc>
        <w:tc>
          <w:tcPr>
            <w:tcW w:w="69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A70FCC" w14:textId="77777777" w:rsidR="00E32AD9" w:rsidRDefault="00000000">
            <w:pPr>
              <w:widowControl w:val="0"/>
              <w:jc w:val="center"/>
              <w:rPr>
                <w:color w:val="434343"/>
                <w:sz w:val="18"/>
                <w:szCs w:val="18"/>
              </w:rPr>
            </w:pPr>
            <w:r>
              <w:rPr>
                <w:color w:val="434343"/>
                <w:sz w:val="18"/>
                <w:szCs w:val="18"/>
              </w:rPr>
              <w:t>-0.20</w:t>
            </w:r>
          </w:p>
        </w:tc>
      </w:tr>
      <w:tr w:rsidR="00E32AD9" w14:paraId="4D7949FE" w14:textId="77777777">
        <w:trPr>
          <w:trHeight w:val="315"/>
        </w:trPr>
        <w:tc>
          <w:tcPr>
            <w:tcW w:w="9358" w:type="dxa"/>
            <w:gridSpan w:val="10"/>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564A9E" w14:textId="77777777" w:rsidR="00E32AD9" w:rsidRDefault="00000000">
            <w:pPr>
              <w:widowControl w:val="0"/>
              <w:jc w:val="center"/>
              <w:rPr>
                <w:color w:val="434343"/>
                <w:sz w:val="18"/>
                <w:szCs w:val="18"/>
              </w:rPr>
            </w:pPr>
            <w:r>
              <w:rPr>
                <w:color w:val="434343"/>
                <w:sz w:val="18"/>
                <w:szCs w:val="18"/>
              </w:rPr>
              <w:t>model_6_12 parsimonious model's features</w:t>
            </w:r>
          </w:p>
        </w:tc>
      </w:tr>
      <w:tr w:rsidR="00E32AD9" w14:paraId="1252CE16" w14:textId="77777777">
        <w:trPr>
          <w:trHeight w:val="315"/>
        </w:trPr>
        <w:tc>
          <w:tcPr>
            <w:tcW w:w="75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11870C3" w14:textId="77777777" w:rsidR="00E32AD9" w:rsidRDefault="00000000">
            <w:pPr>
              <w:widowControl w:val="0"/>
              <w:jc w:val="center"/>
              <w:rPr>
                <w:color w:val="434343"/>
                <w:sz w:val="18"/>
                <w:szCs w:val="18"/>
              </w:rPr>
            </w:pPr>
            <w:r>
              <w:rPr>
                <w:color w:val="434343"/>
                <w:sz w:val="18"/>
                <w:szCs w:val="18"/>
              </w:rPr>
              <w:t>-0.14</w:t>
            </w:r>
          </w:p>
        </w:tc>
        <w:tc>
          <w:tcPr>
            <w:tcW w:w="139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1AABA5C" w14:textId="77777777" w:rsidR="00E32AD9" w:rsidRDefault="00000000">
            <w:pPr>
              <w:widowControl w:val="0"/>
              <w:jc w:val="center"/>
              <w:rPr>
                <w:color w:val="434343"/>
                <w:sz w:val="18"/>
                <w:szCs w:val="18"/>
              </w:rPr>
            </w:pPr>
            <w:r>
              <w:rPr>
                <w:color w:val="434343"/>
                <w:sz w:val="18"/>
                <w:szCs w:val="18"/>
              </w:rPr>
              <w:t>WBC count at diagnosis</w:t>
            </w:r>
          </w:p>
        </w:tc>
        <w:tc>
          <w:tcPr>
            <w:tcW w:w="100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DBC4D3C" w14:textId="77777777" w:rsidR="00E32AD9" w:rsidRDefault="00000000">
            <w:pPr>
              <w:widowControl w:val="0"/>
              <w:jc w:val="center"/>
              <w:rPr>
                <w:color w:val="434343"/>
                <w:sz w:val="18"/>
                <w:szCs w:val="18"/>
              </w:rPr>
            </w:pPr>
            <w:r>
              <w:rPr>
                <w:color w:val="434343"/>
                <w:sz w:val="18"/>
                <w:szCs w:val="18"/>
              </w:rPr>
              <w:t>125161.63</w:t>
            </w:r>
          </w:p>
        </w:tc>
        <w:tc>
          <w:tcPr>
            <w:tcW w:w="96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BEBF3A0" w14:textId="77777777" w:rsidR="00E32AD9" w:rsidRDefault="00000000">
            <w:pPr>
              <w:widowControl w:val="0"/>
              <w:jc w:val="center"/>
              <w:rPr>
                <w:color w:val="434343"/>
                <w:sz w:val="18"/>
                <w:szCs w:val="18"/>
              </w:rPr>
            </w:pPr>
            <w:r>
              <w:rPr>
                <w:color w:val="434343"/>
                <w:sz w:val="18"/>
                <w:szCs w:val="18"/>
              </w:rPr>
              <w:t>102512.6</w:t>
            </w:r>
          </w:p>
        </w:tc>
        <w:tc>
          <w:tcPr>
            <w:tcW w:w="90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5EE32A4" w14:textId="77777777" w:rsidR="00E32AD9" w:rsidRDefault="00000000">
            <w:pPr>
              <w:widowControl w:val="0"/>
              <w:jc w:val="center"/>
              <w:rPr>
                <w:color w:val="434343"/>
                <w:sz w:val="18"/>
                <w:szCs w:val="18"/>
              </w:rPr>
            </w:pPr>
            <w:r>
              <w:rPr>
                <w:color w:val="434343"/>
                <w:sz w:val="18"/>
                <w:szCs w:val="18"/>
              </w:rPr>
              <w:t>59113.08</w:t>
            </w:r>
          </w:p>
        </w:tc>
        <w:tc>
          <w:tcPr>
            <w:tcW w:w="90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E199E9D" w14:textId="77777777" w:rsidR="00E32AD9" w:rsidRDefault="00000000">
            <w:pPr>
              <w:widowControl w:val="0"/>
              <w:jc w:val="center"/>
              <w:rPr>
                <w:color w:val="434343"/>
                <w:sz w:val="18"/>
                <w:szCs w:val="18"/>
              </w:rPr>
            </w:pPr>
            <w:r>
              <w:rPr>
                <w:color w:val="434343"/>
                <w:sz w:val="18"/>
                <w:szCs w:val="18"/>
              </w:rPr>
              <w:t>33837.24</w:t>
            </w:r>
          </w:p>
        </w:tc>
        <w:tc>
          <w:tcPr>
            <w:tcW w:w="10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E6A921" w14:textId="77777777" w:rsidR="00E32AD9" w:rsidRDefault="00000000">
            <w:pPr>
              <w:widowControl w:val="0"/>
              <w:jc w:val="center"/>
              <w:rPr>
                <w:color w:val="434343"/>
                <w:sz w:val="18"/>
                <w:szCs w:val="18"/>
              </w:rPr>
            </w:pPr>
            <w:r>
              <w:rPr>
                <w:color w:val="434343"/>
                <w:sz w:val="18"/>
                <w:szCs w:val="18"/>
              </w:rPr>
              <w:t>134597.14</w:t>
            </w:r>
          </w:p>
        </w:tc>
        <w:tc>
          <w:tcPr>
            <w:tcW w:w="82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6F32463" w14:textId="77777777" w:rsidR="00E32AD9" w:rsidRDefault="00000000">
            <w:pPr>
              <w:widowControl w:val="0"/>
              <w:jc w:val="center"/>
              <w:rPr>
                <w:color w:val="434343"/>
                <w:sz w:val="18"/>
                <w:szCs w:val="18"/>
              </w:rPr>
            </w:pPr>
            <w:r>
              <w:rPr>
                <w:color w:val="434343"/>
                <w:sz w:val="18"/>
                <w:szCs w:val="18"/>
              </w:rPr>
              <w:t>105612.36</w:t>
            </w:r>
          </w:p>
        </w:tc>
        <w:tc>
          <w:tcPr>
            <w:tcW w:w="8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8C7DC28" w14:textId="77777777" w:rsidR="00E32AD9" w:rsidRDefault="00000000">
            <w:pPr>
              <w:widowControl w:val="0"/>
              <w:jc w:val="center"/>
              <w:rPr>
                <w:color w:val="434343"/>
                <w:sz w:val="18"/>
                <w:szCs w:val="18"/>
              </w:rPr>
            </w:pPr>
            <w:r>
              <w:rPr>
                <w:color w:val="434343"/>
                <w:sz w:val="18"/>
                <w:szCs w:val="18"/>
              </w:rPr>
              <w:t>8.50E-03</w:t>
            </w:r>
          </w:p>
        </w:tc>
        <w:tc>
          <w:tcPr>
            <w:tcW w:w="69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655BD7A" w14:textId="77777777" w:rsidR="00E32AD9" w:rsidRDefault="00000000">
            <w:pPr>
              <w:widowControl w:val="0"/>
              <w:jc w:val="center"/>
              <w:rPr>
                <w:color w:val="434343"/>
                <w:sz w:val="18"/>
                <w:szCs w:val="18"/>
              </w:rPr>
            </w:pPr>
            <w:r>
              <w:rPr>
                <w:color w:val="434343"/>
                <w:sz w:val="18"/>
                <w:szCs w:val="18"/>
              </w:rPr>
              <w:t>-0.24</w:t>
            </w:r>
          </w:p>
        </w:tc>
      </w:tr>
      <w:tr w:rsidR="00E32AD9" w14:paraId="38A3A295" w14:textId="77777777">
        <w:trPr>
          <w:trHeight w:val="315"/>
        </w:trPr>
        <w:tc>
          <w:tcPr>
            <w:tcW w:w="75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DB8D087" w14:textId="77777777" w:rsidR="00E32AD9" w:rsidRDefault="00000000">
            <w:pPr>
              <w:widowControl w:val="0"/>
              <w:jc w:val="center"/>
              <w:rPr>
                <w:color w:val="434343"/>
                <w:sz w:val="18"/>
                <w:szCs w:val="18"/>
              </w:rPr>
            </w:pPr>
            <w:r>
              <w:rPr>
                <w:color w:val="434343"/>
                <w:sz w:val="18"/>
                <w:szCs w:val="18"/>
              </w:rPr>
              <w:t>-0.07</w:t>
            </w:r>
          </w:p>
        </w:tc>
        <w:tc>
          <w:tcPr>
            <w:tcW w:w="139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62476CE" w14:textId="77777777" w:rsidR="00E32AD9" w:rsidRDefault="00000000">
            <w:pPr>
              <w:widowControl w:val="0"/>
              <w:jc w:val="center"/>
              <w:rPr>
                <w:color w:val="434343"/>
                <w:sz w:val="18"/>
                <w:szCs w:val="18"/>
              </w:rPr>
            </w:pPr>
            <w:r>
              <w:rPr>
                <w:color w:val="434343"/>
                <w:sz w:val="18"/>
                <w:szCs w:val="18"/>
              </w:rPr>
              <w:t xml:space="preserve">Median of </w:t>
            </w:r>
            <w:proofErr w:type="spellStart"/>
            <w:r>
              <w:rPr>
                <w:color w:val="434343"/>
                <w:sz w:val="18"/>
                <w:szCs w:val="18"/>
              </w:rPr>
              <w:t>Bcr-Abl</w:t>
            </w:r>
            <w:proofErr w:type="spellEnd"/>
            <w:r>
              <w:rPr>
                <w:color w:val="434343"/>
                <w:sz w:val="18"/>
                <w:szCs w:val="18"/>
              </w:rPr>
              <w:t xml:space="preserve"> ratios</w:t>
            </w:r>
          </w:p>
        </w:tc>
        <w:tc>
          <w:tcPr>
            <w:tcW w:w="100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FEE734F" w14:textId="77777777" w:rsidR="00E32AD9" w:rsidRDefault="00000000">
            <w:pPr>
              <w:widowControl w:val="0"/>
              <w:jc w:val="center"/>
              <w:rPr>
                <w:color w:val="434343"/>
                <w:sz w:val="18"/>
                <w:szCs w:val="18"/>
              </w:rPr>
            </w:pPr>
            <w:r>
              <w:rPr>
                <w:color w:val="434343"/>
                <w:sz w:val="18"/>
                <w:szCs w:val="18"/>
              </w:rPr>
              <w:t>10.27</w:t>
            </w:r>
          </w:p>
        </w:tc>
        <w:tc>
          <w:tcPr>
            <w:tcW w:w="96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9CA7990" w14:textId="77777777" w:rsidR="00E32AD9" w:rsidRDefault="00000000">
            <w:pPr>
              <w:widowControl w:val="0"/>
              <w:jc w:val="center"/>
              <w:rPr>
                <w:color w:val="434343"/>
                <w:sz w:val="18"/>
                <w:szCs w:val="18"/>
              </w:rPr>
            </w:pPr>
            <w:r>
              <w:rPr>
                <w:color w:val="434343"/>
                <w:sz w:val="18"/>
                <w:szCs w:val="18"/>
              </w:rPr>
              <w:t>16.62</w:t>
            </w:r>
          </w:p>
        </w:tc>
        <w:tc>
          <w:tcPr>
            <w:tcW w:w="90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A65751" w14:textId="77777777" w:rsidR="00E32AD9" w:rsidRDefault="00000000">
            <w:pPr>
              <w:widowControl w:val="0"/>
              <w:jc w:val="center"/>
              <w:rPr>
                <w:color w:val="434343"/>
                <w:sz w:val="18"/>
                <w:szCs w:val="18"/>
              </w:rPr>
            </w:pPr>
            <w:r>
              <w:rPr>
                <w:color w:val="434343"/>
                <w:sz w:val="18"/>
                <w:szCs w:val="18"/>
              </w:rPr>
              <w:t>2.62</w:t>
            </w:r>
          </w:p>
        </w:tc>
        <w:tc>
          <w:tcPr>
            <w:tcW w:w="90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3707546" w14:textId="77777777" w:rsidR="00E32AD9" w:rsidRDefault="00000000">
            <w:pPr>
              <w:widowControl w:val="0"/>
              <w:jc w:val="center"/>
              <w:rPr>
                <w:color w:val="434343"/>
                <w:sz w:val="18"/>
                <w:szCs w:val="18"/>
              </w:rPr>
            </w:pPr>
            <w:r>
              <w:rPr>
                <w:color w:val="434343"/>
                <w:sz w:val="18"/>
                <w:szCs w:val="18"/>
              </w:rPr>
              <w:t>6.87</w:t>
            </w:r>
          </w:p>
        </w:tc>
        <w:tc>
          <w:tcPr>
            <w:tcW w:w="10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C4FD6C4" w14:textId="77777777" w:rsidR="00E32AD9" w:rsidRDefault="00000000">
            <w:pPr>
              <w:widowControl w:val="0"/>
              <w:jc w:val="center"/>
              <w:rPr>
                <w:color w:val="434343"/>
                <w:sz w:val="18"/>
                <w:szCs w:val="18"/>
              </w:rPr>
            </w:pPr>
            <w:r>
              <w:rPr>
                <w:color w:val="434343"/>
                <w:sz w:val="18"/>
                <w:szCs w:val="18"/>
              </w:rPr>
              <w:t>11.37</w:t>
            </w:r>
          </w:p>
        </w:tc>
        <w:tc>
          <w:tcPr>
            <w:tcW w:w="82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DEF2354" w14:textId="77777777" w:rsidR="00E32AD9" w:rsidRDefault="00000000">
            <w:pPr>
              <w:widowControl w:val="0"/>
              <w:jc w:val="center"/>
              <w:rPr>
                <w:color w:val="434343"/>
                <w:sz w:val="18"/>
                <w:szCs w:val="18"/>
              </w:rPr>
            </w:pPr>
            <w:r>
              <w:rPr>
                <w:color w:val="434343"/>
                <w:sz w:val="18"/>
                <w:szCs w:val="18"/>
              </w:rPr>
              <w:t>17.32</w:t>
            </w:r>
          </w:p>
        </w:tc>
        <w:tc>
          <w:tcPr>
            <w:tcW w:w="8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A2B0662" w14:textId="77777777" w:rsidR="00E32AD9" w:rsidRDefault="00000000">
            <w:pPr>
              <w:widowControl w:val="0"/>
              <w:jc w:val="center"/>
              <w:rPr>
                <w:color w:val="434343"/>
                <w:sz w:val="18"/>
                <w:szCs w:val="18"/>
              </w:rPr>
            </w:pPr>
            <w:r>
              <w:rPr>
                <w:color w:val="434343"/>
                <w:sz w:val="18"/>
                <w:szCs w:val="18"/>
              </w:rPr>
              <w:t>3.00E-06</w:t>
            </w:r>
          </w:p>
        </w:tc>
        <w:tc>
          <w:tcPr>
            <w:tcW w:w="69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A0D8A2" w14:textId="77777777" w:rsidR="00E32AD9" w:rsidRDefault="00000000">
            <w:pPr>
              <w:widowControl w:val="0"/>
              <w:jc w:val="center"/>
              <w:rPr>
                <w:color w:val="434343"/>
                <w:sz w:val="18"/>
                <w:szCs w:val="18"/>
              </w:rPr>
            </w:pPr>
            <w:r>
              <w:rPr>
                <w:color w:val="434343"/>
                <w:sz w:val="18"/>
                <w:szCs w:val="18"/>
              </w:rPr>
              <w:t>-0.18</w:t>
            </w:r>
          </w:p>
        </w:tc>
      </w:tr>
      <w:tr w:rsidR="00E32AD9" w14:paraId="535FB66A" w14:textId="77777777">
        <w:trPr>
          <w:trHeight w:val="315"/>
        </w:trPr>
        <w:tc>
          <w:tcPr>
            <w:tcW w:w="9358" w:type="dxa"/>
            <w:gridSpan w:val="10"/>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8A0FEE6" w14:textId="77777777" w:rsidR="00E32AD9" w:rsidRDefault="00000000">
            <w:pPr>
              <w:widowControl w:val="0"/>
              <w:jc w:val="center"/>
              <w:rPr>
                <w:color w:val="434343"/>
                <w:sz w:val="18"/>
                <w:szCs w:val="18"/>
              </w:rPr>
            </w:pPr>
            <w:r>
              <w:rPr>
                <w:color w:val="434343"/>
                <w:sz w:val="18"/>
                <w:szCs w:val="18"/>
              </w:rPr>
              <w:t>model_long_12 parsimonious model's features</w:t>
            </w:r>
          </w:p>
        </w:tc>
      </w:tr>
      <w:tr w:rsidR="00E32AD9" w14:paraId="47F8A1ED" w14:textId="77777777">
        <w:trPr>
          <w:trHeight w:val="315"/>
        </w:trPr>
        <w:tc>
          <w:tcPr>
            <w:tcW w:w="75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E5D9E6" w14:textId="77777777" w:rsidR="00E32AD9" w:rsidRDefault="00000000">
            <w:pPr>
              <w:widowControl w:val="0"/>
              <w:jc w:val="right"/>
              <w:rPr>
                <w:color w:val="434343"/>
                <w:sz w:val="18"/>
                <w:szCs w:val="18"/>
              </w:rPr>
            </w:pPr>
            <w:r>
              <w:rPr>
                <w:color w:val="434343"/>
                <w:sz w:val="18"/>
                <w:szCs w:val="18"/>
              </w:rPr>
              <w:t>-4.72</w:t>
            </w:r>
          </w:p>
        </w:tc>
        <w:tc>
          <w:tcPr>
            <w:tcW w:w="139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1E51AC8" w14:textId="77777777" w:rsidR="00E32AD9" w:rsidRDefault="00000000">
            <w:pPr>
              <w:widowControl w:val="0"/>
              <w:rPr>
                <w:color w:val="434343"/>
                <w:sz w:val="18"/>
                <w:szCs w:val="18"/>
              </w:rPr>
            </w:pPr>
            <w:r>
              <w:rPr>
                <w:color w:val="434343"/>
                <w:sz w:val="18"/>
                <w:szCs w:val="18"/>
              </w:rPr>
              <w:t xml:space="preserve">Median of </w:t>
            </w:r>
            <w:proofErr w:type="spellStart"/>
            <w:r>
              <w:rPr>
                <w:color w:val="434343"/>
                <w:sz w:val="18"/>
                <w:szCs w:val="18"/>
              </w:rPr>
              <w:t>Bcr-Abl</w:t>
            </w:r>
            <w:proofErr w:type="spellEnd"/>
            <w:r>
              <w:rPr>
                <w:color w:val="434343"/>
                <w:sz w:val="18"/>
                <w:szCs w:val="18"/>
              </w:rPr>
              <w:t xml:space="preserve"> ratios</w:t>
            </w:r>
          </w:p>
        </w:tc>
        <w:tc>
          <w:tcPr>
            <w:tcW w:w="100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D413668" w14:textId="77777777" w:rsidR="00E32AD9" w:rsidRDefault="00000000">
            <w:pPr>
              <w:widowControl w:val="0"/>
              <w:jc w:val="right"/>
              <w:rPr>
                <w:color w:val="434343"/>
                <w:sz w:val="18"/>
                <w:szCs w:val="18"/>
              </w:rPr>
            </w:pPr>
            <w:r>
              <w:rPr>
                <w:color w:val="434343"/>
                <w:sz w:val="18"/>
                <w:szCs w:val="18"/>
              </w:rPr>
              <w:t>4.47</w:t>
            </w:r>
          </w:p>
        </w:tc>
        <w:tc>
          <w:tcPr>
            <w:tcW w:w="96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9D1261E" w14:textId="77777777" w:rsidR="00E32AD9" w:rsidRDefault="00000000">
            <w:pPr>
              <w:widowControl w:val="0"/>
              <w:jc w:val="right"/>
              <w:rPr>
                <w:color w:val="434343"/>
                <w:sz w:val="18"/>
                <w:szCs w:val="18"/>
              </w:rPr>
            </w:pPr>
            <w:r>
              <w:rPr>
                <w:color w:val="434343"/>
                <w:sz w:val="18"/>
                <w:szCs w:val="18"/>
              </w:rPr>
              <w:t>10.15</w:t>
            </w:r>
          </w:p>
        </w:tc>
        <w:tc>
          <w:tcPr>
            <w:tcW w:w="90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7B0544B" w14:textId="77777777" w:rsidR="00E32AD9" w:rsidRDefault="00000000">
            <w:pPr>
              <w:widowControl w:val="0"/>
              <w:jc w:val="right"/>
              <w:rPr>
                <w:color w:val="434343"/>
                <w:sz w:val="18"/>
                <w:szCs w:val="18"/>
              </w:rPr>
            </w:pPr>
            <w:r>
              <w:rPr>
                <w:color w:val="434343"/>
                <w:sz w:val="18"/>
                <w:szCs w:val="18"/>
              </w:rPr>
              <w:t>0.2</w:t>
            </w:r>
          </w:p>
        </w:tc>
        <w:tc>
          <w:tcPr>
            <w:tcW w:w="90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29EA3C6" w14:textId="77777777" w:rsidR="00E32AD9" w:rsidRDefault="00000000">
            <w:pPr>
              <w:widowControl w:val="0"/>
              <w:jc w:val="right"/>
              <w:rPr>
                <w:color w:val="434343"/>
                <w:sz w:val="18"/>
                <w:szCs w:val="18"/>
              </w:rPr>
            </w:pPr>
            <w:r>
              <w:rPr>
                <w:color w:val="434343"/>
                <w:sz w:val="18"/>
                <w:szCs w:val="18"/>
              </w:rPr>
              <w:t>0.36</w:t>
            </w:r>
          </w:p>
        </w:tc>
        <w:tc>
          <w:tcPr>
            <w:tcW w:w="10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AFDDDA9" w14:textId="77777777" w:rsidR="00E32AD9" w:rsidRDefault="00000000">
            <w:pPr>
              <w:widowControl w:val="0"/>
              <w:jc w:val="right"/>
              <w:rPr>
                <w:color w:val="434343"/>
                <w:sz w:val="18"/>
                <w:szCs w:val="18"/>
              </w:rPr>
            </w:pPr>
            <w:r>
              <w:rPr>
                <w:color w:val="434343"/>
                <w:sz w:val="18"/>
                <w:szCs w:val="18"/>
              </w:rPr>
              <w:t>5.15</w:t>
            </w:r>
          </w:p>
        </w:tc>
        <w:tc>
          <w:tcPr>
            <w:tcW w:w="82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82D8A9E" w14:textId="77777777" w:rsidR="00E32AD9" w:rsidRDefault="00000000">
            <w:pPr>
              <w:widowControl w:val="0"/>
              <w:jc w:val="right"/>
              <w:rPr>
                <w:color w:val="434343"/>
                <w:sz w:val="18"/>
                <w:szCs w:val="18"/>
              </w:rPr>
            </w:pPr>
            <w:r>
              <w:rPr>
                <w:color w:val="434343"/>
                <w:sz w:val="18"/>
                <w:szCs w:val="18"/>
              </w:rPr>
              <w:t>10.78</w:t>
            </w:r>
          </w:p>
        </w:tc>
        <w:tc>
          <w:tcPr>
            <w:tcW w:w="8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62B8A4B" w14:textId="77777777" w:rsidR="00E32AD9" w:rsidRDefault="00000000">
            <w:pPr>
              <w:widowControl w:val="0"/>
              <w:jc w:val="right"/>
              <w:rPr>
                <w:color w:val="434343"/>
                <w:sz w:val="18"/>
                <w:szCs w:val="18"/>
              </w:rPr>
            </w:pPr>
            <w:r>
              <w:rPr>
                <w:color w:val="434343"/>
                <w:sz w:val="18"/>
                <w:szCs w:val="18"/>
              </w:rPr>
              <w:t>3.37E-04</w:t>
            </w:r>
          </w:p>
        </w:tc>
        <w:tc>
          <w:tcPr>
            <w:tcW w:w="69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65303E" w14:textId="77777777" w:rsidR="00E32AD9" w:rsidRDefault="00000000">
            <w:pPr>
              <w:widowControl w:val="0"/>
              <w:jc w:val="right"/>
              <w:rPr>
                <w:color w:val="434343"/>
                <w:sz w:val="18"/>
                <w:szCs w:val="18"/>
              </w:rPr>
            </w:pPr>
            <w:r>
              <w:rPr>
                <w:color w:val="434343"/>
                <w:sz w:val="18"/>
                <w:szCs w:val="18"/>
              </w:rPr>
              <w:t>-0.17</w:t>
            </w:r>
          </w:p>
        </w:tc>
      </w:tr>
      <w:tr w:rsidR="00E32AD9" w14:paraId="2F79FA17" w14:textId="77777777">
        <w:trPr>
          <w:trHeight w:val="315"/>
        </w:trPr>
        <w:tc>
          <w:tcPr>
            <w:tcW w:w="75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868CE0D" w14:textId="77777777" w:rsidR="00E32AD9" w:rsidRDefault="00000000">
            <w:pPr>
              <w:widowControl w:val="0"/>
              <w:jc w:val="right"/>
              <w:rPr>
                <w:color w:val="434343"/>
                <w:sz w:val="18"/>
                <w:szCs w:val="18"/>
              </w:rPr>
            </w:pPr>
            <w:r>
              <w:rPr>
                <w:color w:val="434343"/>
                <w:sz w:val="18"/>
                <w:szCs w:val="18"/>
              </w:rPr>
              <w:t>-1.55</w:t>
            </w:r>
          </w:p>
        </w:tc>
        <w:tc>
          <w:tcPr>
            <w:tcW w:w="139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7B5911A" w14:textId="77777777" w:rsidR="00E32AD9" w:rsidRDefault="00000000">
            <w:pPr>
              <w:widowControl w:val="0"/>
              <w:rPr>
                <w:color w:val="434343"/>
                <w:sz w:val="18"/>
                <w:szCs w:val="18"/>
              </w:rPr>
            </w:pPr>
            <w:r>
              <w:rPr>
                <w:color w:val="434343"/>
                <w:sz w:val="18"/>
                <w:szCs w:val="18"/>
              </w:rPr>
              <w:t>WBC count at diagnosis</w:t>
            </w:r>
          </w:p>
        </w:tc>
        <w:tc>
          <w:tcPr>
            <w:tcW w:w="100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B8C7E1D" w14:textId="77777777" w:rsidR="00E32AD9" w:rsidRDefault="00000000">
            <w:pPr>
              <w:widowControl w:val="0"/>
              <w:jc w:val="right"/>
              <w:rPr>
                <w:color w:val="434343"/>
                <w:sz w:val="18"/>
                <w:szCs w:val="18"/>
              </w:rPr>
            </w:pPr>
            <w:r>
              <w:rPr>
                <w:color w:val="434343"/>
                <w:sz w:val="18"/>
                <w:szCs w:val="18"/>
              </w:rPr>
              <w:t>115829.05</w:t>
            </w:r>
          </w:p>
        </w:tc>
        <w:tc>
          <w:tcPr>
            <w:tcW w:w="96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CF1F6A" w14:textId="77777777" w:rsidR="00E32AD9" w:rsidRDefault="00000000">
            <w:pPr>
              <w:widowControl w:val="0"/>
              <w:jc w:val="right"/>
              <w:rPr>
                <w:color w:val="434343"/>
                <w:sz w:val="18"/>
                <w:szCs w:val="18"/>
              </w:rPr>
            </w:pPr>
            <w:r>
              <w:rPr>
                <w:color w:val="434343"/>
                <w:sz w:val="18"/>
                <w:szCs w:val="18"/>
              </w:rPr>
              <w:t>93768.24</w:t>
            </w:r>
          </w:p>
        </w:tc>
        <w:tc>
          <w:tcPr>
            <w:tcW w:w="90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FF4E92B" w14:textId="77777777" w:rsidR="00E32AD9" w:rsidRDefault="00000000">
            <w:pPr>
              <w:widowControl w:val="0"/>
              <w:jc w:val="right"/>
              <w:rPr>
                <w:color w:val="434343"/>
                <w:sz w:val="18"/>
                <w:szCs w:val="18"/>
              </w:rPr>
            </w:pPr>
            <w:r>
              <w:rPr>
                <w:color w:val="434343"/>
                <w:sz w:val="18"/>
                <w:szCs w:val="18"/>
              </w:rPr>
              <w:t>63507.69</w:t>
            </w:r>
          </w:p>
        </w:tc>
        <w:tc>
          <w:tcPr>
            <w:tcW w:w="90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1A1F148" w14:textId="77777777" w:rsidR="00E32AD9" w:rsidRDefault="00000000">
            <w:pPr>
              <w:widowControl w:val="0"/>
              <w:jc w:val="right"/>
              <w:rPr>
                <w:color w:val="434343"/>
                <w:sz w:val="18"/>
                <w:szCs w:val="18"/>
              </w:rPr>
            </w:pPr>
            <w:r>
              <w:rPr>
                <w:color w:val="434343"/>
                <w:sz w:val="18"/>
                <w:szCs w:val="18"/>
              </w:rPr>
              <w:t>43228.72</w:t>
            </w:r>
          </w:p>
        </w:tc>
        <w:tc>
          <w:tcPr>
            <w:tcW w:w="10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CB24F1E" w14:textId="77777777" w:rsidR="00E32AD9" w:rsidRDefault="00000000">
            <w:pPr>
              <w:widowControl w:val="0"/>
              <w:jc w:val="right"/>
              <w:rPr>
                <w:color w:val="434343"/>
                <w:sz w:val="18"/>
                <w:szCs w:val="18"/>
              </w:rPr>
            </w:pPr>
            <w:r>
              <w:rPr>
                <w:color w:val="434343"/>
                <w:sz w:val="18"/>
                <w:szCs w:val="18"/>
              </w:rPr>
              <w:t>124123.9</w:t>
            </w:r>
          </w:p>
        </w:tc>
        <w:tc>
          <w:tcPr>
            <w:tcW w:w="82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F920451" w14:textId="77777777" w:rsidR="00E32AD9" w:rsidRDefault="00000000">
            <w:pPr>
              <w:widowControl w:val="0"/>
              <w:jc w:val="right"/>
              <w:rPr>
                <w:color w:val="434343"/>
                <w:sz w:val="18"/>
                <w:szCs w:val="18"/>
              </w:rPr>
            </w:pPr>
            <w:r>
              <w:rPr>
                <w:color w:val="434343"/>
                <w:sz w:val="18"/>
                <w:szCs w:val="18"/>
              </w:rPr>
              <w:t>97045.17</w:t>
            </w:r>
          </w:p>
        </w:tc>
        <w:tc>
          <w:tcPr>
            <w:tcW w:w="8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FBC9023" w14:textId="77777777" w:rsidR="00E32AD9" w:rsidRDefault="00000000">
            <w:pPr>
              <w:widowControl w:val="0"/>
              <w:jc w:val="right"/>
              <w:rPr>
                <w:color w:val="434343"/>
                <w:sz w:val="18"/>
                <w:szCs w:val="18"/>
              </w:rPr>
            </w:pPr>
            <w:r>
              <w:rPr>
                <w:color w:val="434343"/>
                <w:sz w:val="18"/>
                <w:szCs w:val="18"/>
              </w:rPr>
              <w:t>1.86E-02</w:t>
            </w:r>
          </w:p>
        </w:tc>
        <w:tc>
          <w:tcPr>
            <w:tcW w:w="69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FF25A2B" w14:textId="77777777" w:rsidR="00E32AD9" w:rsidRDefault="00000000">
            <w:pPr>
              <w:widowControl w:val="0"/>
              <w:jc w:val="right"/>
              <w:rPr>
                <w:color w:val="434343"/>
                <w:sz w:val="18"/>
                <w:szCs w:val="18"/>
              </w:rPr>
            </w:pPr>
            <w:r>
              <w:rPr>
                <w:color w:val="434343"/>
                <w:sz w:val="18"/>
                <w:szCs w:val="18"/>
              </w:rPr>
              <w:t>-0.22</w:t>
            </w:r>
          </w:p>
        </w:tc>
      </w:tr>
    </w:tbl>
    <w:p w14:paraId="757C0F5B" w14:textId="77777777" w:rsidR="00E32AD9" w:rsidRDefault="00000000">
      <w:pPr>
        <w:jc w:val="both"/>
        <w:rPr>
          <w:color w:val="434343"/>
          <w:sz w:val="18"/>
          <w:szCs w:val="18"/>
        </w:rPr>
      </w:pPr>
      <w:sdt>
        <w:sdtPr>
          <w:tag w:val="goog_rdk_1"/>
          <w:id w:val="-687366277"/>
        </w:sdtPr>
        <w:sdtContent>
          <w:r>
            <w:rPr>
              <w:rFonts w:ascii="Arial Unicode MS" w:eastAsia="Arial Unicode MS" w:hAnsi="Arial Unicode MS" w:cs="Arial Unicode MS"/>
              <w:color w:val="434343"/>
              <w:sz w:val="18"/>
              <w:szCs w:val="18"/>
            </w:rPr>
            <w:t>Abbreviations: MMR_3_6 indicates achieving Major Molecular Response (MMR, defined as ≥MR3.0)</w:t>
          </w:r>
        </w:sdtContent>
      </w:sdt>
    </w:p>
    <w:p w14:paraId="33660F72" w14:textId="77777777" w:rsidR="00E32AD9" w:rsidRDefault="00000000">
      <w:pPr>
        <w:jc w:val="both"/>
        <w:rPr>
          <w:color w:val="434343"/>
          <w:sz w:val="18"/>
          <w:szCs w:val="18"/>
        </w:rPr>
      </w:pPr>
      <w:r>
        <w:rPr>
          <w:color w:val="434343"/>
          <w:sz w:val="18"/>
          <w:szCs w:val="18"/>
        </w:rPr>
        <w:t xml:space="preserve">In the 3-month interval from 3 to 6 months after the start of IM. </w:t>
      </w:r>
    </w:p>
    <w:p w14:paraId="6D6B45C7" w14:textId="77777777" w:rsidR="00E32AD9" w:rsidRDefault="00E32AD9">
      <w:pPr>
        <w:jc w:val="both"/>
        <w:rPr>
          <w:i/>
          <w:color w:val="434343"/>
          <w:sz w:val="18"/>
          <w:szCs w:val="18"/>
        </w:rPr>
      </w:pPr>
    </w:p>
    <w:p w14:paraId="4760DA6E" w14:textId="77777777" w:rsidR="00E32AD9" w:rsidRDefault="00E32AD9">
      <w:pPr>
        <w:rPr>
          <w:b/>
          <w:sz w:val="24"/>
          <w:szCs w:val="24"/>
        </w:rPr>
      </w:pPr>
    </w:p>
    <w:p w14:paraId="69A8809B" w14:textId="77777777" w:rsidR="00E32AD9" w:rsidRDefault="00000000">
      <w:pPr>
        <w:jc w:val="both"/>
        <w:rPr>
          <w:b/>
          <w:sz w:val="24"/>
          <w:szCs w:val="24"/>
        </w:rPr>
      </w:pPr>
      <w:r>
        <w:rPr>
          <w:b/>
          <w:sz w:val="24"/>
          <w:szCs w:val="24"/>
        </w:rPr>
        <w:t>Figures</w:t>
      </w:r>
    </w:p>
    <w:p w14:paraId="005AA190" w14:textId="77777777" w:rsidR="00E32AD9" w:rsidRDefault="00E32AD9">
      <w:pPr>
        <w:jc w:val="both"/>
      </w:pPr>
    </w:p>
    <w:p w14:paraId="2FF4D054" w14:textId="77777777" w:rsidR="00E32AD9" w:rsidRDefault="00000000">
      <w:pPr>
        <w:keepNext/>
        <w:jc w:val="center"/>
      </w:pPr>
      <w:r>
        <w:rPr>
          <w:noProof/>
          <w:color w:val="434343"/>
          <w:sz w:val="18"/>
          <w:szCs w:val="18"/>
        </w:rPr>
        <w:lastRenderedPageBreak/>
        <w:drawing>
          <wp:inline distT="0" distB="0" distL="0" distR="0" wp14:anchorId="2AC5D31E" wp14:editId="0240F5DA">
            <wp:extent cx="4471988" cy="2761113"/>
            <wp:effectExtent l="0" t="0" r="0" b="0"/>
            <wp:docPr id="2" name="image1.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ar chart&#10;&#10;Description automatically generated"/>
                    <pic:cNvPicPr preferRelativeResize="0"/>
                  </pic:nvPicPr>
                  <pic:blipFill>
                    <a:blip r:embed="rId8"/>
                    <a:srcRect/>
                    <a:stretch>
                      <a:fillRect/>
                    </a:stretch>
                  </pic:blipFill>
                  <pic:spPr>
                    <a:xfrm>
                      <a:off x="0" y="0"/>
                      <a:ext cx="4471988" cy="2761113"/>
                    </a:xfrm>
                    <a:prstGeom prst="rect">
                      <a:avLst/>
                    </a:prstGeom>
                    <a:ln/>
                  </pic:spPr>
                </pic:pic>
              </a:graphicData>
            </a:graphic>
          </wp:inline>
        </w:drawing>
      </w:r>
    </w:p>
    <w:p w14:paraId="5DE8F723" w14:textId="77777777" w:rsidR="00E32AD9" w:rsidRDefault="00000000">
      <w:pPr>
        <w:spacing w:after="200" w:line="240" w:lineRule="auto"/>
        <w:jc w:val="both"/>
        <w:rPr>
          <w:i/>
          <w:color w:val="434343"/>
          <w:sz w:val="18"/>
          <w:szCs w:val="18"/>
        </w:rPr>
      </w:pPr>
      <w:r>
        <w:rPr>
          <w:i/>
          <w:color w:val="1F497D"/>
          <w:sz w:val="18"/>
          <w:szCs w:val="18"/>
        </w:rPr>
        <w:t xml:space="preserve">Figure 1. </w:t>
      </w:r>
      <w:r>
        <w:rPr>
          <w:i/>
          <w:color w:val="222222"/>
          <w:sz w:val="20"/>
          <w:szCs w:val="20"/>
          <w:highlight w:val="white"/>
        </w:rPr>
        <w:t>Evolution of the best AUC we can achieve for predictions at 12, 18, and 60 months.</w:t>
      </w:r>
    </w:p>
    <w:p w14:paraId="4D5DF306" w14:textId="6E8B79BF" w:rsidR="00E32AD9" w:rsidRDefault="00E32AD9">
      <w:pPr>
        <w:spacing w:line="480" w:lineRule="auto"/>
        <w:jc w:val="both"/>
        <w:rPr>
          <w:b/>
          <w:sz w:val="24"/>
          <w:szCs w:val="24"/>
        </w:rPr>
      </w:pPr>
    </w:p>
    <w:p w14:paraId="284109F1" w14:textId="77777777" w:rsidR="00E32AD9" w:rsidRDefault="00000000">
      <w:pPr>
        <w:jc w:val="both"/>
        <w:rPr>
          <w:b/>
          <w:sz w:val="24"/>
          <w:szCs w:val="24"/>
        </w:rPr>
      </w:pPr>
      <w:r>
        <w:rPr>
          <w:b/>
          <w:sz w:val="24"/>
          <w:szCs w:val="24"/>
        </w:rPr>
        <w:t>References</w:t>
      </w:r>
    </w:p>
    <w:p w14:paraId="62273771" w14:textId="77777777" w:rsidR="00E32AD9" w:rsidRDefault="00E32AD9">
      <w:pPr>
        <w:spacing w:before="200" w:line="240" w:lineRule="auto"/>
        <w:jc w:val="both"/>
        <w:rPr>
          <w:b/>
          <w:sz w:val="24"/>
          <w:szCs w:val="24"/>
        </w:rPr>
      </w:pPr>
    </w:p>
    <w:p w14:paraId="1586E28A" w14:textId="77777777" w:rsidR="00E32AD9" w:rsidRDefault="00000000">
      <w:pPr>
        <w:pBdr>
          <w:top w:val="nil"/>
          <w:left w:val="nil"/>
          <w:bottom w:val="nil"/>
          <w:right w:val="nil"/>
          <w:between w:val="nil"/>
        </w:pBdr>
        <w:tabs>
          <w:tab w:val="left" w:pos="384"/>
        </w:tabs>
        <w:spacing w:before="200" w:line="240" w:lineRule="auto"/>
        <w:ind w:left="384" w:hanging="384"/>
        <w:rPr>
          <w:color w:val="000000"/>
        </w:rPr>
      </w:pPr>
      <w:r>
        <w:rPr>
          <w:color w:val="000000"/>
        </w:rPr>
        <w:t>1.</w:t>
      </w:r>
      <w:r>
        <w:rPr>
          <w:color w:val="000000"/>
        </w:rPr>
        <w:tab/>
      </w:r>
      <w:proofErr w:type="spellStart"/>
      <w:r>
        <w:rPr>
          <w:color w:val="000000"/>
        </w:rPr>
        <w:t>Hehlmann</w:t>
      </w:r>
      <w:proofErr w:type="spellEnd"/>
      <w:r>
        <w:rPr>
          <w:color w:val="000000"/>
        </w:rPr>
        <w:t xml:space="preserve">, R. Chronic Myeloid Leukemia in 2020. </w:t>
      </w:r>
      <w:proofErr w:type="spellStart"/>
      <w:r>
        <w:rPr>
          <w:i/>
          <w:color w:val="000000"/>
        </w:rPr>
        <w:t>Hemasphere</w:t>
      </w:r>
      <w:proofErr w:type="spellEnd"/>
      <w:r>
        <w:rPr>
          <w:color w:val="000000"/>
        </w:rPr>
        <w:t xml:space="preserve"> </w:t>
      </w:r>
      <w:r>
        <w:rPr>
          <w:b/>
          <w:color w:val="000000"/>
        </w:rPr>
        <w:t>4</w:t>
      </w:r>
      <w:r>
        <w:rPr>
          <w:color w:val="000000"/>
        </w:rPr>
        <w:t>, e468 (2020).</w:t>
      </w:r>
    </w:p>
    <w:p w14:paraId="72AD7E9A" w14:textId="77777777" w:rsidR="00E32AD9" w:rsidRDefault="00000000">
      <w:pPr>
        <w:pBdr>
          <w:top w:val="nil"/>
          <w:left w:val="nil"/>
          <w:bottom w:val="nil"/>
          <w:right w:val="nil"/>
          <w:between w:val="nil"/>
        </w:pBdr>
        <w:tabs>
          <w:tab w:val="left" w:pos="384"/>
        </w:tabs>
        <w:spacing w:before="200" w:line="240" w:lineRule="auto"/>
        <w:ind w:left="384" w:hanging="384"/>
        <w:rPr>
          <w:color w:val="000000"/>
        </w:rPr>
      </w:pPr>
      <w:r>
        <w:rPr>
          <w:color w:val="000000"/>
        </w:rPr>
        <w:t>2.</w:t>
      </w:r>
      <w:r>
        <w:rPr>
          <w:color w:val="000000"/>
        </w:rPr>
        <w:tab/>
        <w:t xml:space="preserve">Nowell, P. C. &amp; Hungerford, D. A. Chromosome Studies on Normal and Leukemic Human Leukocytes. </w:t>
      </w:r>
      <w:r>
        <w:rPr>
          <w:i/>
          <w:color w:val="000000"/>
        </w:rPr>
        <w:t>JNCI: Journal of the National Cancer Institute</w:t>
      </w:r>
      <w:r>
        <w:rPr>
          <w:color w:val="000000"/>
        </w:rPr>
        <w:t xml:space="preserve"> </w:t>
      </w:r>
      <w:r>
        <w:rPr>
          <w:b/>
          <w:color w:val="000000"/>
        </w:rPr>
        <w:t>25</w:t>
      </w:r>
      <w:r>
        <w:rPr>
          <w:color w:val="000000"/>
        </w:rPr>
        <w:t>, 85–109 (1960).</w:t>
      </w:r>
    </w:p>
    <w:p w14:paraId="04DEDC2D" w14:textId="77777777" w:rsidR="00E32AD9" w:rsidRDefault="00000000">
      <w:pPr>
        <w:pBdr>
          <w:top w:val="nil"/>
          <w:left w:val="nil"/>
          <w:bottom w:val="nil"/>
          <w:right w:val="nil"/>
          <w:between w:val="nil"/>
        </w:pBdr>
        <w:tabs>
          <w:tab w:val="left" w:pos="384"/>
        </w:tabs>
        <w:spacing w:before="200" w:line="240" w:lineRule="auto"/>
        <w:ind w:left="384" w:hanging="384"/>
        <w:rPr>
          <w:color w:val="000000"/>
        </w:rPr>
      </w:pPr>
      <w:r>
        <w:rPr>
          <w:color w:val="000000"/>
        </w:rPr>
        <w:t>3.</w:t>
      </w:r>
      <w:r>
        <w:rPr>
          <w:color w:val="000000"/>
        </w:rPr>
        <w:tab/>
      </w:r>
      <w:proofErr w:type="spellStart"/>
      <w:r>
        <w:rPr>
          <w:color w:val="000000"/>
        </w:rPr>
        <w:t>Shtivelman</w:t>
      </w:r>
      <w:proofErr w:type="spellEnd"/>
      <w:r>
        <w:rPr>
          <w:color w:val="000000"/>
        </w:rPr>
        <w:t xml:space="preserve">, E., </w:t>
      </w:r>
      <w:proofErr w:type="spellStart"/>
      <w:r>
        <w:rPr>
          <w:color w:val="000000"/>
        </w:rPr>
        <w:t>Lifshitz</w:t>
      </w:r>
      <w:proofErr w:type="spellEnd"/>
      <w:r>
        <w:rPr>
          <w:color w:val="000000"/>
        </w:rPr>
        <w:t xml:space="preserve">, B., Gale, R. P. &amp; </w:t>
      </w:r>
      <w:proofErr w:type="spellStart"/>
      <w:r>
        <w:rPr>
          <w:color w:val="000000"/>
        </w:rPr>
        <w:t>Canaani</w:t>
      </w:r>
      <w:proofErr w:type="spellEnd"/>
      <w:r>
        <w:rPr>
          <w:color w:val="000000"/>
        </w:rPr>
        <w:t xml:space="preserve">, E. Fused transcript of </w:t>
      </w:r>
      <w:proofErr w:type="spellStart"/>
      <w:r>
        <w:rPr>
          <w:color w:val="000000"/>
        </w:rPr>
        <w:t>abl</w:t>
      </w:r>
      <w:proofErr w:type="spellEnd"/>
      <w:r>
        <w:rPr>
          <w:color w:val="000000"/>
        </w:rPr>
        <w:t xml:space="preserve"> and </w:t>
      </w:r>
      <w:proofErr w:type="spellStart"/>
      <w:r>
        <w:rPr>
          <w:color w:val="000000"/>
        </w:rPr>
        <w:t>bcr</w:t>
      </w:r>
      <w:proofErr w:type="spellEnd"/>
      <w:r>
        <w:rPr>
          <w:color w:val="000000"/>
        </w:rPr>
        <w:t xml:space="preserve"> genes in chronic myelogenous </w:t>
      </w:r>
      <w:proofErr w:type="spellStart"/>
      <w:r>
        <w:rPr>
          <w:color w:val="000000"/>
        </w:rPr>
        <w:t>leukaemia</w:t>
      </w:r>
      <w:proofErr w:type="spellEnd"/>
      <w:r>
        <w:rPr>
          <w:color w:val="000000"/>
        </w:rPr>
        <w:t xml:space="preserve">. </w:t>
      </w:r>
      <w:r>
        <w:rPr>
          <w:i/>
          <w:color w:val="000000"/>
        </w:rPr>
        <w:t>Nature</w:t>
      </w:r>
      <w:r>
        <w:rPr>
          <w:color w:val="000000"/>
        </w:rPr>
        <w:t xml:space="preserve"> </w:t>
      </w:r>
      <w:r>
        <w:rPr>
          <w:b/>
          <w:color w:val="000000"/>
        </w:rPr>
        <w:t>315</w:t>
      </w:r>
      <w:r>
        <w:rPr>
          <w:color w:val="000000"/>
        </w:rPr>
        <w:t>, 550–554 (1985).</w:t>
      </w:r>
    </w:p>
    <w:p w14:paraId="74B15222" w14:textId="77777777" w:rsidR="00E32AD9" w:rsidRDefault="00000000">
      <w:pPr>
        <w:pBdr>
          <w:top w:val="nil"/>
          <w:left w:val="nil"/>
          <w:bottom w:val="nil"/>
          <w:right w:val="nil"/>
          <w:between w:val="nil"/>
        </w:pBdr>
        <w:tabs>
          <w:tab w:val="left" w:pos="384"/>
        </w:tabs>
        <w:spacing w:before="200" w:line="240" w:lineRule="auto"/>
        <w:ind w:left="384" w:hanging="384"/>
        <w:rPr>
          <w:color w:val="000000"/>
        </w:rPr>
      </w:pPr>
      <w:r>
        <w:rPr>
          <w:color w:val="000000"/>
        </w:rPr>
        <w:t>4.</w:t>
      </w:r>
      <w:r>
        <w:rPr>
          <w:color w:val="000000"/>
        </w:rPr>
        <w:tab/>
        <w:t xml:space="preserve">Melo, J. V. 2 BCR-ABL gene variants. </w:t>
      </w:r>
      <w:proofErr w:type="spellStart"/>
      <w:r>
        <w:rPr>
          <w:i/>
          <w:color w:val="000000"/>
        </w:rPr>
        <w:t>Baillière’s</w:t>
      </w:r>
      <w:proofErr w:type="spellEnd"/>
      <w:r>
        <w:rPr>
          <w:i/>
          <w:color w:val="000000"/>
        </w:rPr>
        <w:t xml:space="preserve"> Clinical </w:t>
      </w:r>
      <w:proofErr w:type="spellStart"/>
      <w:r>
        <w:rPr>
          <w:i/>
          <w:color w:val="000000"/>
        </w:rPr>
        <w:t>Haematology</w:t>
      </w:r>
      <w:proofErr w:type="spellEnd"/>
      <w:r>
        <w:rPr>
          <w:color w:val="000000"/>
        </w:rPr>
        <w:t xml:space="preserve"> </w:t>
      </w:r>
      <w:r>
        <w:rPr>
          <w:b/>
          <w:color w:val="000000"/>
        </w:rPr>
        <w:t>10</w:t>
      </w:r>
      <w:r>
        <w:rPr>
          <w:color w:val="000000"/>
        </w:rPr>
        <w:t>, 203–222 (1997).</w:t>
      </w:r>
    </w:p>
    <w:p w14:paraId="51A8CD80" w14:textId="77777777" w:rsidR="00E32AD9" w:rsidRDefault="00000000">
      <w:pPr>
        <w:pBdr>
          <w:top w:val="nil"/>
          <w:left w:val="nil"/>
          <w:bottom w:val="nil"/>
          <w:right w:val="nil"/>
          <w:between w:val="nil"/>
        </w:pBdr>
        <w:tabs>
          <w:tab w:val="left" w:pos="384"/>
        </w:tabs>
        <w:spacing w:before="200" w:line="240" w:lineRule="auto"/>
        <w:ind w:left="384" w:hanging="384"/>
        <w:rPr>
          <w:color w:val="000000"/>
        </w:rPr>
      </w:pPr>
      <w:r>
        <w:rPr>
          <w:color w:val="000000"/>
        </w:rPr>
        <w:t>5.</w:t>
      </w:r>
      <w:r>
        <w:rPr>
          <w:color w:val="000000"/>
        </w:rPr>
        <w:tab/>
        <w:t xml:space="preserve">Bartram, C. R. </w:t>
      </w:r>
      <w:r>
        <w:rPr>
          <w:i/>
          <w:color w:val="000000"/>
        </w:rPr>
        <w:t>et al.</w:t>
      </w:r>
      <w:r>
        <w:rPr>
          <w:color w:val="000000"/>
        </w:rPr>
        <w:t xml:space="preserve"> Translocation of c-</w:t>
      </w:r>
      <w:proofErr w:type="spellStart"/>
      <w:r>
        <w:rPr>
          <w:color w:val="000000"/>
        </w:rPr>
        <w:t>abl</w:t>
      </w:r>
      <w:proofErr w:type="spellEnd"/>
      <w:r>
        <w:rPr>
          <w:color w:val="000000"/>
        </w:rPr>
        <w:t xml:space="preserve"> oncogene correlates with the presence of a Philadelphia chromosome in chronic myelocytic </w:t>
      </w:r>
      <w:proofErr w:type="spellStart"/>
      <w:r>
        <w:rPr>
          <w:color w:val="000000"/>
        </w:rPr>
        <w:t>leukaemia</w:t>
      </w:r>
      <w:proofErr w:type="spellEnd"/>
      <w:r>
        <w:rPr>
          <w:color w:val="000000"/>
        </w:rPr>
        <w:t xml:space="preserve">. </w:t>
      </w:r>
      <w:r>
        <w:rPr>
          <w:i/>
          <w:color w:val="000000"/>
        </w:rPr>
        <w:t>Nature</w:t>
      </w:r>
      <w:r>
        <w:rPr>
          <w:color w:val="000000"/>
        </w:rPr>
        <w:t xml:space="preserve"> </w:t>
      </w:r>
      <w:r>
        <w:rPr>
          <w:b/>
          <w:color w:val="000000"/>
        </w:rPr>
        <w:t>306</w:t>
      </w:r>
      <w:r>
        <w:rPr>
          <w:color w:val="000000"/>
        </w:rPr>
        <w:t>, 277–280 (1983).</w:t>
      </w:r>
    </w:p>
    <w:p w14:paraId="53E077BF" w14:textId="77777777" w:rsidR="00E32AD9" w:rsidRDefault="00000000">
      <w:pPr>
        <w:pBdr>
          <w:top w:val="nil"/>
          <w:left w:val="nil"/>
          <w:bottom w:val="nil"/>
          <w:right w:val="nil"/>
          <w:between w:val="nil"/>
        </w:pBdr>
        <w:tabs>
          <w:tab w:val="left" w:pos="384"/>
        </w:tabs>
        <w:spacing w:before="200" w:line="240" w:lineRule="auto"/>
        <w:ind w:left="384" w:hanging="384"/>
        <w:rPr>
          <w:color w:val="000000"/>
        </w:rPr>
      </w:pPr>
      <w:r>
        <w:rPr>
          <w:color w:val="000000"/>
        </w:rPr>
        <w:t>6.</w:t>
      </w:r>
      <w:r>
        <w:rPr>
          <w:color w:val="000000"/>
        </w:rPr>
        <w:tab/>
        <w:t xml:space="preserve">Klein, A. de </w:t>
      </w:r>
      <w:r>
        <w:rPr>
          <w:i/>
          <w:color w:val="000000"/>
        </w:rPr>
        <w:t>et al.</w:t>
      </w:r>
      <w:r>
        <w:rPr>
          <w:color w:val="000000"/>
        </w:rPr>
        <w:t xml:space="preserve"> A cellular oncogene is translocated to the Philadelphia chromosome in chronic myelocytic </w:t>
      </w:r>
      <w:proofErr w:type="spellStart"/>
      <w:r>
        <w:rPr>
          <w:color w:val="000000"/>
        </w:rPr>
        <w:t>leukaemia</w:t>
      </w:r>
      <w:proofErr w:type="spellEnd"/>
      <w:r>
        <w:rPr>
          <w:color w:val="000000"/>
        </w:rPr>
        <w:t xml:space="preserve">. </w:t>
      </w:r>
      <w:r>
        <w:rPr>
          <w:i/>
          <w:color w:val="000000"/>
        </w:rPr>
        <w:t>Nature</w:t>
      </w:r>
      <w:r>
        <w:rPr>
          <w:color w:val="000000"/>
        </w:rPr>
        <w:t xml:space="preserve"> </w:t>
      </w:r>
      <w:r>
        <w:rPr>
          <w:b/>
          <w:color w:val="000000"/>
        </w:rPr>
        <w:t>300</w:t>
      </w:r>
      <w:r>
        <w:rPr>
          <w:color w:val="000000"/>
        </w:rPr>
        <w:t>, 765–767 (1982).</w:t>
      </w:r>
    </w:p>
    <w:p w14:paraId="655EC8D4" w14:textId="77777777" w:rsidR="00E32AD9" w:rsidRDefault="00000000">
      <w:pPr>
        <w:pBdr>
          <w:top w:val="nil"/>
          <w:left w:val="nil"/>
          <w:bottom w:val="nil"/>
          <w:right w:val="nil"/>
          <w:between w:val="nil"/>
        </w:pBdr>
        <w:tabs>
          <w:tab w:val="left" w:pos="384"/>
        </w:tabs>
        <w:spacing w:before="200" w:line="240" w:lineRule="auto"/>
        <w:ind w:left="384" w:hanging="384"/>
        <w:rPr>
          <w:color w:val="000000"/>
        </w:rPr>
      </w:pPr>
      <w:r>
        <w:rPr>
          <w:color w:val="000000"/>
        </w:rPr>
        <w:t>7.</w:t>
      </w:r>
      <w:r>
        <w:rPr>
          <w:color w:val="000000"/>
        </w:rPr>
        <w:tab/>
        <w:t xml:space="preserve">Rowley, J. D. A New Consistent Chromosomal Abnormality in Chronic Myelogenous </w:t>
      </w:r>
      <w:proofErr w:type="spellStart"/>
      <w:r>
        <w:rPr>
          <w:color w:val="000000"/>
        </w:rPr>
        <w:t>Leukaemia</w:t>
      </w:r>
      <w:proofErr w:type="spellEnd"/>
      <w:r>
        <w:rPr>
          <w:color w:val="000000"/>
        </w:rPr>
        <w:t xml:space="preserve"> identified by Quinacrine Fluorescence and Giemsa Staining. </w:t>
      </w:r>
      <w:r>
        <w:rPr>
          <w:i/>
          <w:color w:val="000000"/>
        </w:rPr>
        <w:t>Nature</w:t>
      </w:r>
      <w:r>
        <w:rPr>
          <w:color w:val="000000"/>
        </w:rPr>
        <w:t xml:space="preserve"> </w:t>
      </w:r>
      <w:r>
        <w:rPr>
          <w:b/>
          <w:color w:val="000000"/>
        </w:rPr>
        <w:t>243</w:t>
      </w:r>
      <w:r>
        <w:rPr>
          <w:color w:val="000000"/>
        </w:rPr>
        <w:t>, 290–293 (1973).</w:t>
      </w:r>
    </w:p>
    <w:p w14:paraId="004B632F" w14:textId="77777777" w:rsidR="00E32AD9" w:rsidRDefault="00000000">
      <w:pPr>
        <w:pBdr>
          <w:top w:val="nil"/>
          <w:left w:val="nil"/>
          <w:bottom w:val="nil"/>
          <w:right w:val="nil"/>
          <w:between w:val="nil"/>
        </w:pBdr>
        <w:tabs>
          <w:tab w:val="left" w:pos="384"/>
        </w:tabs>
        <w:spacing w:before="200" w:line="240" w:lineRule="auto"/>
        <w:ind w:left="384" w:hanging="384"/>
        <w:rPr>
          <w:color w:val="000000"/>
        </w:rPr>
      </w:pPr>
      <w:r>
        <w:rPr>
          <w:color w:val="000000"/>
        </w:rPr>
        <w:t>8.</w:t>
      </w:r>
      <w:r>
        <w:rPr>
          <w:color w:val="000000"/>
        </w:rPr>
        <w:tab/>
        <w:t>Key Statistics for Chronic Myeloid Leukemia. https://www.cancer.org/cancer/chronic-myeloid-leukemia/about/statistics.html.</w:t>
      </w:r>
    </w:p>
    <w:p w14:paraId="6728A058" w14:textId="77777777" w:rsidR="00E32AD9" w:rsidRDefault="00000000">
      <w:pPr>
        <w:pBdr>
          <w:top w:val="nil"/>
          <w:left w:val="nil"/>
          <w:bottom w:val="nil"/>
          <w:right w:val="nil"/>
          <w:between w:val="nil"/>
        </w:pBdr>
        <w:tabs>
          <w:tab w:val="left" w:pos="384"/>
        </w:tabs>
        <w:spacing w:before="200" w:line="240" w:lineRule="auto"/>
        <w:ind w:left="384" w:hanging="384"/>
        <w:rPr>
          <w:color w:val="000000"/>
        </w:rPr>
      </w:pPr>
      <w:r>
        <w:rPr>
          <w:color w:val="000000"/>
        </w:rPr>
        <w:t>9.</w:t>
      </w:r>
      <w:r>
        <w:rPr>
          <w:color w:val="000000"/>
        </w:rPr>
        <w:tab/>
        <w:t xml:space="preserve">Neves, W. B. das, Brito, A. M. de, Vasconcelos, A. P., Melo, F. C. de B. C. &amp; Melo, R. A. M. </w:t>
      </w:r>
      <w:proofErr w:type="gramStart"/>
      <w:r>
        <w:rPr>
          <w:color w:val="000000"/>
        </w:rPr>
        <w:t>Incidence</w:t>
      </w:r>
      <w:proofErr w:type="gramEnd"/>
      <w:r>
        <w:rPr>
          <w:color w:val="000000"/>
        </w:rPr>
        <w:t xml:space="preserve"> and spatial distribution of Chronic Myeloid Leukemia by regions of economic development in the state of Pernambuco, Brazil. </w:t>
      </w:r>
      <w:proofErr w:type="spellStart"/>
      <w:r>
        <w:rPr>
          <w:i/>
          <w:color w:val="000000"/>
        </w:rPr>
        <w:t>Hematol</w:t>
      </w:r>
      <w:proofErr w:type="spellEnd"/>
      <w:r>
        <w:rPr>
          <w:i/>
          <w:color w:val="000000"/>
        </w:rPr>
        <w:t xml:space="preserve"> </w:t>
      </w:r>
      <w:proofErr w:type="spellStart"/>
      <w:r>
        <w:rPr>
          <w:i/>
          <w:color w:val="000000"/>
        </w:rPr>
        <w:t>Transfus</w:t>
      </w:r>
      <w:proofErr w:type="spellEnd"/>
      <w:r>
        <w:rPr>
          <w:i/>
          <w:color w:val="000000"/>
        </w:rPr>
        <w:t xml:space="preserve"> Cell </w:t>
      </w:r>
      <w:proofErr w:type="spellStart"/>
      <w:r>
        <w:rPr>
          <w:i/>
          <w:color w:val="000000"/>
        </w:rPr>
        <w:t>Ther</w:t>
      </w:r>
      <w:proofErr w:type="spellEnd"/>
      <w:r>
        <w:rPr>
          <w:color w:val="000000"/>
        </w:rPr>
        <w:t xml:space="preserve"> </w:t>
      </w:r>
      <w:r>
        <w:rPr>
          <w:b/>
          <w:color w:val="000000"/>
        </w:rPr>
        <w:t>41</w:t>
      </w:r>
      <w:r>
        <w:rPr>
          <w:color w:val="000000"/>
        </w:rPr>
        <w:t>, 212–215 (2019).</w:t>
      </w:r>
    </w:p>
    <w:p w14:paraId="1C9C387F" w14:textId="77777777" w:rsidR="00E32AD9" w:rsidRDefault="00000000">
      <w:pPr>
        <w:pBdr>
          <w:top w:val="nil"/>
          <w:left w:val="nil"/>
          <w:bottom w:val="nil"/>
          <w:right w:val="nil"/>
          <w:between w:val="nil"/>
        </w:pBdr>
        <w:tabs>
          <w:tab w:val="left" w:pos="384"/>
        </w:tabs>
        <w:spacing w:before="200" w:line="240" w:lineRule="auto"/>
        <w:ind w:left="384" w:hanging="384"/>
        <w:rPr>
          <w:color w:val="000000"/>
        </w:rPr>
      </w:pPr>
      <w:r>
        <w:rPr>
          <w:color w:val="000000"/>
        </w:rPr>
        <w:lastRenderedPageBreak/>
        <w:t>1</w:t>
      </w:r>
      <w:r>
        <w:t>0</w:t>
      </w:r>
      <w:r>
        <w:rPr>
          <w:color w:val="000000"/>
        </w:rPr>
        <w:t>.</w:t>
      </w:r>
      <w:r>
        <w:rPr>
          <w:color w:val="000000"/>
        </w:rPr>
        <w:tab/>
      </w:r>
      <w:proofErr w:type="spellStart"/>
      <w:r>
        <w:rPr>
          <w:color w:val="000000"/>
        </w:rPr>
        <w:t>Vasella</w:t>
      </w:r>
      <w:proofErr w:type="spellEnd"/>
      <w:r>
        <w:rPr>
          <w:color w:val="000000"/>
        </w:rPr>
        <w:t xml:space="preserve">, D. &amp; Slater, R. Magic cancer bullet: how a tiny orange pill is rewriting medical history. </w:t>
      </w:r>
      <w:r>
        <w:rPr>
          <w:i/>
          <w:color w:val="000000"/>
        </w:rPr>
        <w:t>Magic cancer bullet: how a tiny orange pill is rewriting medical history</w:t>
      </w:r>
      <w:r>
        <w:rPr>
          <w:color w:val="000000"/>
        </w:rPr>
        <w:t xml:space="preserve"> vii,258-vii,258 (2003).</w:t>
      </w:r>
    </w:p>
    <w:p w14:paraId="303030E9" w14:textId="77777777" w:rsidR="00E32AD9" w:rsidRDefault="00000000">
      <w:pPr>
        <w:pBdr>
          <w:top w:val="nil"/>
          <w:left w:val="nil"/>
          <w:bottom w:val="nil"/>
          <w:right w:val="nil"/>
          <w:between w:val="nil"/>
        </w:pBdr>
        <w:tabs>
          <w:tab w:val="left" w:pos="384"/>
        </w:tabs>
        <w:spacing w:before="200" w:line="240" w:lineRule="auto"/>
        <w:ind w:left="384" w:hanging="384"/>
        <w:rPr>
          <w:color w:val="000000"/>
        </w:rPr>
      </w:pPr>
      <w:r>
        <w:rPr>
          <w:color w:val="000000"/>
        </w:rPr>
        <w:t>1</w:t>
      </w:r>
      <w:r>
        <w:t>1</w:t>
      </w:r>
      <w:r>
        <w:rPr>
          <w:color w:val="000000"/>
        </w:rPr>
        <w:t>.</w:t>
      </w:r>
      <w:r>
        <w:rPr>
          <w:color w:val="000000"/>
        </w:rPr>
        <w:tab/>
        <w:t xml:space="preserve">Michel, C. </w:t>
      </w:r>
      <w:r>
        <w:rPr>
          <w:i/>
          <w:color w:val="000000"/>
        </w:rPr>
        <w:t>et al.</w:t>
      </w:r>
      <w:r>
        <w:rPr>
          <w:color w:val="000000"/>
        </w:rPr>
        <w:t xml:space="preserve"> Imatinib dose reduction in major molecular response of chronic myeloid leukemia: results from the German Chronic Myeloid Leukemia-Study IV. </w:t>
      </w:r>
      <w:proofErr w:type="spellStart"/>
      <w:r>
        <w:rPr>
          <w:i/>
          <w:color w:val="000000"/>
        </w:rPr>
        <w:t>Haematologica</w:t>
      </w:r>
      <w:proofErr w:type="spellEnd"/>
      <w:r>
        <w:rPr>
          <w:color w:val="000000"/>
        </w:rPr>
        <w:t xml:space="preserve"> </w:t>
      </w:r>
      <w:r>
        <w:rPr>
          <w:b/>
          <w:color w:val="000000"/>
        </w:rPr>
        <w:t>104</w:t>
      </w:r>
      <w:r>
        <w:rPr>
          <w:color w:val="000000"/>
        </w:rPr>
        <w:t>, 955–962 (2019).</w:t>
      </w:r>
    </w:p>
    <w:p w14:paraId="43D12D24" w14:textId="77777777" w:rsidR="00E32AD9" w:rsidRDefault="00000000">
      <w:pPr>
        <w:pBdr>
          <w:top w:val="nil"/>
          <w:left w:val="nil"/>
          <w:bottom w:val="nil"/>
          <w:right w:val="nil"/>
          <w:between w:val="nil"/>
        </w:pBdr>
        <w:tabs>
          <w:tab w:val="left" w:pos="384"/>
        </w:tabs>
        <w:spacing w:before="200" w:line="240" w:lineRule="auto"/>
        <w:ind w:left="384" w:hanging="384"/>
        <w:rPr>
          <w:color w:val="000000"/>
        </w:rPr>
      </w:pPr>
      <w:r>
        <w:rPr>
          <w:color w:val="000000"/>
        </w:rPr>
        <w:t>1</w:t>
      </w:r>
      <w:r>
        <w:t>2</w:t>
      </w:r>
      <w:r>
        <w:rPr>
          <w:color w:val="000000"/>
        </w:rPr>
        <w:t>.</w:t>
      </w:r>
      <w:r>
        <w:rPr>
          <w:color w:val="000000"/>
        </w:rPr>
        <w:tab/>
        <w:t xml:space="preserve">Schiffer, C. A. Discontinuation of tyrosine kinase inhibitors in patients with chronic </w:t>
      </w:r>
      <w:proofErr w:type="spellStart"/>
      <w:r>
        <w:rPr>
          <w:color w:val="000000"/>
        </w:rPr>
        <w:t>myelogeneous</w:t>
      </w:r>
      <w:proofErr w:type="spellEnd"/>
      <w:r>
        <w:rPr>
          <w:color w:val="000000"/>
        </w:rPr>
        <w:t xml:space="preserve"> leukemia – You can do this at home if you read the instructions. </w:t>
      </w:r>
      <w:proofErr w:type="spellStart"/>
      <w:r>
        <w:rPr>
          <w:i/>
          <w:color w:val="000000"/>
        </w:rPr>
        <w:t>Haematologica</w:t>
      </w:r>
      <w:proofErr w:type="spellEnd"/>
      <w:r>
        <w:rPr>
          <w:color w:val="000000"/>
        </w:rPr>
        <w:t xml:space="preserve"> </w:t>
      </w:r>
      <w:r>
        <w:rPr>
          <w:b/>
          <w:color w:val="000000"/>
        </w:rPr>
        <w:t>104</w:t>
      </w:r>
      <w:r>
        <w:rPr>
          <w:color w:val="000000"/>
        </w:rPr>
        <w:t>, 1508–1511 (2019).</w:t>
      </w:r>
    </w:p>
    <w:p w14:paraId="4ABD9764" w14:textId="77777777" w:rsidR="00E32AD9" w:rsidRDefault="00000000">
      <w:pPr>
        <w:pBdr>
          <w:top w:val="nil"/>
          <w:left w:val="nil"/>
          <w:bottom w:val="nil"/>
          <w:right w:val="nil"/>
          <w:between w:val="nil"/>
        </w:pBdr>
        <w:tabs>
          <w:tab w:val="left" w:pos="384"/>
        </w:tabs>
        <w:spacing w:before="200" w:line="240" w:lineRule="auto"/>
        <w:ind w:left="384" w:hanging="384"/>
        <w:rPr>
          <w:color w:val="000000"/>
        </w:rPr>
      </w:pPr>
      <w:r>
        <w:rPr>
          <w:color w:val="000000"/>
        </w:rPr>
        <w:t>1</w:t>
      </w:r>
      <w:r>
        <w:t>3</w:t>
      </w:r>
      <w:r>
        <w:rPr>
          <w:color w:val="000000"/>
        </w:rPr>
        <w:t>.</w:t>
      </w:r>
      <w:r>
        <w:rPr>
          <w:color w:val="000000"/>
        </w:rPr>
        <w:tab/>
      </w:r>
      <w:proofErr w:type="spellStart"/>
      <w:r>
        <w:rPr>
          <w:color w:val="000000"/>
        </w:rPr>
        <w:t>Hochhaus</w:t>
      </w:r>
      <w:proofErr w:type="spellEnd"/>
      <w:r>
        <w:rPr>
          <w:color w:val="000000"/>
        </w:rPr>
        <w:t xml:space="preserve">, A. </w:t>
      </w:r>
      <w:r>
        <w:rPr>
          <w:i/>
          <w:color w:val="000000"/>
        </w:rPr>
        <w:t>et al.</w:t>
      </w:r>
      <w:r>
        <w:rPr>
          <w:color w:val="000000"/>
        </w:rPr>
        <w:t xml:space="preserve"> European </w:t>
      </w:r>
      <w:proofErr w:type="spellStart"/>
      <w:r>
        <w:rPr>
          <w:color w:val="000000"/>
        </w:rPr>
        <w:t>LeukemiaNet</w:t>
      </w:r>
      <w:proofErr w:type="spellEnd"/>
      <w:r>
        <w:rPr>
          <w:color w:val="000000"/>
        </w:rPr>
        <w:t xml:space="preserve"> 2020 recommendations for treating chronic myeloid leukemia. </w:t>
      </w:r>
      <w:r>
        <w:rPr>
          <w:i/>
          <w:color w:val="000000"/>
        </w:rPr>
        <w:t>Leukemia</w:t>
      </w:r>
      <w:r>
        <w:rPr>
          <w:color w:val="000000"/>
        </w:rPr>
        <w:t xml:space="preserve"> </w:t>
      </w:r>
      <w:r>
        <w:rPr>
          <w:b/>
          <w:color w:val="000000"/>
        </w:rPr>
        <w:t>34</w:t>
      </w:r>
      <w:r>
        <w:rPr>
          <w:color w:val="000000"/>
        </w:rPr>
        <w:t>, 966–984 (2020).</w:t>
      </w:r>
    </w:p>
    <w:p w14:paraId="6665C4F2" w14:textId="77777777" w:rsidR="00E32AD9" w:rsidRDefault="00000000">
      <w:pPr>
        <w:pBdr>
          <w:top w:val="nil"/>
          <w:left w:val="nil"/>
          <w:bottom w:val="nil"/>
          <w:right w:val="nil"/>
          <w:between w:val="nil"/>
        </w:pBdr>
        <w:tabs>
          <w:tab w:val="left" w:pos="384"/>
        </w:tabs>
        <w:spacing w:before="200" w:line="240" w:lineRule="auto"/>
        <w:ind w:left="384" w:hanging="384"/>
        <w:rPr>
          <w:color w:val="000000"/>
        </w:rPr>
      </w:pPr>
      <w:r>
        <w:rPr>
          <w:color w:val="000000"/>
        </w:rPr>
        <w:t>1</w:t>
      </w:r>
      <w:r>
        <w:t>4</w:t>
      </w:r>
      <w:r>
        <w:rPr>
          <w:color w:val="000000"/>
        </w:rPr>
        <w:t>.</w:t>
      </w:r>
      <w:r>
        <w:rPr>
          <w:color w:val="000000"/>
        </w:rPr>
        <w:tab/>
        <w:t xml:space="preserve">Wang, R., Cong, Y., Li, C., Zhang, C. &amp; Lin, H. Predictive value of early molecular response for deep molecular response in chronic phase of chronic myeloid leukemia. </w:t>
      </w:r>
      <w:r>
        <w:rPr>
          <w:i/>
          <w:color w:val="000000"/>
        </w:rPr>
        <w:t>Medicine (Baltimore)</w:t>
      </w:r>
      <w:r>
        <w:rPr>
          <w:color w:val="000000"/>
        </w:rPr>
        <w:t xml:space="preserve"> </w:t>
      </w:r>
      <w:r>
        <w:rPr>
          <w:b/>
          <w:color w:val="000000"/>
        </w:rPr>
        <w:t>98</w:t>
      </w:r>
      <w:r>
        <w:rPr>
          <w:color w:val="000000"/>
        </w:rPr>
        <w:t>, e15222 (2019).</w:t>
      </w:r>
    </w:p>
    <w:p w14:paraId="69416E26" w14:textId="77777777" w:rsidR="00E32AD9" w:rsidRDefault="00000000">
      <w:pPr>
        <w:pBdr>
          <w:top w:val="nil"/>
          <w:left w:val="nil"/>
          <w:bottom w:val="nil"/>
          <w:right w:val="nil"/>
          <w:between w:val="nil"/>
        </w:pBdr>
        <w:tabs>
          <w:tab w:val="left" w:pos="384"/>
        </w:tabs>
        <w:spacing w:before="200" w:line="240" w:lineRule="auto"/>
        <w:ind w:left="384" w:hanging="384"/>
        <w:rPr>
          <w:color w:val="000000"/>
        </w:rPr>
      </w:pPr>
      <w:r>
        <w:rPr>
          <w:color w:val="000000"/>
        </w:rPr>
        <w:t>1</w:t>
      </w:r>
      <w:r>
        <w:t>5</w:t>
      </w:r>
      <w:r>
        <w:rPr>
          <w:color w:val="000000"/>
        </w:rPr>
        <w:t>.</w:t>
      </w:r>
      <w:r>
        <w:rPr>
          <w:color w:val="000000"/>
        </w:rPr>
        <w:tab/>
        <w:t xml:space="preserve">Fava, C. </w:t>
      </w:r>
      <w:r>
        <w:rPr>
          <w:i/>
          <w:color w:val="000000"/>
        </w:rPr>
        <w:t>et al.</w:t>
      </w:r>
      <w:r>
        <w:rPr>
          <w:color w:val="000000"/>
        </w:rPr>
        <w:t xml:space="preserve"> Observational study of chronic myeloid leukemia Italian patients who discontinued tyrosine kinase inhibitors in clinical practice. </w:t>
      </w:r>
      <w:proofErr w:type="spellStart"/>
      <w:r>
        <w:rPr>
          <w:i/>
          <w:color w:val="000000"/>
        </w:rPr>
        <w:t>Haematologica</w:t>
      </w:r>
      <w:proofErr w:type="spellEnd"/>
      <w:r>
        <w:rPr>
          <w:color w:val="000000"/>
        </w:rPr>
        <w:t xml:space="preserve"> </w:t>
      </w:r>
      <w:r>
        <w:rPr>
          <w:b/>
          <w:color w:val="000000"/>
        </w:rPr>
        <w:t>104</w:t>
      </w:r>
      <w:r>
        <w:rPr>
          <w:color w:val="000000"/>
        </w:rPr>
        <w:t>, 1589–1596 (2019).</w:t>
      </w:r>
    </w:p>
    <w:p w14:paraId="0E2B99C6" w14:textId="77777777" w:rsidR="00E32AD9" w:rsidRDefault="00000000">
      <w:pPr>
        <w:pBdr>
          <w:top w:val="nil"/>
          <w:left w:val="nil"/>
          <w:bottom w:val="nil"/>
          <w:right w:val="nil"/>
          <w:between w:val="nil"/>
        </w:pBdr>
        <w:tabs>
          <w:tab w:val="left" w:pos="384"/>
        </w:tabs>
        <w:spacing w:before="200" w:line="240" w:lineRule="auto"/>
        <w:ind w:left="384" w:hanging="384"/>
        <w:rPr>
          <w:color w:val="000000"/>
        </w:rPr>
      </w:pPr>
      <w:r>
        <w:t>16</w:t>
      </w:r>
      <w:r>
        <w:rPr>
          <w:color w:val="000000"/>
        </w:rPr>
        <w:t>.</w:t>
      </w:r>
      <w:r>
        <w:rPr>
          <w:color w:val="000000"/>
        </w:rPr>
        <w:tab/>
      </w:r>
      <w:proofErr w:type="spellStart"/>
      <w:r>
        <w:rPr>
          <w:color w:val="000000"/>
        </w:rPr>
        <w:t>Shanmuganathan</w:t>
      </w:r>
      <w:proofErr w:type="spellEnd"/>
      <w:r>
        <w:rPr>
          <w:color w:val="000000"/>
        </w:rPr>
        <w:t xml:space="preserve">, N. </w:t>
      </w:r>
      <w:r>
        <w:rPr>
          <w:i/>
          <w:color w:val="000000"/>
        </w:rPr>
        <w:t>et al.</w:t>
      </w:r>
      <w:r>
        <w:rPr>
          <w:color w:val="000000"/>
        </w:rPr>
        <w:t xml:space="preserve"> Early BCR-ABL1 kinetics are predictive of subsequent achievement of treatment-free remission in chronic myeloid leukemia. </w:t>
      </w:r>
      <w:r>
        <w:rPr>
          <w:i/>
          <w:color w:val="000000"/>
        </w:rPr>
        <w:t>Blood</w:t>
      </w:r>
      <w:r>
        <w:rPr>
          <w:color w:val="000000"/>
        </w:rPr>
        <w:t xml:space="preserve"> </w:t>
      </w:r>
      <w:r>
        <w:rPr>
          <w:b/>
          <w:color w:val="000000"/>
        </w:rPr>
        <w:t>137</w:t>
      </w:r>
      <w:r>
        <w:rPr>
          <w:color w:val="000000"/>
        </w:rPr>
        <w:t>, 1196–1207 (2021).</w:t>
      </w:r>
    </w:p>
    <w:p w14:paraId="39B6FEF9" w14:textId="77777777" w:rsidR="00E32AD9" w:rsidRDefault="00000000">
      <w:pPr>
        <w:pBdr>
          <w:top w:val="nil"/>
          <w:left w:val="nil"/>
          <w:bottom w:val="nil"/>
          <w:right w:val="nil"/>
          <w:between w:val="nil"/>
        </w:pBdr>
        <w:tabs>
          <w:tab w:val="left" w:pos="384"/>
        </w:tabs>
        <w:spacing w:before="200" w:line="240" w:lineRule="auto"/>
        <w:ind w:left="384" w:hanging="384"/>
        <w:rPr>
          <w:color w:val="000000"/>
        </w:rPr>
      </w:pPr>
      <w:r>
        <w:t>17</w:t>
      </w:r>
      <w:r>
        <w:rPr>
          <w:color w:val="000000"/>
        </w:rPr>
        <w:t>.</w:t>
      </w:r>
      <w:r>
        <w:rPr>
          <w:color w:val="000000"/>
        </w:rPr>
        <w:tab/>
        <w:t xml:space="preserve">Mahon, F.-X. </w:t>
      </w:r>
      <w:r>
        <w:rPr>
          <w:i/>
          <w:color w:val="000000"/>
        </w:rPr>
        <w:t>et al.</w:t>
      </w:r>
      <w:r>
        <w:rPr>
          <w:color w:val="000000"/>
        </w:rPr>
        <w:t xml:space="preserve"> Discontinuation of imatinib in patients with chronic myeloid </w:t>
      </w:r>
      <w:proofErr w:type="spellStart"/>
      <w:r>
        <w:rPr>
          <w:color w:val="000000"/>
        </w:rPr>
        <w:t>leukaemia</w:t>
      </w:r>
      <w:proofErr w:type="spellEnd"/>
      <w:r>
        <w:rPr>
          <w:color w:val="000000"/>
        </w:rPr>
        <w:t xml:space="preserve"> who have maintained complete molecular remission for at least 2 years: the prospective, </w:t>
      </w:r>
      <w:proofErr w:type="spellStart"/>
      <w:r>
        <w:rPr>
          <w:color w:val="000000"/>
        </w:rPr>
        <w:t>multicentre</w:t>
      </w:r>
      <w:proofErr w:type="spellEnd"/>
      <w:r>
        <w:rPr>
          <w:color w:val="000000"/>
        </w:rPr>
        <w:t xml:space="preserve"> Stop Imatinib (STIM) trial. </w:t>
      </w:r>
      <w:r>
        <w:rPr>
          <w:i/>
          <w:color w:val="000000"/>
        </w:rPr>
        <w:t>The Lancet Oncology</w:t>
      </w:r>
      <w:r>
        <w:rPr>
          <w:color w:val="000000"/>
        </w:rPr>
        <w:t xml:space="preserve"> </w:t>
      </w:r>
      <w:r>
        <w:rPr>
          <w:b/>
          <w:color w:val="000000"/>
        </w:rPr>
        <w:t>11</w:t>
      </w:r>
      <w:r>
        <w:rPr>
          <w:color w:val="000000"/>
        </w:rPr>
        <w:t>, 1029–1035 (2010).</w:t>
      </w:r>
    </w:p>
    <w:p w14:paraId="3C605938" w14:textId="77777777" w:rsidR="00E32AD9" w:rsidRDefault="00000000">
      <w:pPr>
        <w:pBdr>
          <w:top w:val="nil"/>
          <w:left w:val="nil"/>
          <w:bottom w:val="nil"/>
          <w:right w:val="nil"/>
          <w:between w:val="nil"/>
        </w:pBdr>
        <w:tabs>
          <w:tab w:val="left" w:pos="384"/>
        </w:tabs>
        <w:spacing w:before="200" w:line="240" w:lineRule="auto"/>
        <w:ind w:left="384" w:hanging="384"/>
        <w:rPr>
          <w:color w:val="000000"/>
        </w:rPr>
      </w:pPr>
      <w:r>
        <w:t>18</w:t>
      </w:r>
      <w:r>
        <w:rPr>
          <w:color w:val="000000"/>
        </w:rPr>
        <w:t>.</w:t>
      </w:r>
      <w:r>
        <w:rPr>
          <w:color w:val="000000"/>
        </w:rPr>
        <w:tab/>
      </w:r>
      <w:proofErr w:type="spellStart"/>
      <w:r>
        <w:rPr>
          <w:color w:val="000000"/>
        </w:rPr>
        <w:t>Thielen</w:t>
      </w:r>
      <w:proofErr w:type="spellEnd"/>
      <w:r>
        <w:rPr>
          <w:color w:val="000000"/>
        </w:rPr>
        <w:t xml:space="preserve">, N. </w:t>
      </w:r>
      <w:r>
        <w:rPr>
          <w:i/>
          <w:color w:val="000000"/>
        </w:rPr>
        <w:t>et al.</w:t>
      </w:r>
      <w:r>
        <w:rPr>
          <w:color w:val="000000"/>
        </w:rPr>
        <w:t xml:space="preserve"> Imatinib discontinuation in chronic phase myeloid </w:t>
      </w:r>
      <w:proofErr w:type="spellStart"/>
      <w:r>
        <w:rPr>
          <w:color w:val="000000"/>
        </w:rPr>
        <w:t>leukaemia</w:t>
      </w:r>
      <w:proofErr w:type="spellEnd"/>
      <w:r>
        <w:rPr>
          <w:color w:val="000000"/>
        </w:rPr>
        <w:t xml:space="preserve"> patients in sustained complete molecular response: A </w:t>
      </w:r>
      <w:proofErr w:type="spellStart"/>
      <w:r>
        <w:rPr>
          <w:color w:val="000000"/>
        </w:rPr>
        <w:t>randomised</w:t>
      </w:r>
      <w:proofErr w:type="spellEnd"/>
      <w:r>
        <w:rPr>
          <w:color w:val="000000"/>
        </w:rPr>
        <w:t xml:space="preserve"> trial of the Dutch–Belgian Cooperative Trial for Haemato-Oncology (HOVON). </w:t>
      </w:r>
      <w:r>
        <w:rPr>
          <w:i/>
          <w:color w:val="000000"/>
        </w:rPr>
        <w:t>European Journal of Cancer</w:t>
      </w:r>
      <w:r>
        <w:rPr>
          <w:color w:val="000000"/>
        </w:rPr>
        <w:t xml:space="preserve"> </w:t>
      </w:r>
      <w:r>
        <w:rPr>
          <w:b/>
          <w:color w:val="000000"/>
        </w:rPr>
        <w:t>49</w:t>
      </w:r>
      <w:r>
        <w:rPr>
          <w:color w:val="000000"/>
        </w:rPr>
        <w:t>, 3242–3246 (2013).</w:t>
      </w:r>
    </w:p>
    <w:p w14:paraId="574B8D1D" w14:textId="77777777" w:rsidR="00E32AD9" w:rsidRDefault="00000000">
      <w:pPr>
        <w:pBdr>
          <w:top w:val="nil"/>
          <w:left w:val="nil"/>
          <w:bottom w:val="nil"/>
          <w:right w:val="nil"/>
          <w:between w:val="nil"/>
        </w:pBdr>
        <w:tabs>
          <w:tab w:val="left" w:pos="384"/>
        </w:tabs>
        <w:spacing w:before="200" w:line="240" w:lineRule="auto"/>
        <w:ind w:left="384" w:hanging="384"/>
        <w:rPr>
          <w:color w:val="000000"/>
        </w:rPr>
      </w:pPr>
      <w:r>
        <w:t>19</w:t>
      </w:r>
      <w:r>
        <w:rPr>
          <w:color w:val="000000"/>
        </w:rPr>
        <w:t>.</w:t>
      </w:r>
      <w:r>
        <w:rPr>
          <w:color w:val="000000"/>
        </w:rPr>
        <w:tab/>
        <w:t xml:space="preserve">Ross, D. M. </w:t>
      </w:r>
      <w:r>
        <w:rPr>
          <w:i/>
          <w:color w:val="000000"/>
        </w:rPr>
        <w:t>et al.</w:t>
      </w:r>
      <w:r>
        <w:rPr>
          <w:color w:val="000000"/>
        </w:rPr>
        <w:t xml:space="preserve"> Patients with chronic myeloid leukemia who maintain a complete molecular response after stopping imatinib treatment have evidence of persistent leukemia by DNA PCR. </w:t>
      </w:r>
      <w:r>
        <w:rPr>
          <w:i/>
          <w:color w:val="000000"/>
        </w:rPr>
        <w:t>Leukemia</w:t>
      </w:r>
      <w:r>
        <w:rPr>
          <w:color w:val="000000"/>
        </w:rPr>
        <w:t xml:space="preserve"> </w:t>
      </w:r>
      <w:r>
        <w:rPr>
          <w:b/>
          <w:color w:val="000000"/>
        </w:rPr>
        <w:t>24</w:t>
      </w:r>
      <w:r>
        <w:rPr>
          <w:color w:val="000000"/>
        </w:rPr>
        <w:t>, 1719–1724 (2010).</w:t>
      </w:r>
    </w:p>
    <w:p w14:paraId="08716E3A" w14:textId="2DBC8455" w:rsidR="00E32AD9" w:rsidRDefault="00E32AD9">
      <w:pPr>
        <w:jc w:val="both"/>
        <w:rPr>
          <w:b/>
          <w:sz w:val="24"/>
          <w:szCs w:val="24"/>
        </w:rPr>
      </w:pPr>
    </w:p>
    <w:sectPr w:rsidR="00E32AD9">
      <w:footerReference w:type="defaul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361E4" w14:textId="77777777" w:rsidR="009869DA" w:rsidRDefault="009869DA">
      <w:pPr>
        <w:spacing w:line="240" w:lineRule="auto"/>
      </w:pPr>
      <w:r>
        <w:separator/>
      </w:r>
    </w:p>
  </w:endnote>
  <w:endnote w:type="continuationSeparator" w:id="0">
    <w:p w14:paraId="40A2C443" w14:textId="77777777" w:rsidR="009869DA" w:rsidRDefault="009869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F6CC6" w14:textId="77777777" w:rsidR="00E32AD9" w:rsidRDefault="00000000">
    <w:pPr>
      <w:jc w:val="right"/>
    </w:pPr>
    <w:r>
      <w:fldChar w:fldCharType="begin"/>
    </w:r>
    <w:r>
      <w:instrText>PAGE</w:instrText>
    </w:r>
    <w:r>
      <w:fldChar w:fldCharType="separate"/>
    </w:r>
    <w:r w:rsidR="00092C7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7A80" w14:textId="77777777" w:rsidR="00E32AD9" w:rsidRDefault="00E32A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BDAC2" w14:textId="77777777" w:rsidR="009869DA" w:rsidRDefault="009869DA">
      <w:pPr>
        <w:spacing w:line="240" w:lineRule="auto"/>
      </w:pPr>
      <w:r>
        <w:separator/>
      </w:r>
    </w:p>
  </w:footnote>
  <w:footnote w:type="continuationSeparator" w:id="0">
    <w:p w14:paraId="46B4555A" w14:textId="77777777" w:rsidR="009869DA" w:rsidRDefault="009869D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AD9"/>
    <w:rsid w:val="00092C77"/>
    <w:rsid w:val="009869DA"/>
    <w:rsid w:val="00E32A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06EB"/>
  <w15:docId w15:val="{ADEFBC49-0415-40DD-BADA-75D4A212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1718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718E"/>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962B8A"/>
    <w:rPr>
      <w:b/>
      <w:bCs/>
      <w:sz w:val="20"/>
      <w:szCs w:val="20"/>
    </w:rPr>
  </w:style>
  <w:style w:type="character" w:customStyle="1" w:styleId="CommentSubjectChar">
    <w:name w:val="Comment Subject Char"/>
    <w:basedOn w:val="CommentTextChar"/>
    <w:link w:val="CommentSubject"/>
    <w:uiPriority w:val="99"/>
    <w:semiHidden/>
    <w:rsid w:val="00962B8A"/>
    <w:rPr>
      <w:b/>
      <w:bCs/>
      <w:sz w:val="20"/>
      <w:szCs w:val="20"/>
    </w:rPr>
  </w:style>
  <w:style w:type="paragraph" w:styleId="Revision">
    <w:name w:val="Revision"/>
    <w:hidden/>
    <w:uiPriority w:val="99"/>
    <w:semiHidden/>
    <w:rsid w:val="00D53F46"/>
    <w:pPr>
      <w:spacing w:line="240" w:lineRule="auto"/>
    </w:pPr>
  </w:style>
  <w:style w:type="paragraph" w:styleId="EndnoteText">
    <w:name w:val="endnote text"/>
    <w:basedOn w:val="Normal"/>
    <w:link w:val="EndnoteTextChar"/>
    <w:uiPriority w:val="99"/>
    <w:semiHidden/>
    <w:unhideWhenUsed/>
    <w:rsid w:val="001A06CD"/>
    <w:pPr>
      <w:spacing w:line="240" w:lineRule="auto"/>
    </w:pPr>
    <w:rPr>
      <w:sz w:val="20"/>
      <w:szCs w:val="20"/>
    </w:rPr>
  </w:style>
  <w:style w:type="character" w:customStyle="1" w:styleId="EndnoteTextChar">
    <w:name w:val="Endnote Text Char"/>
    <w:basedOn w:val="DefaultParagraphFont"/>
    <w:link w:val="EndnoteText"/>
    <w:uiPriority w:val="99"/>
    <w:semiHidden/>
    <w:rsid w:val="001A06CD"/>
    <w:rPr>
      <w:sz w:val="20"/>
      <w:szCs w:val="20"/>
    </w:rPr>
  </w:style>
  <w:style w:type="character" w:styleId="EndnoteReference">
    <w:name w:val="endnote reference"/>
    <w:basedOn w:val="DefaultParagraphFont"/>
    <w:uiPriority w:val="99"/>
    <w:semiHidden/>
    <w:unhideWhenUsed/>
    <w:rsid w:val="001A06CD"/>
    <w:rPr>
      <w:vertAlign w:val="superscript"/>
    </w:rPr>
  </w:style>
  <w:style w:type="paragraph" w:styleId="FootnoteText">
    <w:name w:val="footnote text"/>
    <w:basedOn w:val="Normal"/>
    <w:link w:val="FootnoteTextChar"/>
    <w:uiPriority w:val="99"/>
    <w:semiHidden/>
    <w:unhideWhenUsed/>
    <w:rsid w:val="001A06CD"/>
    <w:pPr>
      <w:spacing w:line="240" w:lineRule="auto"/>
    </w:pPr>
    <w:rPr>
      <w:sz w:val="20"/>
      <w:szCs w:val="20"/>
    </w:rPr>
  </w:style>
  <w:style w:type="character" w:customStyle="1" w:styleId="FootnoteTextChar">
    <w:name w:val="Footnote Text Char"/>
    <w:basedOn w:val="DefaultParagraphFont"/>
    <w:link w:val="FootnoteText"/>
    <w:uiPriority w:val="99"/>
    <w:semiHidden/>
    <w:rsid w:val="001A06CD"/>
    <w:rPr>
      <w:sz w:val="20"/>
      <w:szCs w:val="20"/>
    </w:rPr>
  </w:style>
  <w:style w:type="character" w:styleId="FootnoteReference">
    <w:name w:val="footnote reference"/>
    <w:basedOn w:val="DefaultParagraphFont"/>
    <w:uiPriority w:val="99"/>
    <w:semiHidden/>
    <w:unhideWhenUsed/>
    <w:rsid w:val="001A06CD"/>
    <w:rPr>
      <w:vertAlign w:val="superscript"/>
    </w:rPr>
  </w:style>
  <w:style w:type="paragraph" w:customStyle="1" w:styleId="paragraph">
    <w:name w:val="paragraph"/>
    <w:basedOn w:val="Normal"/>
    <w:rsid w:val="007043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04378"/>
    <w:rPr>
      <w:color w:val="0000FF"/>
      <w:u w:val="single"/>
    </w:rPr>
  </w:style>
  <w:style w:type="paragraph" w:styleId="Caption">
    <w:name w:val="caption"/>
    <w:basedOn w:val="Normal"/>
    <w:next w:val="Normal"/>
    <w:uiPriority w:val="35"/>
    <w:unhideWhenUsed/>
    <w:qFormat/>
    <w:rsid w:val="0045157E"/>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AC5486"/>
    <w:pPr>
      <w:tabs>
        <w:tab w:val="left" w:pos="384"/>
      </w:tabs>
      <w:spacing w:line="480" w:lineRule="auto"/>
      <w:ind w:left="384" w:hanging="384"/>
    </w:p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yannisp@b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8lK8tGiLQspbWVQZzdi5XYrG1w==">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2268</Words>
  <Characters>12932</Characters>
  <Application>Microsoft Office Word</Application>
  <DocSecurity>0</DocSecurity>
  <Lines>107</Lines>
  <Paragraphs>30</Paragraphs>
  <ScaleCrop>false</ScaleCrop>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FLECK</dc:creator>
  <cp:lastModifiedBy>nasser hashemi</cp:lastModifiedBy>
  <cp:revision>2</cp:revision>
  <dcterms:created xsi:type="dcterms:W3CDTF">2022-07-26T01:06:00Z</dcterms:created>
  <dcterms:modified xsi:type="dcterms:W3CDTF">2022-09-26T18:04:00Z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id="XSxO1bzI"/&gt;&lt;style id="http://www.zotero.org/styles/nature" hasBibliography="1" bibliographyStyleHasBeenSet="1"/&gt;&lt;prefs&gt;&lt;pref name="fieldType" value="Field"/&gt;&lt;/prefs&gt;&lt;/data&gt;</vt:lpwstr>
  </property>
</Properties>
</file>