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https://github.com/nocdoggo/COLLIE/tree/hackathon/peeaai-plan/apps/plan_b</w:t>
              </w:r>
            </w:hyperlink>
          </w:p>
        </w:tc>
      </w:tr>
      <w:tr>
        <w:tc>
          <w:tcPr>
            <w:tcW w:type="dxa" w:w="2304"/>
          </w:tcPr>
          <w:p>
            <w:pPr>
              <w:spacing w:after="40"/>
            </w:pPr>
            <w:r>
              <w:rPr>
                <w:b w:val="0"/>
                <w:sz w:val="19"/>
              </w:rPr>
              <w:t>Branch and app path</w:t>
            </w:r>
          </w:p>
        </w:tc>
        <w:tc>
          <w:tcPr>
            <w:tcW w:type="dxa" w:w="7056"/>
          </w:tcPr>
          <w:p>
            <w:pPr>
              <w:spacing w:after="40"/>
            </w:pPr>
            <w:r>
              <w:rPr>
                <w:b w:val="0"/>
                <w:sz w:val="19"/>
              </w:rPr>
              <w:t xml:space="preserve">branch </w:t>
            </w:r>
            <w:r>
              <w:rPr>
                <w:rStyle w:val="InlineCode"/>
                <w:sz w:val="19"/>
              </w:rPr>
              <w:t>hackathon/peeaai-plan</w:t>
            </w:r>
            <w:r>
              <w:rPr>
                <w:b w:val="0"/>
                <w:sz w:val="19"/>
              </w:rPr>
              <w:t xml:space="preserve"> of the repository </w:t>
            </w:r>
            <w:r>
              <w:rPr>
                <w:rStyle w:val="InlineCode"/>
                <w:sz w:val="19"/>
              </w:rPr>
              <w:t>nocdoggo/COLLIE</w:t>
            </w:r>
            <w:r>
              <w:rPr>
                <w:b w:val="0"/>
                <w:sz w:val="19"/>
              </w:rPr>
              <w:t xml:space="preserve">, app in </w:t>
            </w:r>
            <w:r>
              <w:rPr>
                <w:rStyle w:val="InlineCode"/>
                <w:sz w:val="19"/>
              </w:rPr>
              <w:t>apps/plan_b</w:t>
            </w:r>
          </w:p>
        </w:tc>
      </w:tr>
    </w:tbl>
    <w:p/>
    <w:p>
      <w:pPr>
        <w:pStyle w:val="Heading1"/>
      </w:pPr>
      <w:r>
        <w:t>Abstract</w:t>
      </w:r>
    </w:p>
    <w:p>
      <w:r>
        <w:rPr>
          <w:b w:val="0"/>
        </w:rPr>
        <w:t xml:space="preserve">Small community events run on volunteers, borrowed equipment and fixed rooms. A single late delivery or stale message can push an organizer into a rushed change that costs people their time. </w:t>
      </w:r>
      <w:r>
        <w:rPr>
          <w:b/>
        </w:rPr>
        <w:t>Plan B</w:t>
      </w:r>
      <w:r>
        <w:rPr>
          <w:b w:val="0"/>
        </w:rPr>
        <w:t xml:space="preserve"> is a coordinator agent that decides what to verify, what to prepare and when to commit a change, inside written limits it cannot exceed. A language model reads each message and picks one of the options the server has built and checked. A </w:t>
      </w:r>
      <w:r>
        <w:rPr>
          <w:b/>
        </w:rPr>
        <w:t>hold</w:t>
      </w:r>
      <w:r>
        <w:rPr>
          <w:b w:val="0"/>
        </w:rPr>
        <w:t xml:space="preserve"> keeps a backup open while a fact or an approval is pending, and every accepted change returns a </w:t>
      </w:r>
      <w:r>
        <w:rPr>
          <w:b/>
        </w:rPr>
        <w:t>receipt</w:t>
      </w:r>
      <w:r>
        <w:rPr>
          <w:b w:val="0"/>
        </w:rPr>
        <w:t>. I built Plan B as a fictional local sandbox with a campus showcase, a community skills exchange and a fictional pantry, and compared four coordinator policies on held-out cases that were locked before the test. In 120 held-out runs no policy executed a violation or changed a quiet event, but my policy showed no consistent advantage: a model calling the tools freely met every campus run at three times my policy's model cost, and fixed rules met every pantry run. Everything is fictional and local, the case set is small, and no community pilot has been run.</w:t>
      </w:r>
    </w:p>
    <w:p>
      <w:pPr>
        <w:jc w:val="center"/>
      </w:pPr>
      <w:r>
        <w:drawing>
          <wp:inline xmlns:a="http://schemas.openxmlformats.org/drawingml/2006/main" xmlns:pic="http://schemas.openxmlformats.org/drawingml/2006/picture">
            <wp:extent cx="5943600" cy="829746"/>
            <wp:docPr id="1" name="Picture 1"/>
            <wp:cNvGraphicFramePr>
              <a:graphicFrameLocks noChangeAspect="1"/>
            </wp:cNvGraphicFramePr>
            <a:graphic>
              <a:graphicData uri="http://schemas.openxmlformats.org/drawingml/2006/picture">
                <pic:pic>
                  <pic:nvPicPr>
                    <pic:cNvPr id="0" name="fig_strip.png"/>
                    <pic:cNvPicPr/>
                  </pic:nvPicPr>
                  <pic:blipFill>
                    <a:blip r:embed="rId11"/>
                    <a:stretch>
                      <a:fillRect/>
                    </a:stretch>
                  </pic:blipFill>
                  <pic:spPr>
                    <a:xfrm>
                      <a:off x="0" y="0"/>
                      <a:ext cx="5943600" cy="829746"/>
                    </a:xfrm>
                    <a:prstGeom prst="rect"/>
                  </pic:spPr>
                </pic:pic>
              </a:graphicData>
            </a:graphic>
          </wp:inline>
        </w:drawing>
      </w:r>
    </w:p>
    <w:p>
      <w:pPr>
        <w:pStyle w:val="Caption"/>
        <w:jc w:val="center"/>
      </w:pPr>
      <w:r>
        <w:rPr>
          <w:b w:val="0"/>
        </w:rPr>
        <w:t>Figure 1. One recovery in four steps (development case dev01).</w:t>
      </w:r>
    </w:p>
    <w:p>
      <w:pPr>
        <w:pStyle w:val="Heading1"/>
      </w:pPr>
      <w:r>
        <w:t>1. Problem and motivation</w:t>
      </w:r>
    </w:p>
    <w:p>
      <w:r>
        <w:rPr>
          <w:b w:val="0"/>
        </w:rPr>
        <w:t>Imagine you organize a campus showcase. It opens at 17:00 and must finish by 18:00. At 16:40 a message says the projector may be about 25 minutes late. If you change too much, presenters and volunteers lose their time. If you wait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jc w:val="center"/>
      </w:pPr>
      <w:r>
        <w:drawing>
          <wp:inline xmlns:a="http://schemas.openxmlformats.org/drawingml/2006/main" xmlns:pic="http://schemas.openxmlformats.org/drawingml/2006/picture">
            <wp:extent cx="5943600" cy="1914717"/>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943600" cy="1914717"/>
                    </a:xfrm>
                    <a:prstGeom prst="rect"/>
                  </pic:spPr>
                </pic:pic>
              </a:graphicData>
            </a:graphic>
          </wp:inline>
        </w:drawing>
      </w:r>
    </w:p>
    <w:p>
      <w:pPr>
        <w:pStyle w:val="Caption"/>
        <w:jc w:val="center"/>
      </w:pPr>
      <w:r>
        <w:rPr>
          <w:b w:val="0"/>
        </w:rPr>
        <w:t>Figure 2. The fictional campus showcase and the 16:40 message.</w:t>
      </w:r>
    </w:p>
    <w:p>
      <w:pPr>
        <w:pStyle w:val="Heading1"/>
      </w:pPr>
      <w:r>
        <w:t>2. What is different here</w:t>
      </w:r>
    </w:p>
    <w:p>
      <w:r>
        <w:rPr>
          <w:b w:val="0"/>
        </w:rPr>
        <w:t>Plan B combines known ideas in one bounded workflow. It does not claim to be the first of its kind.</w:t>
      </w:r>
    </w:p>
    <w:p>
      <w:pPr>
        <w:pStyle w:val="ListBullet"/>
      </w:pPr>
      <w:r>
        <w:rPr>
          <w:b/>
        </w:rPr>
        <w:t>Ordinary tool-calling agents</w:t>
      </w:r>
      <w:r>
        <w:rPr>
          <w:b w:val="0"/>
        </w:rPr>
        <w:t xml:space="preserve"> let the model write tool calls directly. Plan B keeps that design as a comparison policy (P1), and in its own policy (P2)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(P0)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jc w:val="center"/>
      </w:pPr>
      <w:r>
        <w:drawing>
          <wp:inline xmlns:a="http://schemas.openxmlformats.org/drawingml/2006/main" xmlns:pic="http://schemas.openxmlformats.org/drawingml/2006/picture">
            <wp:extent cx="5943600" cy="2006258"/>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6258"/>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pPr>
        <w:pStyle w:val="Heading1"/>
      </w:pPr>
      <w:r>
        <w:t>4. A recovery, step by step</w:t>
      </w:r>
    </w:p>
    <w:p>
      <w:r>
        <w:rPr>
          <w:b w:val="0"/>
        </w:rPr>
        <w:t>The fictional campus showcase in these development cases takes place on November 5, 2026.</w:t>
      </w:r>
    </w:p>
    <w:p>
      <w:pPr>
        <w:pStyle w:val="Heading2"/>
      </w:pPr>
      <w:r>
        <w:t>4.1 The late projector (development case dev01)</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pPr>
        <w:jc w:val="center"/>
      </w:pPr>
      <w:r>
        <w:drawing>
          <wp:inline xmlns:a="http://schemas.openxmlformats.org/drawingml/2006/main" xmlns:pic="http://schemas.openxmlformats.org/drawingml/2006/picture">
            <wp:extent cx="5943600" cy="1914717"/>
            <wp:docPr id="4" name="Picture 4"/>
            <wp:cNvGraphicFramePr>
              <a:graphicFrameLocks noChangeAspect="1"/>
            </wp:cNvGraphicFramePr>
            <a:graphic>
              <a:graphicData uri="http://schemas.openxmlformats.org/drawingml/2006/picture">
                <pic:pic>
                  <pic:nvPicPr>
                    <pic:cNvPr id="0" name="fig_swap.png"/>
                    <pic:cNvPicPr/>
                  </pic:nvPicPr>
                  <pic:blipFill>
                    <a:blip r:embed="rId14"/>
                    <a:stretch>
                      <a:fillRect/>
                    </a:stretch>
                  </pic:blipFill>
                  <pic:spPr>
                    <a:xfrm>
                      <a:off x="0" y="0"/>
                      <a:ext cx="5943600" cy="1914717"/>
                    </a:xfrm>
                    <a:prstGeom prst="rect"/>
                  </pic:spPr>
                </pic:pic>
              </a:graphicData>
            </a:graphic>
          </wp:inline>
        </w:drawing>
      </w:r>
    </w:p>
    <w:p>
      <w:pPr>
        <w:pStyle w:val="Caption"/>
        <w:jc w:val="center"/>
      </w:pPr>
      <w:r>
        <w:rPr>
          <w:b w:val="0"/>
        </w:rPr>
        <w:t>Figure 4. The free swap: the demonstrations move after the projector's ETA.</w:t>
      </w:r>
    </w:p>
    <w:p>
      <w:pPr>
        <w:jc w:val="center"/>
      </w:pPr>
      <w:r>
        <w:drawing>
          <wp:inline xmlns:a="http://schemas.openxmlformats.org/drawingml/2006/main" xmlns:pic="http://schemas.openxmlformats.org/drawingml/2006/picture">
            <wp:extent cx="5120640" cy="3224107"/>
            <wp:docPr id="5" name="Picture 5"/>
            <wp:cNvGraphicFramePr>
              <a:graphicFrameLocks noChangeAspect="1"/>
            </wp:cNvGraphicFramePr>
            <a:graphic>
              <a:graphicData uri="http://schemas.openxmlformats.org/drawingml/2006/picture">
                <pic:pic>
                  <pic:nvPicPr>
                    <pic:cNvPr id="0" name="before_after.png"/>
                    <pic:cNvPicPr/>
                  </pic:nvPicPr>
                  <pic:blipFill>
                    <a:blip r:embed="rId15"/>
                    <a:stretch>
                      <a:fillRect/>
                    </a:stretch>
                  </pic:blipFill>
                  <pic:spPr>
                    <a:xfrm>
                      <a:off x="0" y="0"/>
                      <a:ext cx="5120640" cy="3224107"/>
                    </a:xfrm>
                    <a:prstGeom prst="rect"/>
                  </pic:spPr>
                </pic:pic>
              </a:graphicData>
            </a:graphic>
          </wp:inline>
        </w:drawing>
      </w:r>
    </w:p>
    <w:p>
      <w:pPr>
        <w:pStyle w:val="Caption"/>
        <w:jc w:val="center"/>
      </w:pPr>
      <w:r>
        <w:rPr>
          <w:b w:val="0"/>
        </w:rPr>
        <w:t>Figure 5. The app's before and after view with the receipt (automated run).</w:t>
      </w:r>
    </w:p>
    <w:p>
      <w:pPr>
        <w:pStyle w:val="Heading2"/>
      </w:pPr>
      <w:r>
        <w:t>4.2 Four messages, zero changes (development case dev04)</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order P09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jc w:val="center"/>
      </w:pPr>
      <w:r>
        <w:drawing>
          <wp:inline xmlns:a="http://schemas.openxmlformats.org/drawingml/2006/main" xmlns:pic="http://schemas.openxmlformats.org/drawingml/2006/picture">
            <wp:extent cx="5943600" cy="2159556"/>
            <wp:docPr id="6" name="Picture 6"/>
            <wp:cNvGraphicFramePr>
              <a:graphicFrameLocks noChangeAspect="1"/>
            </wp:cNvGraphicFramePr>
            <a:graphic>
              <a:graphicData uri="http://schemas.openxmlformats.org/drawingml/2006/picture">
                <pic:pic>
                  <pic:nvPicPr>
                    <pic:cNvPr id="0" name="fig_quiet.png"/>
                    <pic:cNvPicPr/>
                  </pic:nvPicPr>
                  <pic:blipFill>
                    <a:blip r:embed="rId16"/>
                    <a:stretch>
                      <a:fillRect/>
                    </a:stretch>
                  </pic:blipFill>
                  <pic:spPr>
                    <a:xfrm>
                      <a:off x="0" y="0"/>
                      <a:ext cx="5943600" cy="2159556"/>
                    </a:xfrm>
                    <a:prstGeom prst="rect"/>
                  </pic:spPr>
                </pic:pic>
              </a:graphicData>
            </a:graphic>
          </wp:inline>
        </w:drawing>
      </w:r>
    </w:p>
    <w:p>
      <w:pPr>
        <w:pStyle w:val="Caption"/>
        <w:jc w:val="center"/>
      </w:pPr>
      <w:r>
        <w:rPr>
          <w:b w:val="0"/>
        </w:rPr>
        <w:t>Figure 6. Four messages, zero changes.</w:t>
      </w:r>
    </w:p>
    <w:p>
      <w:pPr>
        <w:pStyle w:val="Heading2"/>
      </w:pPr>
      <w:r>
        <w:t>4.3 Prepare, ask, commit (development case dev02)</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(P0), with no model call. In a recorded development run, the AI coordinator (P2) made the same status check and the same swap at 16:43 with receipt </w:t>
      </w:r>
      <w:r>
        <w:rPr>
          <w:rStyle w:val="InlineCode"/>
        </w:rPr>
        <w:t>rcpt_0001</w:t>
      </w:r>
      <w:r>
        <w:rPr>
          <w:b w:val="0"/>
        </w:rPr>
        <w:t>, in 3 model calls for $0.0366.</w:t>
      </w:r>
    </w:p>
    <w:p>
      <w:pPr>
        <w:pStyle w:val="Heading1"/>
      </w:pPr>
      <w:r>
        <w:t>5. Architecture</w:t>
      </w:r>
    </w:p>
    <w:p>
      <w:pPr>
        <w:jc w:val="center"/>
      </w:pPr>
      <w:r>
        <w:drawing>
          <wp:inline xmlns:a="http://schemas.openxmlformats.org/drawingml/2006/main" xmlns:pic="http://schemas.openxmlformats.org/drawingml/2006/picture">
            <wp:extent cx="5943600" cy="285075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943600" cy="2850754"/>
                    </a:xfrm>
                    <a:prstGeom prst="rect"/>
                  </pic:spPr>
                </pic:pic>
              </a:graphicData>
            </a:graphic>
          </wp:inline>
        </w:drawing>
      </w:r>
    </w:p>
    <w:p>
      <w:pPr>
        <w:pStyle w:val="Caption"/>
        <w:jc w:val="center"/>
      </w:pPr>
      <w:r>
        <w:rPr>
          <w:b w:val="0"/>
        </w:rPr>
        <w:t>Figure 7. Four policies, one executor at the authority boundary.</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c>
          <w:tcPr>
            <w:tcW w:type="dxa" w:w="2160"/>
          </w:tcPr>
          <w:p>
            <w:pPr>
              <w:spacing w:after="40"/>
            </w:pPr>
            <w:r>
              <w:rPr>
                <w:b w:val="0"/>
                <w:sz w:val="19"/>
              </w:rPr>
              <w:t>Rule policies (P0)</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c>
          <w:tcPr>
            <w:tcW w:type="dxa" w:w="2160"/>
          </w:tcPr>
          <w:p>
            <w:pPr>
              <w:spacing w:after="40"/>
            </w:pPr>
            <w:r>
              <w:rPr>
                <w:b w:val="0"/>
                <w:sz w:val="19"/>
              </w:rPr>
              <w:t>Model policies (P1 to P3)</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jc w:val="center"/>
      </w:pPr>
      <w:r>
        <w:drawing>
          <wp:inline xmlns:a="http://schemas.openxmlformats.org/drawingml/2006/main" xmlns:pic="http://schemas.openxmlformats.org/drawingml/2006/picture">
            <wp:extent cx="5943600" cy="2614323"/>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323"/>
                    </a:xfrm>
                    <a:prstGeom prst="rect"/>
                  </pic:spPr>
                </pic:pic>
              </a:graphicData>
            </a:graphic>
          </wp:inline>
        </w:drawing>
      </w:r>
    </w:p>
    <w:p>
      <w:pPr>
        <w:pStyle w:val="Caption"/>
        <w:jc w:val="center"/>
      </w:pPr>
      <w:r>
        <w:rPr>
          <w:b w:val="0"/>
        </w:rPr>
        <w:t>Figure 8. Verify, prepare, commit, keep, with this event's examples.</w:t>
      </w:r>
    </w:p>
    <w:p>
      <w:r>
        <w:rPr>
          <w:b w:val="0"/>
        </w:rPr>
        <w:t>The selective policy P2 follows these steps for each wake:</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w:t>
            </w:r>
          </w:p>
        </w:tc>
        <w:tc>
          <w:tcPr>
            <w:tcW w:type="dxa" w:w="4176"/>
            <w:shd w:val="clear" w:color="auto" w:fill="E6EEF6"/>
          </w:tcPr>
          <w:p>
            <w:pPr>
              <w:spacing w:after="40"/>
            </w:pPr>
            <w:r>
              <w:rPr>
                <w:b/>
                <w:sz w:val="19"/>
              </w:rPr>
              <w:t>How it decides</w:t>
            </w:r>
          </w:p>
        </w:tc>
      </w:tr>
      <w:tr>
        <w:tc>
          <w:tcPr>
            <w:tcW w:type="dxa" w:w="2016"/>
          </w:tcPr>
          <w:p>
            <w:pPr>
              <w:spacing w:after="40"/>
            </w:pPr>
            <w:r>
              <w:rPr>
                <w:b w:val="0"/>
                <w:sz w:val="19"/>
              </w:rPr>
              <w:t>P0 rules</w:t>
            </w:r>
          </w:p>
        </w:tc>
        <w:tc>
          <w:tcPr>
            <w:tcW w:type="dxa" w:w="3168"/>
          </w:tcPr>
          <w:p>
            <w:pPr>
              <w:spacing w:after="40"/>
            </w:pPr>
            <w:r>
              <w:rPr>
                <w:rStyle w:val="InlineCode"/>
                <w:sz w:val="19"/>
              </w:rPr>
              <w:t>rules/1.0.0</w:t>
            </w:r>
            <w:r>
              <w:rPr>
                <w:b w:val="0"/>
                <w:sz w:val="19"/>
              </w:rPr>
              <w:t xml:space="preserve">, </w:t>
            </w:r>
            <w:r>
              <w:rPr>
                <w:rStyle w:val="InlineCode"/>
                <w:sz w:val="19"/>
              </w:rPr>
              <w:t>pantry-rules/1.1.0</w:t>
            </w:r>
          </w:p>
        </w:tc>
        <w:tc>
          <w:tcPr>
            <w:tcW w:type="dxa" w:w="4176"/>
          </w:tcPr>
          <w:p>
            <w:pPr>
              <w:spacing w:after="40"/>
            </w:pPr>
            <w:r>
              <w:rPr>
                <w:b w:val="0"/>
                <w:sz w:val="19"/>
              </w:rPr>
              <w:t>Published deterministic rules and a small parser. No model</w:t>
            </w:r>
          </w:p>
        </w:tc>
      </w:tr>
      <w:tr>
        <w:tc>
          <w:tcPr>
            <w:tcW w:type="dxa" w:w="2016"/>
          </w:tcPr>
          <w:p>
            <w:pPr>
              <w:spacing w:after="40"/>
            </w:pPr>
            <w:r>
              <w:rPr>
                <w:b w:val="0"/>
                <w:sz w:val="19"/>
              </w:rPr>
              <w:t>P1 tool use</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w:t>
            </w:r>
          </w:p>
        </w:tc>
        <w:tc>
          <w:tcPr>
            <w:tcW w:type="dxa" w:w="4176"/>
          </w:tcPr>
          <w:p>
            <w:pPr>
              <w:spacing w:after="40"/>
            </w:pPr>
            <w:r>
              <w:rPr>
                <w:b w:val="0"/>
                <w:sz w:val="19"/>
              </w:rPr>
              <w:t>The model calls the tools itself. The executor checks every call</w:t>
            </w:r>
          </w:p>
        </w:tc>
      </w:tr>
      <w:tr>
        <w:tc>
          <w:tcPr>
            <w:tcW w:type="dxa" w:w="2016"/>
          </w:tcPr>
          <w:p>
            <w:pPr>
              <w:spacing w:after="40"/>
            </w:pPr>
            <w:r>
              <w:rPr>
                <w:b w:val="0"/>
                <w:sz w:val="19"/>
              </w:rPr>
              <w:t>P2 selective (mine)</w:t>
            </w:r>
          </w:p>
        </w:tc>
        <w:tc>
          <w:tcPr>
            <w:tcW w:type="dxa" w:w="3168"/>
          </w:tcPr>
          <w:p>
            <w:pPr>
              <w:spacing w:after="40"/>
            </w:pPr>
            <w:r>
              <w:rPr>
                <w:rStyle w:val="InlineCode"/>
                <w:sz w:val="19"/>
              </w:rPr>
              <w:t>live/1.1.0</w:t>
            </w:r>
          </w:p>
        </w:tc>
        <w:tc>
          <w:tcPr>
            <w:tcW w:type="dxa" w:w="4176"/>
          </w:tcPr>
          <w:p>
            <w:pPr>
              <w:spacing w:after="40"/>
            </w:pPr>
            <w:r>
              <w:rPr>
                <w:b w:val="0"/>
                <w:sz w:val="19"/>
              </w:rPr>
              <w:t>The model picks one option from the server's checked menu</w:t>
            </w:r>
          </w:p>
        </w:tc>
      </w:tr>
      <w:tr>
        <w:tc>
          <w:tcPr>
            <w:tcW w:type="dxa" w:w="2016"/>
          </w:tcPr>
          <w:p>
            <w:pPr>
              <w:spacing w:after="40"/>
            </w:pPr>
            <w:r>
              <w:rPr>
                <w:b w:val="0"/>
                <w:sz w:val="19"/>
              </w:rPr>
              <w:t>P3 verify all</w:t>
            </w:r>
          </w:p>
        </w:tc>
        <w:tc>
          <w:tcPr>
            <w:tcW w:type="dxa" w:w="3168"/>
          </w:tcPr>
          <w:p>
            <w:pPr>
              <w:spacing w:after="40"/>
            </w:pPr>
            <w:r>
              <w:rPr>
                <w:rStyle w:val="InlineCode"/>
                <w:sz w:val="19"/>
              </w:rPr>
              <w:t>verify-all/1.1.0</w:t>
            </w:r>
          </w:p>
        </w:tc>
        <w:tc>
          <w:tcPr>
            <w:tcW w:type="dxa" w:w="4176"/>
          </w:tcPr>
          <w:p>
            <w:pPr>
              <w:spacing w:after="40"/>
            </w:pPr>
            <w:r>
              <w:rPr>
                <w:b w:val="0"/>
                <w:sz w:val="19"/>
              </w:rPr>
              <w:t xml:space="preserve">P2,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P1 to P3,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P1 is a serious baseline.</w:t>
      </w:r>
      <w:r>
        <w:rPr>
          <w:b w:val="0"/>
        </w:rPr>
        <w:t xml:space="preserve"> It sees the objective, the budget, the tools and the candidates, and may verify and hold like P2.</w:t>
      </w:r>
    </w:p>
    <w:p>
      <w:pPr>
        <w:pStyle w:val="ListBullet"/>
      </w:pPr>
      <w:r>
        <w:rPr>
          <w:b/>
        </w:rPr>
        <w:t>P3 is an ablation.</w:t>
      </w:r>
      <w:r>
        <w:rPr>
          <w:b w:val="0"/>
        </w:rPr>
        <w:t xml:space="preserve"> Its checks are made by the server, so its fewer model calls do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jc w:val="center"/>
      </w:pPr>
      <w:r>
        <w:drawing>
          <wp:inline xmlns:a="http://schemas.openxmlformats.org/drawingml/2006/main" xmlns:pic="http://schemas.openxmlformats.org/drawingml/2006/picture">
            <wp:extent cx="5943600" cy="481056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5943600" cy="4810561"/>
                    </a:xfrm>
                    <a:prstGeom prst="rect"/>
                  </pic:spPr>
                </pic:pic>
              </a:graphicData>
            </a:graphic>
          </wp:inline>
        </w:drawing>
      </w:r>
    </w:p>
    <w:p>
      <w:pPr>
        <w:pStyle w:val="Caption"/>
        <w:jc w:val="center"/>
      </w:pPr>
      <w:r>
        <w:rPr>
          <w:b w:val="0"/>
        </w:rPr>
        <w:t>Figure 9. Development case skills_dev01: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jc w:val="center"/>
      </w:pPr>
      <w:r>
        <w:drawing>
          <wp:inline xmlns:a="http://schemas.openxmlformats.org/drawingml/2006/main" xmlns:pic="http://schemas.openxmlformats.org/drawingml/2006/picture">
            <wp:extent cx="5943600" cy="2514408"/>
            <wp:docPr id="10" name="Picture 10"/>
            <wp:cNvGraphicFramePr>
              <a:graphicFrameLocks noChangeAspect="1"/>
            </wp:cNvGraphicFramePr>
            <a:graphic>
              <a:graphicData uri="http://schemas.openxmlformats.org/drawingml/2006/picture">
                <pic:pic>
                  <pic:nvPicPr>
                    <pic:cNvPr id="0" name="fig_pantry.png"/>
                    <pic:cNvPicPr/>
                  </pic:nvPicPr>
                  <pic:blipFill>
                    <a:blip r:embed="rId20"/>
                    <a:stretch>
                      <a:fillRect/>
                    </a:stretch>
                  </pic:blipFill>
                  <pic:spPr>
                    <a:xfrm>
                      <a:off x="0" y="0"/>
                      <a:ext cx="5943600" cy="2514408"/>
                    </a:xfrm>
                    <a:prstGeom prst="rect"/>
                  </pic:spPr>
                </pic:pic>
              </a:graphicData>
            </a:graphic>
          </wp:inline>
        </w:drawing>
      </w:r>
    </w:p>
    <w:p>
      <w:pPr>
        <w:pStyle w:val="Caption"/>
        <w:jc w:val="center"/>
      </w:pPr>
      <w:r>
        <w:rPr>
          <w:b w:val="0"/>
        </w:rPr>
        <w:t>Figure 10. Stock and the two counters at four moments (development case pantry_dev01).</w:t>
      </w:r>
    </w:p>
    <w:p>
      <w:r>
        <w:rPr>
          <w:b w:val="0"/>
        </w:rPr>
        <w:t>In development case pantry_dev02,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packet.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jc w:val="center"/>
      </w:pPr>
      <w:r>
        <w:drawing>
          <wp:inline xmlns:a="http://schemas.openxmlformats.org/drawingml/2006/main" xmlns:pic="http://schemas.openxmlformats.org/drawingml/2006/picture">
            <wp:extent cx="5943600" cy="85711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7115"/>
                    </a:xfrm>
                    <a:prstGeom prst="rect"/>
                  </pic:spPr>
                </pic:pic>
              </a:graphicData>
            </a:graphic>
          </wp:inline>
        </w:drawing>
      </w:r>
    </w:p>
    <w:p>
      <w:pPr>
        <w:pStyle w:val="Caption"/>
        <w:jc w:val="center"/>
      </w:pPr>
      <w:r>
        <w:rPr>
          <w:b w:val="0"/>
        </w:rPr>
        <w:t>Figure 11.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P0 once, P1 to P3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Heading1"/>
      </w:pPr>
      <w:r>
        <w:t>12. Results</w:t>
      </w:r>
    </w:p>
    <w:p>
      <w:r>
        <w:rPr>
          <w:b w:val="0"/>
        </w:rPr>
        <w:t xml:space="preserve">The reported run of the frozen comparison on the locked held-out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w:t>
      </w:r>
    </w:p>
    <w:p>
      <w:r>
        <w:rPr>
          <w:b/>
        </w:rPr>
        <w:t>Headline.</w:t>
      </w:r>
      <w:r>
        <w:rPr>
          <w:b w:val="0"/>
        </w:rPr>
        <w:t xml:space="preserve"> No policy executed a violation, and no policy committed a change on the three quiet cases. </w:t>
      </w:r>
      <w:r>
        <w:rPr>
          <w:b/>
        </w:rPr>
        <w:t>P2, my policy, shows no consistent advantage over P1 or P0 here.</w:t>
      </w:r>
      <w:r>
        <w:rPr>
          <w:b w:val="0"/>
        </w:rPr>
        <w:t xml:space="preserve"> On one reported run of 8 campus and 4 pantry held-out cases, P2 met every run of 6 of 8 campus cases (P1 met every run of 8, P3 of 7, P0 of 6) and of 3 of 4 pantry cases (P0 of 4, P1 of 2, P3 of 2). Its misses come from a frozen attention rule that passes only equipment notices to the planner (C06), choices that used up the 8-call limit (C07) and an unavailable pool kept as a handoff option (T03). A first attempt was voided, as section 12.5 explains.</w:t>
      </w:r>
    </w:p>
    <w:p>
      <w:pPr>
        <w:jc w:val="center"/>
      </w:pPr>
      <w:r>
        <w:drawing>
          <wp:inline xmlns:a="http://schemas.openxmlformats.org/drawingml/2006/main" xmlns:pic="http://schemas.openxmlformats.org/drawingml/2006/picture">
            <wp:extent cx="5943600" cy="1820698"/>
            <wp:docPr id="12" name="Picture 12"/>
            <wp:cNvGraphicFramePr>
              <a:graphicFrameLocks noChangeAspect="1"/>
            </wp:cNvGraphicFramePr>
            <a:graphic>
              <a:graphicData uri="http://schemas.openxmlformats.org/drawingml/2006/picture">
                <pic:pic>
                  <pic:nvPicPr>
                    <pic:cNvPr id="0" name="fig_results.png"/>
                    <pic:cNvPicPr/>
                  </pic:nvPicPr>
                  <pic:blipFill>
                    <a:blip r:embed="rId22"/>
                    <a:stretch>
                      <a:fillRect/>
                    </a:stretch>
                  </pic:blipFill>
                  <pic:spPr>
                    <a:xfrm>
                      <a:off x="0" y="0"/>
                      <a:ext cx="5943600" cy="1820698"/>
                    </a:xfrm>
                    <a:prstGeom prst="rect"/>
                  </pic:spPr>
                </pic:pic>
              </a:graphicData>
            </a:graphic>
          </wp:inline>
        </w:drawing>
      </w:r>
    </w:p>
    <w:p>
      <w:pPr>
        <w:pStyle w:val="Caption"/>
        <w:jc w:val="center"/>
      </w:pPr>
      <w:r>
        <w:rPr>
          <w:b w:val="0"/>
        </w:rPr>
        <w:t>Figure 12. Held-out runs that met the case's outcome, per policy and suite.</w:t>
      </w:r>
    </w:p>
    <w:p>
      <w:pPr>
        <w:pStyle w:val="Heading2"/>
      </w:pPr>
      <w:r>
        <w:t>12.1 Campus suite (8 cases, 80 runs)</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c>
          <w:tcPr>
            <w:tcW w:type="dxa" w:w="2160"/>
          </w:tcPr>
          <w:p>
            <w:pPr>
              <w:spacing w:after="40"/>
            </w:pPr>
            <w:r>
              <w:rPr>
                <w:b w:val="0"/>
                <w:sz w:val="19"/>
              </w:rPr>
              <w:t>P0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c>
          <w:tcPr>
            <w:tcW w:type="dxa" w:w="2160"/>
          </w:tcPr>
          <w:p>
            <w:pPr>
              <w:spacing w:after="40"/>
            </w:pPr>
            <w:r>
              <w:rPr>
                <w:b w:val="0"/>
                <w:sz w:val="19"/>
              </w:rPr>
              <w:t>P1 tool use</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c>
          <w:tcPr>
            <w:tcW w:type="dxa" w:w="2160"/>
          </w:tcPr>
          <w:p>
            <w:pPr>
              <w:spacing w:after="40"/>
            </w:pPr>
            <w:r>
              <w:rPr>
                <w:b w:val="0"/>
                <w:sz w:val="19"/>
              </w:rPr>
              <w:t>P2 selective (mine)</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c>
          <w:tcPr>
            <w:tcW w:type="dxa" w:w="2160"/>
          </w:tcPr>
          <w:p>
            <w:pPr>
              <w:spacing w:after="40"/>
            </w:pPr>
            <w:r>
              <w:rPr>
                <w:b w:val="0"/>
                <w:sz w:val="19"/>
              </w:rPr>
              <w:t>P3 verify all</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c>
          <w:tcPr>
            <w:tcW w:type="dxa" w:w="2160"/>
          </w:tcPr>
          <w:p>
            <w:pPr>
              <w:spacing w:after="40"/>
            </w:pPr>
            <w:r>
              <w:rPr>
                <w:b w:val="0"/>
                <w:sz w:val="19"/>
              </w:rPr>
              <w:t>P0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c>
          <w:tcPr>
            <w:tcW w:type="dxa" w:w="2160"/>
          </w:tcPr>
          <w:p>
            <w:pPr>
              <w:spacing w:after="40"/>
            </w:pPr>
            <w:r>
              <w:rPr>
                <w:b w:val="0"/>
                <w:sz w:val="19"/>
              </w:rPr>
              <w:t>P1 tool use</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c>
          <w:tcPr>
            <w:tcW w:type="dxa" w:w="2160"/>
          </w:tcPr>
          <w:p>
            <w:pPr>
              <w:spacing w:after="40"/>
            </w:pPr>
            <w:r>
              <w:rPr>
                <w:b w:val="0"/>
                <w:sz w:val="19"/>
              </w:rPr>
              <w:t>P2 selective (mine)</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c>
          <w:tcPr>
            <w:tcW w:type="dxa" w:w="2160"/>
          </w:tcPr>
          <w:p>
            <w:pPr>
              <w:spacing w:after="40"/>
            </w:pPr>
            <w:r>
              <w:rPr>
                <w:b w:val="0"/>
                <w:sz w:val="19"/>
              </w:rPr>
              <w:t>P3 verify all</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P0's infeasibility report was decided by the policy, P1's three by the model, and P2's and P3's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c>
          <w:tcPr>
            <w:tcW w:type="dxa" w:w="2160"/>
          </w:tcPr>
          <w:p>
            <w:pPr>
              <w:spacing w:after="40"/>
            </w:pPr>
            <w:r>
              <w:rPr>
                <w:b w:val="0"/>
                <w:sz w:val="19"/>
              </w:rPr>
              <w:t>P0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c>
          <w:tcPr>
            <w:tcW w:type="dxa" w:w="2160"/>
          </w:tcPr>
          <w:p>
            <w:pPr>
              <w:spacing w:after="40"/>
            </w:pPr>
            <w:r>
              <w:rPr>
                <w:b w:val="0"/>
                <w:sz w:val="19"/>
              </w:rPr>
              <w:t>P1 tool use</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c>
          <w:tcPr>
            <w:tcW w:type="dxa" w:w="2160"/>
          </w:tcPr>
          <w:p>
            <w:pPr>
              <w:spacing w:after="40"/>
            </w:pPr>
            <w:r>
              <w:rPr>
                <w:b w:val="0"/>
                <w:sz w:val="19"/>
              </w:rPr>
              <w:t>P2 selective (mine)</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c>
          <w:tcPr>
            <w:tcW w:type="dxa" w:w="2160"/>
          </w:tcPr>
          <w:p>
            <w:pPr>
              <w:spacing w:after="40"/>
            </w:pPr>
            <w:r>
              <w:rPr>
                <w:b w:val="0"/>
                <w:sz w:val="19"/>
              </w:rPr>
              <w:t>P3 verify all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c>
          <w:tcPr>
            <w:tcW w:type="dxa" w:w="2160"/>
          </w:tcPr>
          <w:p>
            <w:pPr>
              <w:spacing w:after="40"/>
            </w:pPr>
            <w:r>
              <w:rPr>
                <w:b w:val="0"/>
                <w:sz w:val="19"/>
              </w:rPr>
              <w:t>P0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c>
          <w:tcPr>
            <w:tcW w:type="dxa" w:w="2160"/>
          </w:tcPr>
          <w:p>
            <w:pPr>
              <w:spacing w:after="40"/>
            </w:pPr>
            <w:r>
              <w:rPr>
                <w:b w:val="0"/>
                <w:sz w:val="19"/>
              </w:rPr>
              <w:t>P1 tool use</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c>
          <w:tcPr>
            <w:tcW w:type="dxa" w:w="2160"/>
          </w:tcPr>
          <w:p>
            <w:pPr>
              <w:spacing w:after="40"/>
            </w:pPr>
            <w:r>
              <w:rPr>
                <w:b w:val="0"/>
                <w:sz w:val="19"/>
              </w:rPr>
              <w:t>P2 selective (mine)</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c>
          <w:tcPr>
            <w:tcW w:type="dxa" w:w="2160"/>
          </w:tcPr>
          <w:p>
            <w:pPr>
              <w:spacing w:after="40"/>
            </w:pPr>
            <w:r>
              <w:rPr>
                <w:b w:val="0"/>
                <w:sz w:val="19"/>
              </w:rPr>
              <w:t>P3 verify all</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P0's two reports were decided by the policy, and P2's and P3's (T04, three each) by the server. P1's three T03 deficit reports were decided by the model but did not meet the class.</w:t>
      </w:r>
    </w:p>
    <w:p>
      <w:pPr>
        <w:pStyle w:val="Heading2"/>
      </w:pPr>
      <w:r>
        <w:t>12.3 Per-case figures from the report</w:t>
      </w:r>
    </w:p>
    <w:p>
      <w:pPr>
        <w:jc w:val="center"/>
      </w:pPr>
      <w:r>
        <w:drawing>
          <wp:inline xmlns:a="http://schemas.openxmlformats.org/drawingml/2006/main" xmlns:pic="http://schemas.openxmlformats.org/drawingml/2006/picture">
            <wp:extent cx="5120640" cy="3739356"/>
            <wp:docPr id="13" name="Picture 13"/>
            <wp:cNvGraphicFramePr>
              <a:graphicFrameLocks noChangeAspect="1"/>
            </wp:cNvGraphicFramePr>
            <a:graphic>
              <a:graphicData uri="http://schemas.openxmlformats.org/drawingml/2006/picture">
                <pic:pic>
                  <pic:nvPicPr>
                    <pic:cNvPr id="0" name="report_campus.png"/>
                    <pic:cNvPicPr/>
                  </pic:nvPicPr>
                  <pic:blipFill>
                    <a:blip r:embed="rId23"/>
                    <a:stretch>
                      <a:fillRect/>
                    </a:stretch>
                  </pic:blipFill>
                  <pic:spPr>
                    <a:xfrm>
                      <a:off x="0" y="0"/>
                      <a:ext cx="5120640" cy="3739356"/>
                    </a:xfrm>
                    <a:prstGeom prst="rect"/>
                  </pic:spPr>
                </pic:pic>
              </a:graphicData>
            </a:graphic>
          </wp:inline>
        </w:drawing>
      </w:r>
    </w:p>
    <w:p>
      <w:pPr>
        <w:pStyle w:val="Caption"/>
        <w:jc w:val="center"/>
      </w:pPr>
      <w:r>
        <w:rPr>
          <w:b w:val="0"/>
        </w:rPr>
        <w:t>Figure 13. The report's per-case figure, campus (</w:t>
      </w:r>
      <w:r>
        <w:rPr>
          <w:rStyle w:val="InlineCode"/>
        </w:rPr>
        <w:t>campus/report/figure.svg</w:t>
      </w:r>
      <w:r>
        <w:rPr>
          <w:b w:val="0"/>
        </w:rPr>
        <w:t>).</w:t>
      </w:r>
    </w:p>
    <w:p>
      <w:pPr>
        <w:jc w:val="center"/>
      </w:pPr>
      <w:r>
        <w:drawing>
          <wp:inline xmlns:a="http://schemas.openxmlformats.org/drawingml/2006/main" xmlns:pic="http://schemas.openxmlformats.org/drawingml/2006/picture">
            <wp:extent cx="5120640" cy="2241216"/>
            <wp:docPr id="14" name="Picture 14"/>
            <wp:cNvGraphicFramePr>
              <a:graphicFrameLocks noChangeAspect="1"/>
            </wp:cNvGraphicFramePr>
            <a:graphic>
              <a:graphicData uri="http://schemas.openxmlformats.org/drawingml/2006/picture">
                <pic:pic>
                  <pic:nvPicPr>
                    <pic:cNvPr id="0" name="report_pantry.png"/>
                    <pic:cNvPicPr/>
                  </pic:nvPicPr>
                  <pic:blipFill>
                    <a:blip r:embed="rId24"/>
                    <a:stretch>
                      <a:fillRect/>
                    </a:stretch>
                  </pic:blipFill>
                  <pic:spPr>
                    <a:xfrm>
                      <a:off x="0" y="0"/>
                      <a:ext cx="5120640" cy="2241216"/>
                    </a:xfrm>
                    <a:prstGeom prst="rect"/>
                  </pic:spPr>
                </pic:pic>
              </a:graphicData>
            </a:graphic>
          </wp:inline>
        </w:drawing>
      </w:r>
    </w:p>
    <w:p>
      <w:pPr>
        <w:pStyle w:val="Caption"/>
        <w:jc w:val="center"/>
      </w:pPr>
      <w:r>
        <w:rPr>
          <w:b w:val="0"/>
        </w:rPr>
        <w:t>Figure 14. The report's per-case figure, pantry (</w:t>
      </w:r>
      <w:r>
        <w:rPr>
          <w:rStyle w:val="InlineCode"/>
        </w:rPr>
        <w:t>pantry/report/figure.svg</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P2 and P3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P0's parser does not read the message. P1 met C06 in 3 of 3 runs. This limit was disclosed at the case lock, before the runs.</w:t>
      </w:r>
    </w:p>
    <w:p>
      <w:pPr>
        <w:jc w:val="center"/>
      </w:pPr>
      <w:r>
        <w:drawing>
          <wp:inline xmlns:a="http://schemas.openxmlformats.org/drawingml/2006/main" xmlns:pic="http://schemas.openxmlformats.org/drawingml/2006/picture">
            <wp:extent cx="5943600" cy="1139334"/>
            <wp:docPr id="15" name="Picture 15"/>
            <wp:cNvGraphicFramePr>
              <a:graphicFrameLocks noChangeAspect="1"/>
            </wp:cNvGraphicFramePr>
            <a:graphic>
              <a:graphicData uri="http://schemas.openxmlformats.org/drawingml/2006/picture">
                <pic:pic>
                  <pic:nvPicPr>
                    <pic:cNvPr id="0" name="fig_failure.png"/>
                    <pic:cNvPicPr/>
                  </pic:nvPicPr>
                  <pic:blipFill>
                    <a:blip r:embed="rId25"/>
                    <a:stretch>
                      <a:fillRect/>
                    </a:stretch>
                  </pic:blipFill>
                  <pic:spPr>
                    <a:xfrm>
                      <a:off x="0" y="0"/>
                      <a:ext cx="5943600" cy="1139334"/>
                    </a:xfrm>
                    <a:prstGeom prst="rect"/>
                  </pic:spPr>
                </pic:pic>
              </a:graphicData>
            </a:graphic>
          </wp:inline>
        </w:drawing>
      </w:r>
    </w:p>
    <w:p>
      <w:pPr>
        <w:pStyle w:val="Caption"/>
        <w:jc w:val="center"/>
      </w:pPr>
      <w:r>
        <w:rPr>
          <w:b w:val="0"/>
        </w:rPr>
        <w:t>Figure 15. The C06 failure of P2 and P3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P2 in 3 runs, action selection: a repeated check and a hold released and made again used the 8 model calls, and the organizer's approval arrived after the last one. P0 missed C07 too (interpretation), because its parser does not read the message.</w:t>
      </w:r>
    </w:p>
    <w:p>
      <w:pPr>
        <w:pStyle w:val="ListBullet"/>
      </w:pPr>
      <w:r>
        <w:rPr>
          <w:b/>
        </w:rPr>
        <w:t>T02</w:t>
      </w:r>
      <w:r>
        <w:rPr>
          <w:b w:val="0"/>
        </w:rPr>
        <w:t>, P3 in 3 runs, execution: a correct apply was refused as stale during a one-minute tool call, and the remaining model calls went to reading new notices, so it was never retried.</w:t>
      </w:r>
    </w:p>
    <w:p>
      <w:pPr>
        <w:pStyle w:val="ListBullet"/>
      </w:pPr>
      <w:r>
        <w:rPr>
          <w:b/>
        </w:rPr>
        <w:t>T03 and T04</w:t>
      </w:r>
      <w:r>
        <w:rPr>
          <w:b w:val="0"/>
        </w:rPr>
        <w:t>, P1 in 6 runs, action selection: P1 never held or committed the kits on hand.</w:t>
      </w:r>
    </w:p>
    <w:p>
      <w:pPr>
        <w:pStyle w:val="ListBullet"/>
      </w:pPr>
      <w:r>
        <w:rPr>
          <w:b/>
        </w:rPr>
        <w:t>T03</w:t>
      </w:r>
      <w:r>
        <w:rPr>
          <w:b w:val="0"/>
        </w:rPr>
        <w:t>, P2 and P3 in 3 runs each, planner input (for P2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P1, the model calling tools freely, met all campus runs, with the most model use: 90 model calls and $3.01 on campus, against $1.00 for P2 and $0.57 for P3. On the pantry, fixed rules met 4/4 runs at no model cost, while the model policies met 6 to 9 of 12. P2 cost less than P1 (P3,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P2 and P3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No human rehearsal had been done when this document was written. The spoken script is 953 words, about 6 minutes 48 seconds at 140 words a minute.</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The case is the unit, and three runs are not three worlds. No significance is claimed.</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P2 versus P0 difference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Requirements: Python 3.12 with uv, and Node.js 22 with npm. Get the code and start the board:</w:t>
      </w:r>
    </w:p>
    <w:p>
      <w:pPr>
        <w:pStyle w:val="Code"/>
      </w:pPr>
      <w:r>
        <w:t>git clone --branch hackathon/peeaai-plan https://github.com/nocdoggo/COLLIE</w:t>
      </w:r>
    </w:p>
    <w:p>
      <w:pPr>
        <w:pStyle w:val="Code"/>
      </w:pPr>
      <w:r>
        <w:t>cd 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Sign in with the moderator code from </w:t>
      </w:r>
      <w:r>
        <w:rPr>
          <w:rStyle w:val="InlineCode"/>
        </w:rPr>
        <w:t>var/moderator_code.txt</w:t>
      </w:r>
      <w:r>
        <w:rPr>
          <w:b w:val="0"/>
        </w:rPr>
        <w:t xml:space="preserve">,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w:t>
      </w:r>
    </w:p>
    <w:p>
      <w:r>
        <w:rPr>
          <w:b w:val="0"/>
        </w:rPr>
        <w:t>Deterministic development cases and the freeze check:</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uv run plan-b eval report --results evaluation/results/wave3_heldout_20261025T1625Z/campus --out /tmp/campus_report</w:t>
      </w:r>
    </w:p>
    <w:p>
      <w:pPr>
        <w:pStyle w:val="Code"/>
        <w:spacing w:after="160"/>
      </w:pPr>
      <w:r>
        <w:t>uv run plan-b eval report --results evaluation/results/wave3_heldout_20261025T1625Z/pantry --out /tmp/pantry_report</w:t>
      </w:r>
    </w:p>
    <w:p>
      <w:r>
        <w:rPr>
          <w:b w:val="0"/>
        </w:rPr>
        <w:t>The demo setup, with a fresh state and verified recorded traces:</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model policies make paid calls and need the endpoint settings in </w:t>
      </w:r>
      <w:r>
        <w:rPr>
          <w:rStyle w:val="InlineCode"/>
        </w:rPr>
        <w:t>.local/keys/model_endpoint.env</w:t>
      </w:r>
      <w:r>
        <w:rPr>
          <w:b w:val="0"/>
        </w:rPr>
        <w:t xml:space="preserve"> and a key file, read only by the server.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Segment</w:t>
            </w:r>
          </w:p>
        </w:tc>
        <w:tc>
          <w:tcPr>
            <w:tcW w:type="dxa" w:w="1584"/>
            <w:shd w:val="clear" w:color="auto" w:fill="E6EEF6"/>
          </w:tcPr>
          <w:p>
            <w:pPr>
              <w:spacing w:after="40"/>
            </w:pPr>
            <w:r>
              <w:rPr>
                <w:b/>
                <w:sz w:val="19"/>
              </w:rPr>
              <w:t>Case</w:t>
            </w:r>
          </w:p>
        </w:tc>
        <w:tc>
          <w:tcPr>
            <w:tcW w:type="dxa" w:w="3456"/>
            <w:shd w:val="clear" w:color="auto" w:fill="E6EEF6"/>
          </w:tcPr>
          <w:p>
            <w:pPr>
              <w:spacing w:after="40"/>
            </w:pPr>
            <w:r>
              <w:rPr>
                <w:b/>
                <w:sz w:val="19"/>
              </w:rPr>
              <w:t>Show</w:t>
            </w:r>
          </w:p>
        </w:tc>
      </w:tr>
      <w:tr>
        <w:tc>
          <w:tcPr>
            <w:tcW w:type="dxa" w:w="1584"/>
          </w:tcPr>
          <w:p>
            <w:pPr>
              <w:spacing w:after="40"/>
            </w:pPr>
            <w:r>
              <w:rPr>
                <w:b w:val="0"/>
                <w:sz w:val="19"/>
              </w:rPr>
              <w:t>0:00 to 0:37</w:t>
            </w:r>
          </w:p>
        </w:tc>
        <w:tc>
          <w:tcPr>
            <w:tcW w:type="dxa" w:w="2736"/>
          </w:tcPr>
          <w:p>
            <w:pPr>
              <w:spacing w:after="40"/>
            </w:pPr>
            <w:r>
              <w:rPr>
                <w:b w:val="0"/>
                <w:sz w:val="19"/>
              </w:rPr>
              <w:t>The problem</w:t>
            </w:r>
          </w:p>
        </w:tc>
        <w:tc>
          <w:tcPr>
            <w:tcW w:type="dxa" w:w="1584"/>
          </w:tcPr>
          <w:p>
            <w:pPr>
              <w:spacing w:after="40"/>
            </w:pPr>
            <w:r>
              <w:rPr>
                <w:b w:val="0"/>
                <w:sz w:val="19"/>
              </w:rPr>
              <w:t>dev01</w:t>
            </w:r>
          </w:p>
        </w:tc>
        <w:tc>
          <w:tcPr>
            <w:tcW w:type="dxa" w:w="3456"/>
          </w:tcPr>
          <w:p>
            <w:pPr>
              <w:spacing w:after="40"/>
            </w:pPr>
            <w:r>
              <w:rPr>
                <w:b w:val="0"/>
                <w:sz w:val="19"/>
              </w:rPr>
              <w:t>Goal, deadline, the 16:40 notice</w:t>
            </w:r>
          </w:p>
        </w:tc>
      </w:tr>
      <w:tr>
        <w:tc>
          <w:tcPr>
            <w:tcW w:type="dxa" w:w="1584"/>
          </w:tcPr>
          <w:p>
            <w:pPr>
              <w:spacing w:after="40"/>
            </w:pPr>
            <w:r>
              <w:rPr>
                <w:b w:val="0"/>
                <w:sz w:val="19"/>
              </w:rPr>
              <w:t>0:37 to 1:12</w:t>
            </w:r>
          </w:p>
        </w:tc>
        <w:tc>
          <w:tcPr>
            <w:tcW w:type="dxa" w:w="2736"/>
          </w:tcPr>
          <w:p>
            <w:pPr>
              <w:spacing w:after="40"/>
            </w:pPr>
            <w:r>
              <w:rPr>
                <w:b w:val="0"/>
                <w:sz w:val="19"/>
              </w:rPr>
              <w:t>Who may do what</w:t>
            </w:r>
          </w:p>
        </w:tc>
        <w:tc>
          <w:tcPr>
            <w:tcW w:type="dxa" w:w="1584"/>
          </w:tcPr>
          <w:p>
            <w:pPr>
              <w:spacing w:after="40"/>
            </w:pPr>
            <w:r>
              <w:rPr>
                <w:b w:val="0"/>
                <w:sz w:val="19"/>
              </w:rPr>
              <w:t>dev01</w:t>
            </w:r>
          </w:p>
        </w:tc>
        <w:tc>
          <w:tcPr>
            <w:tcW w:type="dxa" w:w="3456"/>
          </w:tcPr>
          <w:p>
            <w:pPr>
              <w:spacing w:after="40"/>
            </w:pPr>
            <w:r>
              <w:rPr>
                <w:b w:val="0"/>
                <w:sz w:val="19"/>
              </w:rPr>
              <w:t>The coordinator's grant</w:t>
            </w:r>
          </w:p>
        </w:tc>
      </w:tr>
      <w:tr>
        <w:tc>
          <w:tcPr>
            <w:tcW w:type="dxa" w:w="1584"/>
          </w:tcPr>
          <w:p>
            <w:pPr>
              <w:spacing w:after="40"/>
            </w:pPr>
            <w:r>
              <w:rPr>
                <w:b w:val="0"/>
                <w:sz w:val="19"/>
              </w:rPr>
              <w:t>1:12 to 2:35</w:t>
            </w:r>
          </w:p>
        </w:tc>
        <w:tc>
          <w:tcPr>
            <w:tcW w:type="dxa" w:w="2736"/>
          </w:tcPr>
          <w:p>
            <w:pPr>
              <w:spacing w:after="40"/>
            </w:pPr>
            <w:r>
              <w:rPr>
                <w:b w:val="0"/>
                <w:sz w:val="19"/>
              </w:rPr>
              <w:t>Verify, then commit</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c>
          <w:tcPr>
            <w:tcW w:type="dxa" w:w="1584"/>
          </w:tcPr>
          <w:p>
            <w:pPr>
              <w:spacing w:after="40"/>
            </w:pPr>
            <w:r>
              <w:rPr>
                <w:b w:val="0"/>
                <w:sz w:val="19"/>
              </w:rPr>
              <w:t>2:35 to 3:25</w:t>
            </w:r>
          </w:p>
        </w:tc>
        <w:tc>
          <w:tcPr>
            <w:tcW w:type="dxa" w:w="2736"/>
          </w:tcPr>
          <w:p>
            <w:pPr>
              <w:spacing w:after="40"/>
            </w:pPr>
            <w:r>
              <w:rPr>
                <w:b w:val="0"/>
                <w:sz w:val="19"/>
              </w:rPr>
              <w:t>Four messages, zero changes</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c>
          <w:tcPr>
            <w:tcW w:type="dxa" w:w="1584"/>
          </w:tcPr>
          <w:p>
            <w:pPr>
              <w:spacing w:after="40"/>
            </w:pPr>
            <w:r>
              <w:rPr>
                <w:b w:val="0"/>
                <w:sz w:val="19"/>
              </w:rPr>
              <w:t>3:25 to 4:23</w:t>
            </w:r>
          </w:p>
        </w:tc>
        <w:tc>
          <w:tcPr>
            <w:tcW w:type="dxa" w:w="2736"/>
          </w:tcPr>
          <w:p>
            <w:pPr>
              <w:spacing w:after="40"/>
            </w:pPr>
            <w:r>
              <w:rPr>
                <w:b w:val="0"/>
                <w:sz w:val="19"/>
              </w:rPr>
              <w:t>The loop and the gate</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c>
          <w:tcPr>
            <w:tcW w:type="dxa" w:w="1584"/>
          </w:tcPr>
          <w:p>
            <w:pPr>
              <w:spacing w:after="40"/>
            </w:pPr>
            <w:r>
              <w:rPr>
                <w:b w:val="0"/>
                <w:sz w:val="19"/>
              </w:rPr>
              <w:t>4:23 to 5:39</w:t>
            </w:r>
          </w:p>
        </w:tc>
        <w:tc>
          <w:tcPr>
            <w:tcW w:type="dxa" w:w="2736"/>
          </w:tcPr>
          <w:p>
            <w:pPr>
              <w:spacing w:after="40"/>
            </w:pPr>
            <w:r>
              <w:rPr>
                <w:b w:val="0"/>
                <w:sz w:val="19"/>
              </w:rPr>
              <w:t>Held-out results</w:t>
            </w:r>
          </w:p>
        </w:tc>
        <w:tc>
          <w:tcPr>
            <w:tcW w:type="dxa" w:w="1584"/>
          </w:tcPr>
          <w:p>
            <w:pPr>
              <w:spacing w:after="40"/>
            </w:pPr>
            <w:r>
              <w:rPr>
                <w:b w:val="0"/>
                <w:sz w:val="19"/>
              </w:rPr>
              <w:t>results</w:t>
            </w:r>
          </w:p>
        </w:tc>
        <w:tc>
          <w:tcPr>
            <w:tcW w:type="dxa" w:w="3456"/>
          </w:tcPr>
          <w:p>
            <w:pPr>
              <w:spacing w:after="40"/>
            </w:pPr>
            <w:r>
              <w:rPr>
                <w:b w:val="0"/>
                <w:sz w:val="19"/>
              </w:rPr>
              <w:t>Counts and one failure</w:t>
            </w:r>
          </w:p>
        </w:tc>
      </w:tr>
      <w:tr>
        <w:tc>
          <w:tcPr>
            <w:tcW w:type="dxa" w:w="1584"/>
          </w:tcPr>
          <w:p>
            <w:pPr>
              <w:spacing w:after="40"/>
            </w:pPr>
            <w:r>
              <w:rPr>
                <w:b w:val="0"/>
                <w:sz w:val="19"/>
              </w:rPr>
              <w:t>5:39 to 6:29</w:t>
            </w:r>
          </w:p>
        </w:tc>
        <w:tc>
          <w:tcPr>
            <w:tcW w:type="dxa" w:w="2736"/>
          </w:tcPr>
          <w:p>
            <w:pPr>
              <w:spacing w:after="40"/>
            </w:pPr>
            <w:r>
              <w:rPr>
                <w:b w:val="0"/>
                <w:sz w:val="19"/>
              </w:rPr>
              <w:t>Pantry cameo</w:t>
            </w:r>
          </w:p>
        </w:tc>
        <w:tc>
          <w:tcPr>
            <w:tcW w:type="dxa" w:w="1584"/>
          </w:tcPr>
          <w:p>
            <w:pPr>
              <w:spacing w:after="40"/>
            </w:pPr>
            <w:r>
              <w:rPr>
                <w:b w:val="0"/>
                <w:sz w:val="19"/>
              </w:rPr>
              <w:t>pantry_dev01</w:t>
            </w:r>
          </w:p>
        </w:tc>
        <w:tc>
          <w:tcPr>
            <w:tcW w:type="dxa" w:w="3456"/>
          </w:tcPr>
          <w:p>
            <w:pPr>
              <w:spacing w:after="40"/>
            </w:pPr>
            <w:r>
              <w:rPr>
                <w:b w:val="0"/>
                <w:sz w:val="19"/>
              </w:rPr>
              <w:t>The two counters</w:t>
            </w:r>
          </w:p>
        </w:tc>
      </w:tr>
      <w:tr>
        <w:tc>
          <w:tcPr>
            <w:tcW w:type="dxa" w:w="1584"/>
          </w:tcPr>
          <w:p>
            <w:pPr>
              <w:spacing w:after="40"/>
            </w:pPr>
            <w:r>
              <w:rPr>
                <w:b w:val="0"/>
                <w:sz w:val="19"/>
              </w:rPr>
              <w:t>6:29 to 7:00</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What works, what is next</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pPr>
        <w:pStyle w:val="ListBullet"/>
      </w:pPr>
      <w:r>
        <w:rPr>
          <w:b w:val="0"/>
        </w:rPr>
        <w:t>Review the workflows with community staff, starting with one bounded tabletop session.</w:t>
      </w:r>
    </w:p>
    <w:p>
      <w:pPr>
        <w:pStyle w:val="ListBullet"/>
      </w:pPr>
      <w:r>
        <w:rPr>
          <w:b w:val="0"/>
        </w:rPr>
        <w:t>Store authorization requests as explicit state.</w:t>
      </w:r>
    </w:p>
    <w:p>
      <w:pPr>
        <w:pStyle w:val="ListBullet"/>
      </w:pPr>
      <w:r>
        <w:rPr>
          <w:b w:val="0"/>
        </w:rPr>
        <w:t>Add the optional MBTA transit context, labelled as uncertain information.</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c>
          <w:tcPr>
            <w:tcW w:type="dxa" w:w="2736"/>
          </w:tcPr>
          <w:p>
            <w:pPr>
              <w:spacing w:after="40"/>
            </w:pPr>
            <w:r>
              <w:rPr>
                <w:b w:val="0"/>
                <w:sz w:val="19"/>
              </w:rPr>
              <w:t>Policy</w:t>
            </w:r>
          </w:p>
        </w:tc>
        <w:tc>
          <w:tcPr>
            <w:tcW w:type="dxa" w:w="6624"/>
          </w:tcPr>
          <w:p>
            <w:pPr>
              <w:spacing w:after="40"/>
            </w:pPr>
            <w:r>
              <w:rPr>
                <w:b w:val="0"/>
                <w:sz w:val="19"/>
              </w:rPr>
              <w:t>The rule that picks the next step: P0 to P3</w:t>
            </w:r>
          </w:p>
        </w:tc>
      </w:tr>
      <w:tr>
        <w:tc>
          <w:tcPr>
            <w:tcW w:type="dxa" w:w="2736"/>
          </w:tcPr>
          <w:p>
            <w:pPr>
              <w:spacing w:after="40"/>
            </w:pPr>
            <w:r>
              <w:rPr>
                <w:b w:val="0"/>
                <w:sz w:val="19"/>
              </w:rPr>
              <w:t>P0, P1, P2, P3</w:t>
            </w:r>
          </w:p>
        </w:tc>
        <w:tc>
          <w:tcPr>
            <w:tcW w:type="dxa" w:w="6624"/>
          </w:tcPr>
          <w:p>
            <w:pPr>
              <w:spacing w:after="40"/>
            </w:pPr>
            <w:r>
              <w:rPr>
                <w:b w:val="0"/>
                <w:sz w:val="19"/>
              </w:rPr>
              <w:t>Fixed rules, a model calling tools, a model picking checked options, and P2 with every check</w:t>
            </w:r>
          </w:p>
        </w:tc>
      </w:tr>
      <w:t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c>
          <w:tcPr>
            <w:tcW w:type="dxa" w:w="2736"/>
          </w:tcPr>
          <w:p>
            <w:pPr>
              <w:spacing w:after="40"/>
            </w:pPr>
            <w:r>
              <w:rPr>
                <w:b w:val="0"/>
                <w:sz w:val="19"/>
              </w:rPr>
              <w:t>Attention rule</w:t>
            </w:r>
          </w:p>
        </w:tc>
        <w:tc>
          <w:tcPr>
            <w:tcW w:type="dxa" w:w="6624"/>
          </w:tcPr>
          <w:p>
            <w:pPr>
              <w:spacing w:after="40"/>
            </w:pPr>
            <w:r>
              <w:rPr>
                <w:b w:val="0"/>
                <w:sz w:val="19"/>
              </w:rPr>
              <w:t>The P2 and P3 rule that decides whether a reading is material and needs the model</w:t>
            </w:r>
          </w:p>
        </w:tc>
      </w:tr>
      <w:t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20</w:t>
            </w:r>
          </w:p>
        </w:tc>
      </w:tr>
      <w:t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P1 to P3</w:t>
            </w:r>
          </w:p>
        </w:tc>
      </w:tr>
      <w:t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storyboard_report.json</w:t>
            </w:r>
          </w:p>
        </w:tc>
      </w:tr>
      <w:tr>
        <w:tc>
          <w:tcPr>
            <w:tcW w:type="dxa" w:w="4752"/>
          </w:tcPr>
          <w:p>
            <w:pPr>
              <w:spacing w:after="40"/>
            </w:pPr>
            <w:r>
              <w:rPr>
                <w:b w:val="0"/>
                <w:sz w:val="19"/>
              </w:rPr>
              <w:t>P2 on dev01: same check and swap, 3 model calls, $0.0366</w:t>
            </w:r>
          </w:p>
        </w:tc>
        <w:tc>
          <w:tcPr>
            <w:tcW w:type="dxa" w:w="4608"/>
          </w:tcPr>
          <w:p>
            <w:pPr>
              <w:spacing w:after="40"/>
            </w:pPr>
            <w:r>
              <w:rPr>
                <w:rStyle w:val="InlineCode"/>
                <w:sz w:val="19"/>
              </w:rPr>
              <w:t>apps/plan_b/plan_b/evaluation/development/README.md</w:t>
            </w:r>
          </w:p>
        </w:tc>
      </w:tr>
      <w:t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c>
          <w:tcPr>
            <w:tcW w:type="dxa" w:w="4752"/>
          </w:tcPr>
          <w:p>
            <w:pPr>
              <w:spacing w:after="40"/>
            </w:pPr>
            <w:r>
              <w:rPr>
                <w:b w:val="0"/>
                <w:sz w:val="19"/>
              </w:rPr>
              <w:t>dev04 messages and verdicts</w:t>
            </w:r>
          </w:p>
        </w:tc>
        <w:tc>
          <w:tcPr>
            <w:tcW w:type="dxa" w:w="4608"/>
          </w:tcPr>
          <w:p>
            <w:pPr>
              <w:spacing w:after="40"/>
            </w:pPr>
            <w:r>
              <w:rPr>
                <w:rStyle w:val="InlineCode"/>
                <w:sz w:val="19"/>
              </w:rPr>
              <w:t>scenarios/private/dev04.json</w:t>
            </w:r>
            <w:r>
              <w:rPr>
                <w:b w:val="0"/>
                <w:sz w:val="19"/>
              </w:rPr>
              <w:t xml:space="preserve"> (development), storyboard frame 8</w:t>
            </w:r>
          </w:p>
        </w:tc>
      </w:tr>
      <w:tr>
        <w:tc>
          <w:tcPr>
            <w:tcW w:type="dxa" w:w="4752"/>
          </w:tcPr>
          <w:p>
            <w:pPr>
              <w:spacing w:after="40"/>
            </w:pPr>
            <w:r>
              <w:rPr>
                <w:b w:val="0"/>
                <w:sz w:val="19"/>
              </w:rPr>
              <w:t>Pantry 24, 20, 16, 40 and the counters</w:t>
            </w:r>
          </w:p>
        </w:tc>
        <w:tc>
          <w:tcPr>
            <w:tcW w:type="dxa" w:w="4608"/>
          </w:tcPr>
          <w:p>
            <w:pPr>
              <w:spacing w:after="40"/>
            </w:pPr>
            <w:r>
              <w:rPr>
                <w:b w:val="0"/>
                <w:sz w:val="19"/>
              </w:rPr>
              <w:t xml:space="preserve">Wave 2 </w:t>
            </w:r>
            <w:r>
              <w:rPr>
                <w:rStyle w:val="InlineCode"/>
                <w:sz w:val="19"/>
              </w:rPr>
              <w:t>DEMO.md</w:t>
            </w:r>
            <w:r>
              <w:rPr>
                <w:b w:val="0"/>
                <w:sz w:val="19"/>
              </w:rPr>
              <w:t xml:space="preserve"> section 4, </w:t>
            </w:r>
            <w:r>
              <w:rPr>
                <w:rStyle w:val="InlineCode"/>
                <w:sz w:val="19"/>
              </w:rPr>
              <w:t>pantry_accounting.json</w:t>
            </w:r>
          </w:p>
        </w:tc>
      </w:tr>
      <w:t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COLLIE/tree/hackathon/peeaai-plan/apps/plan_b"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2026-10-25T20:01:30Z</dcterms:created>
  <dcterms:modified xsi:type="dcterms:W3CDTF">2026-10-25T20:01:30Z</dcterms:modified>
  <cp:category/>
</cp:coreProperties>
</file>