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rPr>
          <w:cantSplit/>
          <w:tblHeader/>
        </w:trP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rPr>
          <w:cantSplit/>
        </w:trP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rPr>
          <w:cantSplit/>
        </w:trP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rPr>
          <w:cantSplit/>
        </w:trP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rPr>
          <w:cantSplit/>
        </w:trP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https://github.com/nocdoggo/COLLIE/tree/hackathon/peeaai-plan/apps/plan_b</w:t>
              </w:r>
            </w:hyperlink>
          </w:p>
        </w:tc>
      </w:tr>
      <w:tr>
        <w:trPr>
          <w:cantSplit/>
        </w:trPr>
        <w:tc>
          <w:tcPr>
            <w:tcW w:type="dxa" w:w="2304"/>
          </w:tcPr>
          <w:p>
            <w:pPr>
              <w:spacing w:after="40"/>
            </w:pPr>
            <w:r>
              <w:rPr>
                <w:b w:val="0"/>
                <w:sz w:val="19"/>
              </w:rPr>
              <w:t>Branch and app path</w:t>
            </w:r>
          </w:p>
        </w:tc>
        <w:tc>
          <w:tcPr>
            <w:tcW w:type="dxa" w:w="7056"/>
          </w:tcPr>
          <w:p>
            <w:pPr>
              <w:spacing w:after="40"/>
            </w:pPr>
            <w:r>
              <w:rPr>
                <w:b w:val="0"/>
                <w:sz w:val="19"/>
              </w:rPr>
              <w:t xml:space="preserve">branch </w:t>
            </w:r>
            <w:r>
              <w:rPr>
                <w:rStyle w:val="InlineCode"/>
                <w:sz w:val="19"/>
              </w:rPr>
              <w:t>hackathon/peeaai-plan</w:t>
            </w:r>
            <w:r>
              <w:rPr>
                <w:b w:val="0"/>
                <w:sz w:val="19"/>
              </w:rPr>
              <w:t xml:space="preserve"> of the repository </w:t>
            </w:r>
            <w:r>
              <w:rPr>
                <w:rStyle w:val="InlineCode"/>
                <w:sz w:val="19"/>
              </w:rPr>
              <w:t>nocdoggo/COLLIE</w:t>
            </w:r>
            <w:r>
              <w:rPr>
                <w:b w:val="0"/>
                <w:sz w:val="19"/>
              </w:rPr>
              <w:t xml:space="preserve">, app in </w:t>
            </w:r>
            <w:r>
              <w:rPr>
                <w:rStyle w:val="InlineCode"/>
                <w:sz w:val="19"/>
              </w:rPr>
              <w:t>apps/plan_b</w:t>
            </w:r>
          </w:p>
        </w:tc>
      </w:tr>
    </w:tbl>
    <w:p/>
    <w:p>
      <w:pPr>
        <w:pStyle w:val="Heading1"/>
      </w:pPr>
      <w:r>
        <w:t>Abstract</w:t>
      </w:r>
    </w:p>
    <w:p>
      <w:r>
        <w:rPr>
          <w:b w:val="0"/>
        </w:rPr>
        <w:t xml:space="preserve">Small community events run on volunteers, borrowed equipment and fixed rooms. A single late delivery or stale message can push an organizer into a rushed change that costs people their time. </w:t>
      </w:r>
      <w:r>
        <w:rPr>
          <w:b/>
        </w:rPr>
        <w:t>Plan B</w:t>
      </w:r>
      <w:r>
        <w:rPr>
          <w:b w:val="0"/>
        </w:rPr>
        <w:t xml:space="preserve"> is a coordinator agent that decides what to verify, what to prepare and when to commit a change, inside written limits it cannot exceed. A language model reads each message and picks one of the options the server has built and checked. A </w:t>
      </w:r>
      <w:r>
        <w:rPr>
          <w:b/>
        </w:rPr>
        <w:t>hold</w:t>
      </w:r>
      <w:r>
        <w:rPr>
          <w:b w:val="0"/>
        </w:rPr>
        <w:t xml:space="preserve"> keeps a backup open while a fact or an approval is pending, and every accepted change returns a </w:t>
      </w:r>
      <w:r>
        <w:rPr>
          <w:b/>
        </w:rPr>
        <w:t>receipt</w:t>
      </w:r>
      <w:r>
        <w:rPr>
          <w:b w:val="0"/>
        </w:rPr>
        <w:t>. I built Plan B as a fictional local sandbox with a campus showcase, a community skills exchange and a fictional pantry, and compared four coordinator policies on held-out cases that were locked before the test. In 120 held-out runs of version 1.1, the evaluation of record, no policy executed a violation or changed a quiet event, but my policy showed no consistent advantage: a model calling the tools freely met every campus run at three times my policy's model cost, and fixed rules met every pantry run. That run exposed defects, so I made version 1.2 and tested it on a fresh held-out set of six cases, locked before any 1.2 call. It met the expected outcome in 59 of 60 runs, and the one miss was the fixed rules on a late-volunteer case. That set is small and repeats known conditions in new cases, so it is not comparable with the first run. Everything is fictional and local, the case set is small, and no community pilot has been run.</w:t>
      </w:r>
    </w:p>
    <w:p>
      <w:pPr>
        <w:keepNext/>
        <w:jc w:val="center"/>
      </w:pPr>
      <w:r>
        <w:drawing>
          <wp:inline xmlns:a="http://schemas.openxmlformats.org/drawingml/2006/main" xmlns:pic="http://schemas.openxmlformats.org/drawingml/2006/picture">
            <wp:extent cx="5943600" cy="829746"/>
            <wp:docPr id="1" name="Picture 1"/>
            <wp:cNvGraphicFramePr>
              <a:graphicFrameLocks noChangeAspect="1"/>
            </wp:cNvGraphicFramePr>
            <a:graphic>
              <a:graphicData uri="http://schemas.openxmlformats.org/drawingml/2006/picture">
                <pic:pic>
                  <pic:nvPicPr>
                    <pic:cNvPr id="0" name="fig_strip.png"/>
                    <pic:cNvPicPr/>
                  </pic:nvPicPr>
                  <pic:blipFill>
                    <a:blip r:embed="rId11"/>
                    <a:stretch>
                      <a:fillRect/>
                    </a:stretch>
                  </pic:blipFill>
                  <pic:spPr>
                    <a:xfrm>
                      <a:off x="0" y="0"/>
                      <a:ext cx="5943600" cy="829746"/>
                    </a:xfrm>
                    <a:prstGeom prst="rect"/>
                  </pic:spPr>
                </pic:pic>
              </a:graphicData>
            </a:graphic>
          </wp:inline>
        </w:drawing>
      </w:r>
    </w:p>
    <w:p>
      <w:pPr>
        <w:pStyle w:val="Caption"/>
        <w:jc w:val="center"/>
      </w:pPr>
      <w:r>
        <w:rPr>
          <w:b w:val="0"/>
        </w:rPr>
        <w:t>Figure 1. One recovery in four steps (development case dev01).</w:t>
      </w:r>
    </w:p>
    <w:p>
      <w:pPr>
        <w:pStyle w:val="Heading1"/>
      </w:pPr>
      <w:r>
        <w:t>1. Problem and motivation</w:t>
      </w:r>
    </w:p>
    <w:p>
      <w:r>
        <w:rPr>
          <w:b w:val="0"/>
        </w:rPr>
        <w:t>Imagine you organize a campus showcase. It opens at 17:00 and must finish by 18:00. At 16:40 a message says the projector may be about 25 minutes late. If you change too much, presenters and volunteers lose their time. If you wait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keepNext/>
        <w:jc w:val="center"/>
      </w:pPr>
      <w:r>
        <w:drawing>
          <wp:inline xmlns:a="http://schemas.openxmlformats.org/drawingml/2006/main" xmlns:pic="http://schemas.openxmlformats.org/drawingml/2006/picture">
            <wp:extent cx="5943600" cy="1914717"/>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943600" cy="1914717"/>
                    </a:xfrm>
                    <a:prstGeom prst="rect"/>
                  </pic:spPr>
                </pic:pic>
              </a:graphicData>
            </a:graphic>
          </wp:inline>
        </w:drawing>
      </w:r>
    </w:p>
    <w:p>
      <w:pPr>
        <w:pStyle w:val="Caption"/>
        <w:jc w:val="center"/>
      </w:pPr>
      <w:r>
        <w:rPr>
          <w:b w:val="0"/>
        </w:rPr>
        <w:t>Figure 2. The fictional campus showcase and the 16:40 message.</w:t>
      </w:r>
    </w:p>
    <w:p>
      <w:pPr>
        <w:pStyle w:val="Heading1"/>
      </w:pPr>
      <w:r>
        <w:t>2. What is different here</w:t>
      </w:r>
    </w:p>
    <w:p>
      <w:r>
        <w:rPr>
          <w:b w:val="0"/>
        </w:rPr>
        <w:t>Plan B combines known ideas in one bounded workflow. It does not claim to be the first of its kind. P0 to P3 are the four coordinator policies compared in section 7.</w:t>
      </w:r>
    </w:p>
    <w:p>
      <w:pPr>
        <w:pStyle w:val="ListBullet"/>
      </w:pPr>
      <w:r>
        <w:rPr>
          <w:b/>
        </w:rPr>
        <w:t>Ordinary tool-calling agents</w:t>
      </w:r>
      <w:r>
        <w:rPr>
          <w:b w:val="0"/>
        </w:rPr>
        <w:t xml:space="preserve"> let the model write tool calls directly. Plan B keeps that design as a comparison policy (P1), and in its own policy (P2)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(P0)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rPr>
          <w:cantSplit/>
          <w:tblHeader/>
        </w:trP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rPr>
          <w:cantSplit/>
        </w:trP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rPr>
          <w:cantSplit/>
        </w:trP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rPr>
          <w:cantSplit/>
        </w:trP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rPr>
          <w:cantSplit/>
        </w:trP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rPr>
          <w:cantSplit/>
        </w:trP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keepNext/>
        <w:jc w:val="center"/>
      </w:pPr>
      <w:r>
        <w:drawing>
          <wp:inline xmlns:a="http://schemas.openxmlformats.org/drawingml/2006/main" xmlns:pic="http://schemas.openxmlformats.org/drawingml/2006/picture">
            <wp:extent cx="5943600" cy="2006258"/>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6258"/>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r>
        <w:rPr>
          <w:b w:val="0"/>
        </w:rPr>
        <w:t xml:space="preserve">I built Plan B in three waves: the campus sandbox (Wave 1), the model policies, community roles and pantry (Wave 2), and the frozen held-out comparison (Wave 3). Each wave ended with an audit packet of evidence in </w:t>
      </w:r>
      <w:r>
        <w:rPr>
          <w:rStyle w:val="InlineCode"/>
        </w:rPr>
        <w:t>PEEAI_plan/handoffs/</w:t>
      </w:r>
      <w:r>
        <w:rPr>
          <w:b w:val="0"/>
        </w:rPr>
        <w:t>, which later sections cite.</w:t>
      </w:r>
    </w:p>
    <w:p>
      <w:pPr>
        <w:pStyle w:val="Heading1"/>
      </w:pPr>
      <w:r>
        <w:t>4. A recovery, step by step</w:t>
      </w:r>
    </w:p>
    <w:p>
      <w:r>
        <w:rPr>
          <w:b w:val="0"/>
        </w:rPr>
        <w:t>The fictional campus showcase in these development cases takes place on November 5, 2026.</w:t>
      </w:r>
    </w:p>
    <w:p>
      <w:pPr>
        <w:pStyle w:val="Heading2"/>
      </w:pPr>
      <w:r>
        <w:t>4.1 The late projector (development case dev01)</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pPr>
        <w:keepNext/>
        <w:jc w:val="center"/>
      </w:pPr>
      <w:r>
        <w:drawing>
          <wp:inline xmlns:a="http://schemas.openxmlformats.org/drawingml/2006/main" xmlns:pic="http://schemas.openxmlformats.org/drawingml/2006/picture">
            <wp:extent cx="5943600" cy="1914717"/>
            <wp:docPr id="4" name="Picture 4"/>
            <wp:cNvGraphicFramePr>
              <a:graphicFrameLocks noChangeAspect="1"/>
            </wp:cNvGraphicFramePr>
            <a:graphic>
              <a:graphicData uri="http://schemas.openxmlformats.org/drawingml/2006/picture">
                <pic:pic>
                  <pic:nvPicPr>
                    <pic:cNvPr id="0" name="fig_swap.png"/>
                    <pic:cNvPicPr/>
                  </pic:nvPicPr>
                  <pic:blipFill>
                    <a:blip r:embed="rId14"/>
                    <a:stretch>
                      <a:fillRect/>
                    </a:stretch>
                  </pic:blipFill>
                  <pic:spPr>
                    <a:xfrm>
                      <a:off x="0" y="0"/>
                      <a:ext cx="5943600" cy="1914717"/>
                    </a:xfrm>
                    <a:prstGeom prst="rect"/>
                  </pic:spPr>
                </pic:pic>
              </a:graphicData>
            </a:graphic>
          </wp:inline>
        </w:drawing>
      </w:r>
    </w:p>
    <w:p>
      <w:pPr>
        <w:pStyle w:val="Caption"/>
        <w:jc w:val="center"/>
      </w:pPr>
      <w:r>
        <w:rPr>
          <w:b w:val="0"/>
        </w:rPr>
        <w:t>Figure 4. The free swap: the demonstrations move after the projector's ETA.</w:t>
      </w:r>
    </w:p>
    <w:p>
      <w:pPr>
        <w:keepNext/>
        <w:jc w:val="center"/>
      </w:pPr>
      <w:r>
        <w:drawing>
          <wp:inline xmlns:a="http://schemas.openxmlformats.org/drawingml/2006/main" xmlns:pic="http://schemas.openxmlformats.org/drawingml/2006/picture">
            <wp:extent cx="5120640" cy="3224107"/>
            <wp:docPr id="5" name="Picture 5"/>
            <wp:cNvGraphicFramePr>
              <a:graphicFrameLocks noChangeAspect="1"/>
            </wp:cNvGraphicFramePr>
            <a:graphic>
              <a:graphicData uri="http://schemas.openxmlformats.org/drawingml/2006/picture">
                <pic:pic>
                  <pic:nvPicPr>
                    <pic:cNvPr id="0" name="before_after.png"/>
                    <pic:cNvPicPr/>
                  </pic:nvPicPr>
                  <pic:blipFill>
                    <a:blip r:embed="rId15"/>
                    <a:stretch>
                      <a:fillRect/>
                    </a:stretch>
                  </pic:blipFill>
                  <pic:spPr>
                    <a:xfrm>
                      <a:off x="0" y="0"/>
                      <a:ext cx="5120640" cy="3224107"/>
                    </a:xfrm>
                    <a:prstGeom prst="rect"/>
                  </pic:spPr>
                </pic:pic>
              </a:graphicData>
            </a:graphic>
          </wp:inline>
        </w:drawing>
      </w:r>
    </w:p>
    <w:p>
      <w:pPr>
        <w:pStyle w:val="Caption"/>
        <w:jc w:val="center"/>
      </w:pPr>
      <w:r>
        <w:rPr>
          <w:b w:val="0"/>
        </w:rPr>
        <w:t>Figure 5. The app's before and after view with the receipt (automated run).</w:t>
      </w:r>
    </w:p>
    <w:p>
      <w:pPr>
        <w:pStyle w:val="Heading2"/>
      </w:pPr>
      <w:r>
        <w:t>4.2 Four messages, zero changes (development case dev04)</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order P09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keepNext/>
        <w:jc w:val="center"/>
      </w:pPr>
      <w:r>
        <w:drawing>
          <wp:inline xmlns:a="http://schemas.openxmlformats.org/drawingml/2006/main" xmlns:pic="http://schemas.openxmlformats.org/drawingml/2006/picture">
            <wp:extent cx="5943600" cy="2159556"/>
            <wp:docPr id="6" name="Picture 6"/>
            <wp:cNvGraphicFramePr>
              <a:graphicFrameLocks noChangeAspect="1"/>
            </wp:cNvGraphicFramePr>
            <a:graphic>
              <a:graphicData uri="http://schemas.openxmlformats.org/drawingml/2006/picture">
                <pic:pic>
                  <pic:nvPicPr>
                    <pic:cNvPr id="0" name="fig_quiet.png"/>
                    <pic:cNvPicPr/>
                  </pic:nvPicPr>
                  <pic:blipFill>
                    <a:blip r:embed="rId16"/>
                    <a:stretch>
                      <a:fillRect/>
                    </a:stretch>
                  </pic:blipFill>
                  <pic:spPr>
                    <a:xfrm>
                      <a:off x="0" y="0"/>
                      <a:ext cx="5943600" cy="2159556"/>
                    </a:xfrm>
                    <a:prstGeom prst="rect"/>
                  </pic:spPr>
                </pic:pic>
              </a:graphicData>
            </a:graphic>
          </wp:inline>
        </w:drawing>
      </w:r>
    </w:p>
    <w:p>
      <w:pPr>
        <w:pStyle w:val="Caption"/>
        <w:jc w:val="center"/>
      </w:pPr>
      <w:r>
        <w:rPr>
          <w:b w:val="0"/>
        </w:rPr>
        <w:t>Figure 6. Four messages, zero changes.</w:t>
      </w:r>
    </w:p>
    <w:p>
      <w:pPr>
        <w:pStyle w:val="Heading2"/>
      </w:pPr>
      <w:r>
        <w:t>4.3 Prepare, ask, commit (development case dev02)</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(P0), with no model call. In a recorded development run, the AI coordinator (P2) made the same status check and the same swap at 16:43 with receipt </w:t>
      </w:r>
      <w:r>
        <w:rPr>
          <w:rStyle w:val="InlineCode"/>
        </w:rPr>
        <w:t>rcpt_0001</w:t>
      </w:r>
      <w:r>
        <w:rPr>
          <w:b w:val="0"/>
        </w:rPr>
        <w:t>, in 3 model calls for $0.0366.</w:t>
      </w:r>
    </w:p>
    <w:p>
      <w:pPr>
        <w:pStyle w:val="Heading1"/>
      </w:pPr>
      <w:r>
        <w:t>5. Architecture</w:t>
      </w:r>
    </w:p>
    <w:p>
      <w:pPr>
        <w:keepNext/>
        <w:jc w:val="center"/>
      </w:pPr>
      <w:r>
        <w:drawing>
          <wp:inline xmlns:a="http://schemas.openxmlformats.org/drawingml/2006/main" xmlns:pic="http://schemas.openxmlformats.org/drawingml/2006/picture">
            <wp:extent cx="5943600" cy="2850754"/>
            <wp:docPr id="7" name="Picture 7"/>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943600" cy="2850754"/>
                    </a:xfrm>
                    <a:prstGeom prst="rect"/>
                  </pic:spPr>
                </pic:pic>
              </a:graphicData>
            </a:graphic>
          </wp:inline>
        </w:drawing>
      </w:r>
    </w:p>
    <w:p>
      <w:pPr>
        <w:pStyle w:val="Caption"/>
        <w:jc w:val="center"/>
      </w:pPr>
      <w:r>
        <w:rPr>
          <w:b w:val="0"/>
        </w:rPr>
        <w:t>Figure 7. Four policies, one executor at the authority boundary.</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rPr>
          <w:cantSplit/>
          <w:tblHeader/>
        </w:trP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rPr>
          <w:cantSplit/>
        </w:trP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rPr>
          <w:cantSplit/>
        </w:trP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rPr>
          <w:cantSplit/>
        </w:trP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rPr>
          <w:cantSplit/>
        </w:trP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rPr>
          <w:cantSplit/>
        </w:trP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rPr>
          <w:cantSplit/>
        </w:trP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rPr>
          <w:cantSplit/>
        </w:trPr>
        <w:tc>
          <w:tcPr>
            <w:tcW w:type="dxa" w:w="2160"/>
          </w:tcPr>
          <w:p>
            <w:pPr>
              <w:spacing w:after="40"/>
            </w:pPr>
            <w:r>
              <w:rPr>
                <w:b w:val="0"/>
                <w:sz w:val="19"/>
              </w:rPr>
              <w:t>Rule policies (P0)</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rPr>
          <w:cantSplit/>
        </w:trPr>
        <w:tc>
          <w:tcPr>
            <w:tcW w:type="dxa" w:w="2160"/>
          </w:tcPr>
          <w:p>
            <w:pPr>
              <w:spacing w:after="40"/>
            </w:pPr>
            <w:r>
              <w:rPr>
                <w:b w:val="0"/>
                <w:sz w:val="19"/>
              </w:rPr>
              <w:t>Model policies (P1 to P3)</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rPr>
          <w:cantSplit/>
        </w:trP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rPr>
          <w:cantSplit/>
        </w:trP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rPr>
          <w:cantSplit/>
        </w:trP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keepNext/>
        <w:jc w:val="center"/>
      </w:pPr>
      <w:r>
        <w:drawing>
          <wp:inline xmlns:a="http://schemas.openxmlformats.org/drawingml/2006/main" xmlns:pic="http://schemas.openxmlformats.org/drawingml/2006/picture">
            <wp:extent cx="5943600" cy="2614323"/>
            <wp:docPr id="8" name="Picture 8"/>
            <wp:cNvGraphicFramePr>
              <a:graphicFrameLocks noChangeAspect="1"/>
            </wp:cNvGraphicFramePr>
            <a:graphic>
              <a:graphicData uri="http://schemas.openxmlformats.org/drawingml/2006/picture">
                <pic:pic>
                  <pic:nvPicPr>
                    <pic:cNvPr id="0" name="fig_loop.png"/>
                    <pic:cNvPicPr/>
                  </pic:nvPicPr>
                  <pic:blipFill>
                    <a:blip r:embed="rId18"/>
                    <a:stretch>
                      <a:fillRect/>
                    </a:stretch>
                  </pic:blipFill>
                  <pic:spPr>
                    <a:xfrm>
                      <a:off x="0" y="0"/>
                      <a:ext cx="5943600" cy="2614323"/>
                    </a:xfrm>
                    <a:prstGeom prst="rect"/>
                  </pic:spPr>
                </pic:pic>
              </a:graphicData>
            </a:graphic>
          </wp:inline>
        </w:drawing>
      </w:r>
    </w:p>
    <w:p>
      <w:pPr>
        <w:pStyle w:val="Caption"/>
        <w:jc w:val="center"/>
      </w:pPr>
      <w:r>
        <w:rPr>
          <w:b w:val="0"/>
        </w:rPr>
        <w:t>Figure 8. Verify, prepare, commit, keep, with this event's examples.</w:t>
      </w:r>
    </w:p>
    <w:p>
      <w:r>
        <w:rPr>
          <w:b w:val="0"/>
        </w:rPr>
        <w:t>The selective policy P2 follows these steps each time the runner wakes it, that is, gives it a turn because the shared state changed or a wait it set has passed:</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rPr>
          <w:cantSplit/>
          <w:tblHeader/>
        </w:trP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w:t>
            </w:r>
          </w:p>
        </w:tc>
        <w:tc>
          <w:tcPr>
            <w:tcW w:type="dxa" w:w="4176"/>
            <w:shd w:val="clear" w:color="auto" w:fill="E6EEF6"/>
          </w:tcPr>
          <w:p>
            <w:pPr>
              <w:spacing w:after="40"/>
            </w:pPr>
            <w:r>
              <w:rPr>
                <w:b/>
                <w:sz w:val="19"/>
              </w:rPr>
              <w:t>How it decides</w:t>
            </w:r>
          </w:p>
        </w:tc>
      </w:tr>
      <w:tr>
        <w:trPr>
          <w:cantSplit/>
        </w:trPr>
        <w:tc>
          <w:tcPr>
            <w:tcW w:type="dxa" w:w="2016"/>
          </w:tcPr>
          <w:p>
            <w:pPr>
              <w:spacing w:after="40"/>
            </w:pPr>
            <w:r>
              <w:rPr>
                <w:b w:val="0"/>
                <w:sz w:val="19"/>
              </w:rPr>
              <w:t>P0 rules</w:t>
            </w:r>
          </w:p>
        </w:tc>
        <w:tc>
          <w:tcPr>
            <w:tcW w:type="dxa" w:w="3168"/>
          </w:tcPr>
          <w:p>
            <w:pPr>
              <w:spacing w:after="40"/>
            </w:pPr>
            <w:r>
              <w:rPr>
                <w:rStyle w:val="InlineCode"/>
                <w:sz w:val="19"/>
              </w:rPr>
              <w:t>rules/1.0.0</w:t>
            </w:r>
            <w:r>
              <w:rPr>
                <w:b w:val="0"/>
                <w:sz w:val="19"/>
              </w:rPr>
              <w:t xml:space="preserve">, </w:t>
            </w:r>
            <w:r>
              <w:rPr>
                <w:rStyle w:val="InlineCode"/>
                <w:sz w:val="19"/>
              </w:rPr>
              <w:t>pantry-rules/1.1.0</w:t>
            </w:r>
          </w:p>
        </w:tc>
        <w:tc>
          <w:tcPr>
            <w:tcW w:type="dxa" w:w="4176"/>
          </w:tcPr>
          <w:p>
            <w:pPr>
              <w:spacing w:after="40"/>
            </w:pPr>
            <w:r>
              <w:rPr>
                <w:b w:val="0"/>
                <w:sz w:val="19"/>
              </w:rPr>
              <w:t>Published deterministic rules and a small parser. No model</w:t>
            </w:r>
          </w:p>
        </w:tc>
      </w:tr>
      <w:tr>
        <w:trPr>
          <w:cantSplit/>
        </w:trPr>
        <w:tc>
          <w:tcPr>
            <w:tcW w:type="dxa" w:w="2016"/>
          </w:tcPr>
          <w:p>
            <w:pPr>
              <w:spacing w:after="40"/>
            </w:pPr>
            <w:r>
              <w:rPr>
                <w:b w:val="0"/>
                <w:sz w:val="19"/>
              </w:rPr>
              <w:t>P1 tool use</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w:t>
            </w:r>
          </w:p>
        </w:tc>
        <w:tc>
          <w:tcPr>
            <w:tcW w:type="dxa" w:w="4176"/>
          </w:tcPr>
          <w:p>
            <w:pPr>
              <w:spacing w:after="40"/>
            </w:pPr>
            <w:r>
              <w:rPr>
                <w:b w:val="0"/>
                <w:sz w:val="19"/>
              </w:rPr>
              <w:t>The model calls the tools itself. The executor checks every call</w:t>
            </w:r>
          </w:p>
        </w:tc>
      </w:tr>
      <w:tr>
        <w:trPr>
          <w:cantSplit/>
        </w:trPr>
        <w:tc>
          <w:tcPr>
            <w:tcW w:type="dxa" w:w="2016"/>
          </w:tcPr>
          <w:p>
            <w:pPr>
              <w:spacing w:after="40"/>
            </w:pPr>
            <w:r>
              <w:rPr>
                <w:b w:val="0"/>
                <w:sz w:val="19"/>
              </w:rPr>
              <w:t>P2 selective (mine)</w:t>
            </w:r>
          </w:p>
        </w:tc>
        <w:tc>
          <w:tcPr>
            <w:tcW w:type="dxa" w:w="3168"/>
          </w:tcPr>
          <w:p>
            <w:pPr>
              <w:spacing w:after="40"/>
            </w:pPr>
            <w:r>
              <w:rPr>
                <w:rStyle w:val="InlineCode"/>
                <w:sz w:val="19"/>
              </w:rPr>
              <w:t>live/1.1.0</w:t>
            </w:r>
          </w:p>
        </w:tc>
        <w:tc>
          <w:tcPr>
            <w:tcW w:type="dxa" w:w="4176"/>
          </w:tcPr>
          <w:p>
            <w:pPr>
              <w:spacing w:after="40"/>
            </w:pPr>
            <w:r>
              <w:rPr>
                <w:b w:val="0"/>
                <w:sz w:val="19"/>
              </w:rPr>
              <w:t>The model picks one option from the server's checked menu</w:t>
            </w:r>
          </w:p>
        </w:tc>
      </w:tr>
      <w:tr>
        <w:trPr>
          <w:cantSplit/>
        </w:trPr>
        <w:tc>
          <w:tcPr>
            <w:tcW w:type="dxa" w:w="2016"/>
          </w:tcPr>
          <w:p>
            <w:pPr>
              <w:spacing w:after="40"/>
            </w:pPr>
            <w:r>
              <w:rPr>
                <w:b w:val="0"/>
                <w:sz w:val="19"/>
              </w:rPr>
              <w:t>P3 verify all</w:t>
            </w:r>
          </w:p>
        </w:tc>
        <w:tc>
          <w:tcPr>
            <w:tcW w:type="dxa" w:w="3168"/>
          </w:tcPr>
          <w:p>
            <w:pPr>
              <w:spacing w:after="40"/>
            </w:pPr>
            <w:r>
              <w:rPr>
                <w:rStyle w:val="InlineCode"/>
                <w:sz w:val="19"/>
              </w:rPr>
              <w:t>verify-all/1.1.0</w:t>
            </w:r>
          </w:p>
        </w:tc>
        <w:tc>
          <w:tcPr>
            <w:tcW w:type="dxa" w:w="4176"/>
          </w:tcPr>
          <w:p>
            <w:pPr>
              <w:spacing w:after="40"/>
            </w:pPr>
            <w:r>
              <w:rPr>
                <w:b w:val="0"/>
                <w:sz w:val="19"/>
              </w:rPr>
              <w:t xml:space="preserve">P2,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P1 to P3,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P1 is a serious baseline.</w:t>
      </w:r>
      <w:r>
        <w:rPr>
          <w:b w:val="0"/>
        </w:rPr>
        <w:t xml:space="preserve"> It sees the objective, the budget, the tools and the candidates, and may verify and hold like P2.</w:t>
      </w:r>
    </w:p>
    <w:p>
      <w:pPr>
        <w:pStyle w:val="ListBullet"/>
      </w:pPr>
      <w:r>
        <w:rPr>
          <w:b/>
        </w:rPr>
        <w:t>P3 is an ablation.</w:t>
      </w:r>
      <w:r>
        <w:rPr>
          <w:b w:val="0"/>
        </w:rPr>
        <w:t xml:space="preserve"> Its checks are made by the server, so its lower model-call count on campus does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keepNext/>
        <w:jc w:val="center"/>
      </w:pPr>
      <w:r>
        <w:drawing>
          <wp:inline xmlns:a="http://schemas.openxmlformats.org/drawingml/2006/main" xmlns:pic="http://schemas.openxmlformats.org/drawingml/2006/picture">
            <wp:extent cx="4572000" cy="3700431"/>
            <wp:docPr id="9" name="Picture 9"/>
            <wp:cNvGraphicFramePr>
              <a:graphicFrameLocks noChangeAspect="1"/>
            </wp:cNvGraphicFramePr>
            <a:graphic>
              <a:graphicData uri="http://schemas.openxmlformats.org/drawingml/2006/picture">
                <pic:pic>
                  <pic:nvPicPr>
                    <pic:cNvPr id="0" name="community_replanned.png"/>
                    <pic:cNvPicPr/>
                  </pic:nvPicPr>
                  <pic:blipFill>
                    <a:blip r:embed="rId19"/>
                    <a:stretch>
                      <a:fillRect/>
                    </a:stretch>
                  </pic:blipFill>
                  <pic:spPr>
                    <a:xfrm>
                      <a:off x="0" y="0"/>
                      <a:ext cx="4572000" cy="3700431"/>
                    </a:xfrm>
                    <a:prstGeom prst="rect"/>
                  </pic:spPr>
                </pic:pic>
              </a:graphicData>
            </a:graphic>
          </wp:inline>
        </w:drawing>
      </w:r>
    </w:p>
    <w:p>
      <w:pPr>
        <w:pStyle w:val="Caption"/>
        <w:jc w:val="center"/>
      </w:pPr>
      <w:r>
        <w:rPr>
          <w:b w:val="0"/>
        </w:rPr>
        <w:t>Figure 9. Development case skills_dev01: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keepNext/>
        <w:jc w:val="center"/>
      </w:pPr>
      <w:r>
        <w:drawing>
          <wp:inline xmlns:a="http://schemas.openxmlformats.org/drawingml/2006/main" xmlns:pic="http://schemas.openxmlformats.org/drawingml/2006/picture">
            <wp:extent cx="5943600" cy="2514408"/>
            <wp:docPr id="10" name="Picture 10"/>
            <wp:cNvGraphicFramePr>
              <a:graphicFrameLocks noChangeAspect="1"/>
            </wp:cNvGraphicFramePr>
            <a:graphic>
              <a:graphicData uri="http://schemas.openxmlformats.org/drawingml/2006/picture">
                <pic:pic>
                  <pic:nvPicPr>
                    <pic:cNvPr id="0" name="fig_pantry.png"/>
                    <pic:cNvPicPr/>
                  </pic:nvPicPr>
                  <pic:blipFill>
                    <a:blip r:embed="rId20"/>
                    <a:stretch>
                      <a:fillRect/>
                    </a:stretch>
                  </pic:blipFill>
                  <pic:spPr>
                    <a:xfrm>
                      <a:off x="0" y="0"/>
                      <a:ext cx="5943600" cy="2514408"/>
                    </a:xfrm>
                    <a:prstGeom prst="rect"/>
                  </pic:spPr>
                </pic:pic>
              </a:graphicData>
            </a:graphic>
          </wp:inline>
        </w:drawing>
      </w:r>
    </w:p>
    <w:p>
      <w:pPr>
        <w:pStyle w:val="Caption"/>
        <w:jc w:val="center"/>
      </w:pPr>
      <w:r>
        <w:rPr>
          <w:b w:val="0"/>
        </w:rPr>
        <w:t>Figure 10. Stock and the two counters at four moments (development case pantry_dev01).</w:t>
      </w:r>
    </w:p>
    <w:p>
      <w:r>
        <w:rPr>
          <w:b w:val="0"/>
        </w:rPr>
        <w:t>In development case pantry_dev02,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audit packet (</w:t>
      </w:r>
      <w:r>
        <w:rPr>
          <w:rStyle w:val="InlineCode"/>
        </w:rPr>
        <w:t>PEEAI_plan/handoffs/wave_2/</w:t>
      </w:r>
      <w:r>
        <w:rPr>
          <w:b w:val="0"/>
        </w:rPr>
        <w: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keepNext/>
        <w:jc w:val="center"/>
      </w:pPr>
      <w:r>
        <w:drawing>
          <wp:inline xmlns:a="http://schemas.openxmlformats.org/drawingml/2006/main" xmlns:pic="http://schemas.openxmlformats.org/drawingml/2006/picture">
            <wp:extent cx="5943600" cy="857115"/>
            <wp:docPr id="11" name="Picture 11"/>
            <wp:cNvGraphicFramePr>
              <a:graphicFrameLocks noChangeAspect="1"/>
            </wp:cNvGraphicFramePr>
            <a:graphic>
              <a:graphicData uri="http://schemas.openxmlformats.org/drawingml/2006/picture">
                <pic:pic>
                  <pic:nvPicPr>
                    <pic:cNvPr id="0" name="fig_freeze.png"/>
                    <pic:cNvPicPr/>
                  </pic:nvPicPr>
                  <pic:blipFill>
                    <a:blip r:embed="rId21"/>
                    <a:stretch>
                      <a:fillRect/>
                    </a:stretch>
                  </pic:blipFill>
                  <pic:spPr>
                    <a:xfrm>
                      <a:off x="0" y="0"/>
                      <a:ext cx="5943600" cy="857115"/>
                    </a:xfrm>
                    <a:prstGeom prst="rect"/>
                  </pic:spPr>
                </pic:pic>
              </a:graphicData>
            </a:graphic>
          </wp:inline>
        </w:drawing>
      </w:r>
    </w:p>
    <w:p>
      <w:pPr>
        <w:pStyle w:val="Caption"/>
        <w:jc w:val="center"/>
      </w:pPr>
      <w:r>
        <w:rPr>
          <w:b w:val="0"/>
        </w:rPr>
        <w:t>Figure 11.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rPr>
          <w:cantSplit/>
          <w:tblHeader/>
        </w:trP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rPr>
          <w:cantSplit/>
        </w:trP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rPr>
          <w:cantSplit/>
        </w:trP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rPr>
          <w:cantSplit/>
        </w:trP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rPr>
          <w:cantSplit/>
        </w:trP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rPr>
          <w:cantSplit/>
        </w:trP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rPr>
          <w:cantSplit/>
        </w:trP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rPr>
          <w:cantSplit/>
        </w:trP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rPr>
          <w:cantSplit/>
        </w:trP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rPr>
          <w:cantSplit/>
        </w:trP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P0 once, P1 to P3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ListBullet"/>
      </w:pPr>
      <w:r>
        <w:rPr>
          <w:b/>
        </w:rPr>
        <w:t>Capped runs</w:t>
      </w:r>
      <w:r>
        <w:rPr>
          <w:b w:val="0"/>
        </w:rPr>
        <w:t>: a run that reaches the limit of 8 model calls stops there and is scored from its final state like any other run, so it stays in the denominator. The results tables count them in the column "Runs capped".</w:t>
      </w:r>
    </w:p>
    <w:p>
      <w:pPr>
        <w:pStyle w:val="Heading1"/>
      </w:pPr>
      <w:r>
        <w:t>12. Results</w:t>
      </w:r>
    </w:p>
    <w:p>
      <w:r>
        <w:rPr>
          <w:b w:val="0"/>
        </w:rPr>
        <w:t xml:space="preserve">The reported run of the frozen comparison on the locked held-out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 Section 12.7 adds version 1.2 (Wave 3b): a fresh held-out check on six new cases and a post-hoc diagnostic rerun on these spent cases. Neither replaces this run.</w:t>
      </w:r>
    </w:p>
    <w:p>
      <w:r>
        <w:rPr>
          <w:b/>
        </w:rPr>
        <w:t>Headline.</w:t>
      </w:r>
      <w:r>
        <w:rPr>
          <w:b w:val="0"/>
        </w:rPr>
        <w:t xml:space="preserve"> No policy executed a violation, and no policy committed a change on the three quiet cases. </w:t>
      </w:r>
      <w:r>
        <w:rPr>
          <w:b/>
        </w:rPr>
        <w:t>P2, my policy, shows no consistent advantage over P1 or P0 here.</w:t>
      </w:r>
      <w:r>
        <w:rPr>
          <w:b w:val="0"/>
        </w:rPr>
        <w:t xml:space="preserve"> On one reported run of 8 campus and 4 pantry held-out cases, P2 met every run of 6 of 8 campus cases (P1 met every run of 8, P3 of 7, P0 of 6) and of 3 of 4 pantry cases (P0 of 4, P1 of 2, P3 of 2). Its misses come from a frozen attention rule that passes only equipment notices to the planner (C06), choices that used up the 8-call limit (C07) and an unavailable pool kept as a handoff option (T03). A first attempt was voided, as section 12.5 explains.</w:t>
      </w:r>
    </w:p>
    <w:p>
      <w:pPr>
        <w:keepNext/>
        <w:jc w:val="center"/>
      </w:pPr>
      <w:r>
        <w:drawing>
          <wp:inline xmlns:a="http://schemas.openxmlformats.org/drawingml/2006/main" xmlns:pic="http://schemas.openxmlformats.org/drawingml/2006/picture">
            <wp:extent cx="5943600" cy="1820698"/>
            <wp:docPr id="12" name="Picture 12"/>
            <wp:cNvGraphicFramePr>
              <a:graphicFrameLocks noChangeAspect="1"/>
            </wp:cNvGraphicFramePr>
            <a:graphic>
              <a:graphicData uri="http://schemas.openxmlformats.org/drawingml/2006/picture">
                <pic:pic>
                  <pic:nvPicPr>
                    <pic:cNvPr id="0" name="fig_results.png"/>
                    <pic:cNvPicPr/>
                  </pic:nvPicPr>
                  <pic:blipFill>
                    <a:blip r:embed="rId22"/>
                    <a:stretch>
                      <a:fillRect/>
                    </a:stretch>
                  </pic:blipFill>
                  <pic:spPr>
                    <a:xfrm>
                      <a:off x="0" y="0"/>
                      <a:ext cx="5943600" cy="1820698"/>
                    </a:xfrm>
                    <a:prstGeom prst="rect"/>
                  </pic:spPr>
                </pic:pic>
              </a:graphicData>
            </a:graphic>
          </wp:inline>
        </w:drawing>
      </w:r>
    </w:p>
    <w:p>
      <w:pPr>
        <w:pStyle w:val="Caption"/>
        <w:jc w:val="center"/>
      </w:pPr>
      <w:r>
        <w:rPr>
          <w:b w:val="0"/>
        </w:rPr>
        <w:t>Figure 12. Held-out runs that met the case's outcome, per policy and suite.</w:t>
      </w:r>
    </w:p>
    <w:p>
      <w:pPr>
        <w:pStyle w:val="Heading2"/>
      </w:pPr>
      <w:r>
        <w:t>12.1 Campus suite (8 cases, 80 runs)</w:t>
      </w:r>
    </w:p>
    <w:p>
      <w:pPr>
        <w:pStyle w:val="Caption"/>
        <w:keepNext/>
      </w:pPr>
      <w:r>
        <w:rPr>
          <w:b w:val="0"/>
        </w:rPr>
        <w:t>Table 1. Campus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rPr>
          <w:cantSplit/>
        </w:trPr>
        <w:tc>
          <w:tcPr>
            <w:tcW w:type="dxa" w:w="2160"/>
          </w:tcPr>
          <w:p>
            <w:pPr>
              <w:spacing w:after="40"/>
            </w:pPr>
            <w:r>
              <w:rPr>
                <w:b w:val="0"/>
                <w:sz w:val="19"/>
              </w:rPr>
              <w:t>P0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rPr>
          <w:cantSplit/>
        </w:trPr>
        <w:tc>
          <w:tcPr>
            <w:tcW w:type="dxa" w:w="2160"/>
          </w:tcPr>
          <w:p>
            <w:pPr>
              <w:spacing w:after="40"/>
            </w:pPr>
            <w:r>
              <w:rPr>
                <w:b w:val="0"/>
                <w:sz w:val="19"/>
              </w:rPr>
              <w:t>P1 tool use</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P2 selective (mine)</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P3 verify all</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p>
      <w:pPr>
        <w:pStyle w:val="Caption"/>
        <w:keepNext/>
      </w:pPr>
      <w:r>
        <w:rPr>
          <w:b w:val="0"/>
        </w:rPr>
        <w:t>Table 2. Campus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P0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P1 tool use</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rPr>
          <w:cantSplit/>
        </w:trPr>
        <w:tc>
          <w:tcPr>
            <w:tcW w:type="dxa" w:w="2160"/>
          </w:tcPr>
          <w:p>
            <w:pPr>
              <w:spacing w:after="40"/>
            </w:pPr>
            <w:r>
              <w:rPr>
                <w:b w:val="0"/>
                <w:sz w:val="19"/>
              </w:rPr>
              <w:t>P2 selective (mine)</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rPr>
          <w:cantSplit/>
        </w:trPr>
        <w:tc>
          <w:tcPr>
            <w:tcW w:type="dxa" w:w="2160"/>
          </w:tcPr>
          <w:p>
            <w:pPr>
              <w:spacing w:after="40"/>
            </w:pPr>
            <w:r>
              <w:rPr>
                <w:b w:val="0"/>
                <w:sz w:val="19"/>
              </w:rPr>
              <w:t>P3 verify all</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P0's infeasibility report was decided by the policy, P1's three by the model, and P2's and P3's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p>
      <w:pPr>
        <w:pStyle w:val="Caption"/>
        <w:keepNext/>
      </w:pPr>
      <w:r>
        <w:rPr>
          <w:b w:val="0"/>
        </w:rPr>
        <w:t>Table 3. Pantry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rPr>
          <w:cantSplit/>
        </w:trPr>
        <w:tc>
          <w:tcPr>
            <w:tcW w:type="dxa" w:w="2160"/>
          </w:tcPr>
          <w:p>
            <w:pPr>
              <w:spacing w:after="40"/>
            </w:pPr>
            <w:r>
              <w:rPr>
                <w:b w:val="0"/>
                <w:sz w:val="19"/>
              </w:rPr>
              <w:t>P0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rPr>
          <w:cantSplit/>
        </w:trPr>
        <w:tc>
          <w:tcPr>
            <w:tcW w:type="dxa" w:w="2160"/>
          </w:tcPr>
          <w:p>
            <w:pPr>
              <w:spacing w:after="40"/>
            </w:pPr>
            <w:r>
              <w:rPr>
                <w:b w:val="0"/>
                <w:sz w:val="19"/>
              </w:rPr>
              <w:t>P1 tool use</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rPr>
          <w:cantSplit/>
        </w:trPr>
        <w:tc>
          <w:tcPr>
            <w:tcW w:type="dxa" w:w="2160"/>
          </w:tcPr>
          <w:p>
            <w:pPr>
              <w:spacing w:after="40"/>
            </w:pPr>
            <w:r>
              <w:rPr>
                <w:b w:val="0"/>
                <w:sz w:val="19"/>
              </w:rPr>
              <w:t>P2 selective (mine)</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rPr>
          <w:cantSplit/>
        </w:trPr>
        <w:tc>
          <w:tcPr>
            <w:tcW w:type="dxa" w:w="2160"/>
          </w:tcPr>
          <w:p>
            <w:pPr>
              <w:spacing w:after="40"/>
            </w:pPr>
            <w:r>
              <w:rPr>
                <w:b w:val="0"/>
                <w:sz w:val="19"/>
              </w:rPr>
              <w:t>P3 verify all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p>
      <w:pPr>
        <w:pStyle w:val="Caption"/>
        <w:keepNext/>
      </w:pPr>
      <w:r>
        <w:rPr>
          <w:b w:val="0"/>
        </w:rPr>
        <w:t>Table 4. Pantry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P0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P1 tool use</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rPr>
          <w:cantSplit/>
        </w:trPr>
        <w:tc>
          <w:tcPr>
            <w:tcW w:type="dxa" w:w="2160"/>
          </w:tcPr>
          <w:p>
            <w:pPr>
              <w:spacing w:after="40"/>
            </w:pPr>
            <w:r>
              <w:rPr>
                <w:b w:val="0"/>
                <w:sz w:val="19"/>
              </w:rPr>
              <w:t>P2 selective (mine)</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rPr>
          <w:cantSplit/>
        </w:trPr>
        <w:tc>
          <w:tcPr>
            <w:tcW w:type="dxa" w:w="2160"/>
          </w:tcPr>
          <w:p>
            <w:pPr>
              <w:spacing w:after="40"/>
            </w:pPr>
            <w:r>
              <w:rPr>
                <w:b w:val="0"/>
                <w:sz w:val="19"/>
              </w:rPr>
              <w:t>P3 verify all</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P0's two reports were decided by the policy, and P2's and P3's (T04, three each) by the server. P1's three T03 deficit reports were decided by the model but did not meet the class.</w:t>
      </w:r>
    </w:p>
    <w:p>
      <w:pPr>
        <w:pStyle w:val="Heading2"/>
      </w:pPr>
      <w:r>
        <w:t>12.3 Per-case figures from the report</w:t>
      </w:r>
    </w:p>
    <w:p>
      <w:pPr>
        <w:keepNext/>
        <w:jc w:val="center"/>
      </w:pPr>
      <w:r>
        <w:drawing>
          <wp:inline xmlns:a="http://schemas.openxmlformats.org/drawingml/2006/main" xmlns:pic="http://schemas.openxmlformats.org/drawingml/2006/picture">
            <wp:extent cx="5120640" cy="3739356"/>
            <wp:docPr id="13" name="Picture 13"/>
            <wp:cNvGraphicFramePr>
              <a:graphicFrameLocks noChangeAspect="1"/>
            </wp:cNvGraphicFramePr>
            <a:graphic>
              <a:graphicData uri="http://schemas.openxmlformats.org/drawingml/2006/picture">
                <pic:pic>
                  <pic:nvPicPr>
                    <pic:cNvPr id="0" name="report_campus.png"/>
                    <pic:cNvPicPr/>
                  </pic:nvPicPr>
                  <pic:blipFill>
                    <a:blip r:embed="rId23"/>
                    <a:stretch>
                      <a:fillRect/>
                    </a:stretch>
                  </pic:blipFill>
                  <pic:spPr>
                    <a:xfrm>
                      <a:off x="0" y="0"/>
                      <a:ext cx="5120640" cy="3739356"/>
                    </a:xfrm>
                    <a:prstGeom prst="rect"/>
                  </pic:spPr>
                </pic:pic>
              </a:graphicData>
            </a:graphic>
          </wp:inline>
        </w:drawing>
      </w:r>
    </w:p>
    <w:p>
      <w:pPr>
        <w:pStyle w:val="Caption"/>
        <w:jc w:val="center"/>
      </w:pPr>
      <w:r>
        <w:rPr>
          <w:b w:val="0"/>
        </w:rPr>
        <w:t>Figure 13. The report's per-case figure, campus (</w:t>
      </w:r>
      <w:r>
        <w:rPr>
          <w:rStyle w:val="InlineCode"/>
        </w:rPr>
        <w:t>campus/report/figure.svg</w:t>
      </w:r>
      <w:r>
        <w:rPr>
          <w:b w:val="0"/>
        </w:rPr>
        <w:t>).</w:t>
      </w:r>
    </w:p>
    <w:p>
      <w:pPr>
        <w:keepNext/>
        <w:jc w:val="center"/>
      </w:pPr>
      <w:r>
        <w:drawing>
          <wp:inline xmlns:a="http://schemas.openxmlformats.org/drawingml/2006/main" xmlns:pic="http://schemas.openxmlformats.org/drawingml/2006/picture">
            <wp:extent cx="5120640" cy="2241216"/>
            <wp:docPr id="14" name="Picture 14"/>
            <wp:cNvGraphicFramePr>
              <a:graphicFrameLocks noChangeAspect="1"/>
            </wp:cNvGraphicFramePr>
            <a:graphic>
              <a:graphicData uri="http://schemas.openxmlformats.org/drawingml/2006/picture">
                <pic:pic>
                  <pic:nvPicPr>
                    <pic:cNvPr id="0" name="report_pantry.png"/>
                    <pic:cNvPicPr/>
                  </pic:nvPicPr>
                  <pic:blipFill>
                    <a:blip r:embed="rId24"/>
                    <a:stretch>
                      <a:fillRect/>
                    </a:stretch>
                  </pic:blipFill>
                  <pic:spPr>
                    <a:xfrm>
                      <a:off x="0" y="0"/>
                      <a:ext cx="5120640" cy="2241216"/>
                    </a:xfrm>
                    <a:prstGeom prst="rect"/>
                  </pic:spPr>
                </pic:pic>
              </a:graphicData>
            </a:graphic>
          </wp:inline>
        </w:drawing>
      </w:r>
    </w:p>
    <w:p>
      <w:pPr>
        <w:pStyle w:val="Caption"/>
        <w:jc w:val="center"/>
      </w:pPr>
      <w:r>
        <w:rPr>
          <w:b w:val="0"/>
        </w:rPr>
        <w:t>Figure 14. The report's per-case figure, pantry (</w:t>
      </w:r>
      <w:r>
        <w:rPr>
          <w:rStyle w:val="InlineCode"/>
        </w:rPr>
        <w:t>pantry/report/figure.svg</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P2 and P3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P0's parser does not read the message. P1 met C06 in 3 of 3 runs. This limit was disclosed at the case lock, before the runs.</w:t>
      </w:r>
    </w:p>
    <w:p>
      <w:pPr>
        <w:keepNext/>
        <w:jc w:val="center"/>
      </w:pPr>
      <w:r>
        <w:drawing>
          <wp:inline xmlns:a="http://schemas.openxmlformats.org/drawingml/2006/main" xmlns:pic="http://schemas.openxmlformats.org/drawingml/2006/picture">
            <wp:extent cx="5943600" cy="1139334"/>
            <wp:docPr id="15" name="Picture 15"/>
            <wp:cNvGraphicFramePr>
              <a:graphicFrameLocks noChangeAspect="1"/>
            </wp:cNvGraphicFramePr>
            <a:graphic>
              <a:graphicData uri="http://schemas.openxmlformats.org/drawingml/2006/picture">
                <pic:pic>
                  <pic:nvPicPr>
                    <pic:cNvPr id="0" name="fig_failure.png"/>
                    <pic:cNvPicPr/>
                  </pic:nvPicPr>
                  <pic:blipFill>
                    <a:blip r:embed="rId25"/>
                    <a:stretch>
                      <a:fillRect/>
                    </a:stretch>
                  </pic:blipFill>
                  <pic:spPr>
                    <a:xfrm>
                      <a:off x="0" y="0"/>
                      <a:ext cx="5943600" cy="1139334"/>
                    </a:xfrm>
                    <a:prstGeom prst="rect"/>
                  </pic:spPr>
                </pic:pic>
              </a:graphicData>
            </a:graphic>
          </wp:inline>
        </w:drawing>
      </w:r>
    </w:p>
    <w:p>
      <w:pPr>
        <w:pStyle w:val="Caption"/>
        <w:jc w:val="center"/>
      </w:pPr>
      <w:r>
        <w:rPr>
          <w:b w:val="0"/>
        </w:rPr>
        <w:t>Figure 15. The C06 failure of P2 and P3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P2 in 3 runs, action selection: a repeated check and a hold released and made again used the 8 model calls, and the organizer's approval arrived after the last one. P0 missed C07 too (interpretation), because its parser does not read the message.</w:t>
      </w:r>
    </w:p>
    <w:p>
      <w:pPr>
        <w:pStyle w:val="ListBullet"/>
      </w:pPr>
      <w:r>
        <w:rPr>
          <w:b/>
        </w:rPr>
        <w:t>T02</w:t>
      </w:r>
      <w:r>
        <w:rPr>
          <w:b w:val="0"/>
        </w:rPr>
        <w:t>, P3 in 3 runs, execution: a correct apply was refused as stale during a one-minute tool call, and the remaining model calls went to reading new notices, so it was never retried.</w:t>
      </w:r>
    </w:p>
    <w:p>
      <w:pPr>
        <w:pStyle w:val="ListBullet"/>
      </w:pPr>
      <w:r>
        <w:rPr>
          <w:b/>
        </w:rPr>
        <w:t>T03 and T04</w:t>
      </w:r>
      <w:r>
        <w:rPr>
          <w:b w:val="0"/>
        </w:rPr>
        <w:t>, P1 in 6 runs, action selection: P1 never held or committed the kits on hand.</w:t>
      </w:r>
    </w:p>
    <w:p>
      <w:pPr>
        <w:pStyle w:val="ListBullet"/>
      </w:pPr>
      <w:r>
        <w:rPr>
          <w:b/>
        </w:rPr>
        <w:t>T03</w:t>
      </w:r>
      <w:r>
        <w:rPr>
          <w:b w:val="0"/>
        </w:rPr>
        <w:t>, P2 and P3 in 3 runs each, planner input (for P2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P1, the model calling tools freely, met all campus runs, with the most model use: 90 model calls and $3.01 on campus, against $1.00 for P2 and $0.57 for P3. On the pantry, fixed rules met 4/4 runs at no model cost, while the model policies met 6 to 9 of 12. P2 cost less than P1 (P3,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P2 and P3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 Version 1.2 adds one (section 12.7).</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 Section 12.7 reports both for version 1.2.</w:t>
      </w:r>
    </w:p>
    <w:p>
      <w:pPr>
        <w:pStyle w:val="Heading2"/>
      </w:pPr>
      <w:r>
        <w:t>12.6 Functional evidence</w:t>
      </w:r>
    </w:p>
    <w:p>
      <w:pPr>
        <w:pStyle w:val="ListBullet"/>
      </w:pPr>
      <w:r>
        <w:rPr>
          <w:b w:val="0"/>
        </w:rPr>
        <w:t>Python tests: 896 passed, in the Wave 3 evidence collector's run from a clean checkout of commit 3442874 (</w:t>
      </w:r>
      <w:r>
        <w:rPr>
          <w:rStyle w:val="InlineCode"/>
        </w:rPr>
        <w:t>PEEAI_plan/handoffs/wave_3/evidence/reports/checks.json</w:t>
      </w:r>
      <w:r>
        <w:rPr>
          <w:b w:val="0"/>
        </w:rPr>
        <w:t xml:space="preserve">). The same run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The spoken script is 932 words, about 6 minutes 39 seconds at 140 words a minute, inside the 7 minutes.</w:t>
      </w:r>
    </w:p>
    <w:p>
      <w:pPr>
        <w:pStyle w:val="Heading2"/>
      </w:pPr>
      <w:r>
        <w:t>12.7 Wave 3b: version 1.2</w:t>
      </w:r>
    </w:p>
    <w:p>
      <w:r>
        <w:rPr>
          <w:b/>
        </w:rPr>
        <w:t>What changed and why.</w:t>
      </w:r>
      <w:r>
        <w:rPr>
          <w:b w:val="0"/>
        </w:rPr>
        <w:t xml:space="preserve"> The held-out run above exposed defects in the frozen 1.1 policies, and its </w:t>
      </w:r>
      <w:r>
        <w:rPr>
          <w:rStyle w:val="InlineCode"/>
        </w:rPr>
        <w:t>FAILURES.md</w:t>
      </w:r>
      <w:r>
        <w:rPr>
          <w:b w:val="0"/>
        </w:rPr>
        <w:t xml:space="preserve"> names them. Version 1.2 (P1 </w:t>
      </w:r>
      <w:r>
        <w:rPr>
          <w:rStyle w:val="InlineCode"/>
        </w:rPr>
        <w:t>tool-use/1.2.0</w:t>
      </w:r>
      <w:r>
        <w:rPr>
          <w:b w:val="0"/>
        </w:rPr>
        <w:t xml:space="preserve">, P2 </w:t>
      </w:r>
      <w:r>
        <w:rPr>
          <w:rStyle w:val="InlineCode"/>
        </w:rPr>
        <w:t>live/1.2.0</w:t>
      </w:r>
      <w:r>
        <w:rPr>
          <w:b w:val="0"/>
        </w:rPr>
        <w:t xml:space="preserve">, P3 </w:t>
      </w:r>
      <w:r>
        <w:rPr>
          <w:rStyle w:val="InlineCode"/>
        </w:rPr>
        <w:t>verify-all/1.2.0</w:t>
      </w:r>
      <w:r>
        <w:rPr>
          <w:b w:val="0"/>
        </w:rPr>
        <w:t xml:space="preserve">) fixes them. </w:t>
      </w:r>
      <w:r>
        <w:rPr>
          <w:rStyle w:val="InlineCode"/>
        </w:rPr>
        <w:t>apps/plan_b/docs/RUNTIME_CONTRACT.md</w:t>
      </w:r>
      <w:r>
        <w:rPr>
          <w:b w:val="0"/>
        </w:rPr>
        <w:t xml:space="preserve"> section 21 lists each fix with its test.</w:t>
      </w:r>
    </w:p>
    <w:p>
      <w:pPr>
        <w:pStyle w:val="ListBullet"/>
      </w:pPr>
      <w:r>
        <w:rPr>
          <w:b/>
        </w:rPr>
        <w:t>A person's delay</w:t>
      </w:r>
      <w:r>
        <w:rPr>
          <w:b w:val="0"/>
        </w:rPr>
        <w:t xml:space="preserve"> (C06). In 1.1 only equipment notices were material, so a volunteer's own report never reached the planner. In 1.2 a notice about a person that a not-started activity uses is material, and the claimed arrival time reaches the planner as a hypothesis.</w:t>
      </w:r>
    </w:p>
    <w:p>
      <w:pPr>
        <w:pStyle w:val="ListBullet"/>
      </w:pPr>
      <w:r>
        <w:rPr>
          <w:b/>
        </w:rPr>
        <w:t>An unavailable pool</w:t>
      </w:r>
      <w:r>
        <w:rPr>
          <w:b w:val="0"/>
        </w:rPr>
        <w:t xml:space="preserve"> (T03). In 1.1 a pool checked as unavailable stayed a ranked handoff option, and the shortfall report waited on it. In 1.2 the planner fails that handoff unless it is already held.</w:t>
      </w:r>
    </w:p>
    <w:p>
      <w:pPr>
        <w:pStyle w:val="ListBullet"/>
      </w:pPr>
      <w:r>
        <w:rPr>
          <w:b/>
        </w:rPr>
        <w:t>Calls with no progress</w:t>
      </w:r>
      <w:r>
        <w:rPr>
          <w:b w:val="0"/>
        </w:rPr>
        <w:t xml:space="preserve"> (the runs that used up the 8-call limit). In 1.2 the model is not called again on a menu it already passed on in the same state (the same revision, goal version and options).</w:t>
      </w:r>
    </w:p>
    <w:p>
      <w:pPr>
        <w:pStyle w:val="ListBullet"/>
      </w:pPr>
      <w:r>
        <w:rPr>
          <w:b/>
        </w:rPr>
        <w:t>A stale refusal</w:t>
      </w:r>
      <w:r>
        <w:rPr>
          <w:b w:val="0"/>
        </w:rPr>
        <w:t xml:space="preserve"> (T02). In 1.1 a choice refused only because the state had changed went back to the model. In 1.2 P2 and P3 send it again without a model call when the re-read menu still offers it.</w:t>
      </w:r>
    </w:p>
    <w:p>
      <w:pPr>
        <w:pStyle w:val="ListBullet"/>
      </w:pPr>
      <w:r>
        <w:rPr>
          <w:b/>
        </w:rPr>
        <w:t>Rate limits.</w:t>
      </w:r>
      <w:r>
        <w:rPr>
          <w:b w:val="0"/>
        </w:rPr>
        <w:t xml:space="preserve"> In 1.1 an HTTP 429 answer used up a model call. In 1.2 the provider waits and sends the same request again inside the call (3 s, doubled up to 20 s, at most 60 s of waiting a call), so a 429 uses no model call.</w:t>
      </w:r>
    </w:p>
    <w:p>
      <w:pPr>
        <w:pStyle w:val="ListBullet"/>
      </w:pPr>
      <w:r>
        <w:rPr>
          <w:b w:val="0"/>
        </w:rPr>
        <w:t xml:space="preserve">P0's code and ids are unchanged, but it shares the planner, so the freeze records the planner version </w:t>
      </w:r>
      <w:r>
        <w:rPr>
          <w:rStyle w:val="InlineCode"/>
        </w:rPr>
        <w:t>plan_b.planner/1.2.0</w:t>
      </w:r>
      <w:r>
        <w:rPr>
          <w:b w:val="0"/>
        </w:rPr>
        <w:t>. The model, the output limit and every cap are the same as in 1.1.</w:t>
      </w:r>
    </w:p>
    <w:p>
      <w:r>
        <w:rPr>
          <w:b/>
        </w:rPr>
        <w:t>How the new held-out result was kept apart.</w:t>
      </w:r>
      <w:r>
        <w:rPr>
          <w:b w:val="0"/>
        </w:rPr>
        <w:t xml:space="preserve"> The twelve cases above are spent, because the fixes were made after reading their failures. A separate worker wrote six fresh cases (campus C09 to C12, with C10 a quiet negative control, and pantry T05 and T06). They were locked with the 1.2 freeze (</w:t>
      </w:r>
      <w:r>
        <w:rPr>
          <w:rStyle w:val="InlineCode"/>
        </w:rPr>
        <w:t>freeze_v1_2.json</w:t>
      </w:r>
      <w:r>
        <w:rPr>
          <w:b w:val="0"/>
        </w:rPr>
        <w:t xml:space="preserve"> at 23:23:47 UTC, </w:t>
      </w:r>
      <w:r>
        <w:rPr>
          <w:rStyle w:val="InlineCode"/>
        </w:rPr>
        <w:t>heldout2.json</w:t>
      </w:r>
      <w:r>
        <w:rPr>
          <w:b w:val="0"/>
        </w:rPr>
        <w:t xml:space="preserve"> at 23:23:54 UTC, commit 5955243) before the first 1.2 model call on them (23:27:31 UTC). Whoever changed the policies never read those cases. Two limits remain. The case author read the prose list of planned fixes, but no code. The audit before the freeze had seen the cases, so it changed no policy behavior and left five known limits of 1.2 frozen (section 13).</w:t>
      </w:r>
    </w:p>
    <w:p>
      <w:pPr>
        <w:pStyle w:val="Caption"/>
        <w:keepNext/>
      </w:pPr>
      <w:r>
        <w:rPr>
          <w:b w:val="0"/>
        </w:rPr>
        <w:t>Table 5. Runs that met the case's outcome over recorded runs, per policy, in three separately labelled layers.</w:t>
      </w:r>
    </w:p>
    <w:tbl>
      <w:tblPr>
        <w:tblStyle w:val="TableGrid"/>
        <w:tblW w:type="auto" w:w="0"/>
        <w:jc w:val="center"/>
        <w:tblLayout w:type="fixed"/>
        <w:tblLook w:firstColumn="1" w:firstRow="1" w:lastColumn="0" w:lastRow="0" w:noHBand="0" w:noVBand="1" w:val="04A0"/>
      </w:tblPr>
      <w:tblGrid>
        <w:gridCol w:w="3744"/>
        <w:gridCol w:w="720"/>
        <w:gridCol w:w="1152"/>
        <w:gridCol w:w="1152"/>
        <w:gridCol w:w="1440"/>
        <w:gridCol w:w="1152"/>
      </w:tblGrid>
      <w:tr>
        <w:trPr>
          <w:cantSplit/>
          <w:tblHeader/>
        </w:trPr>
        <w:tc>
          <w:tcPr>
            <w:tcW w:type="dxa" w:w="3744"/>
            <w:shd w:val="clear" w:color="auto" w:fill="E6EEF6"/>
          </w:tcPr>
          <w:p>
            <w:pPr>
              <w:spacing w:after="40"/>
            </w:pPr>
            <w:r>
              <w:rPr>
                <w:b/>
                <w:sz w:val="19"/>
              </w:rPr>
              <w:t>Layer and cases</w:t>
            </w:r>
          </w:p>
        </w:tc>
        <w:tc>
          <w:tcPr>
            <w:tcW w:type="dxa" w:w="720"/>
            <w:shd w:val="clear" w:color="auto" w:fill="E6EEF6"/>
          </w:tcPr>
          <w:p>
            <w:pPr>
              <w:spacing w:after="40"/>
            </w:pPr>
            <w:r>
              <w:rPr>
                <w:b/>
                <w:sz w:val="19"/>
              </w:rPr>
              <w:t>Runs</w:t>
            </w:r>
          </w:p>
        </w:tc>
        <w:tc>
          <w:tcPr>
            <w:tcW w:type="dxa" w:w="1152"/>
            <w:shd w:val="clear" w:color="auto" w:fill="E6EEF6"/>
          </w:tcPr>
          <w:p>
            <w:pPr>
              <w:spacing w:after="40"/>
            </w:pPr>
            <w:r>
              <w:rPr>
                <w:b/>
                <w:sz w:val="19"/>
              </w:rPr>
              <w:t>P0 rules</w:t>
            </w:r>
          </w:p>
        </w:tc>
        <w:tc>
          <w:tcPr>
            <w:tcW w:type="dxa" w:w="1152"/>
            <w:shd w:val="clear" w:color="auto" w:fill="E6EEF6"/>
          </w:tcPr>
          <w:p>
            <w:pPr>
              <w:spacing w:after="40"/>
            </w:pPr>
            <w:r>
              <w:rPr>
                <w:b/>
                <w:sz w:val="19"/>
              </w:rPr>
              <w:t>P1 tool use</w:t>
            </w:r>
          </w:p>
        </w:tc>
        <w:tc>
          <w:tcPr>
            <w:tcW w:type="dxa" w:w="1440"/>
            <w:shd w:val="clear" w:color="auto" w:fill="E6EEF6"/>
          </w:tcPr>
          <w:p>
            <w:pPr>
              <w:spacing w:after="40"/>
            </w:pPr>
            <w:r>
              <w:rPr>
                <w:b/>
                <w:sz w:val="19"/>
              </w:rPr>
              <w:t>P2 selective (mine)</w:t>
            </w:r>
          </w:p>
        </w:tc>
        <w:tc>
          <w:tcPr>
            <w:tcW w:type="dxa" w:w="1152"/>
            <w:shd w:val="clear" w:color="auto" w:fill="E6EEF6"/>
          </w:tcPr>
          <w:p>
            <w:pPr>
              <w:spacing w:after="40"/>
            </w:pPr>
            <w:r>
              <w:rPr>
                <w:b/>
                <w:sz w:val="19"/>
              </w:rPr>
              <w:t>P3 verify all</w:t>
            </w:r>
          </w:p>
        </w:tc>
      </w:tr>
      <w:tr>
        <w:trPr>
          <w:cantSplit/>
        </w:trPr>
        <w:tc>
          <w:tcPr>
            <w:tcW w:type="dxa" w:w="3744"/>
          </w:tcPr>
          <w:p>
            <w:pPr>
              <w:spacing w:after="40"/>
            </w:pPr>
            <w:r>
              <w:rPr>
                <w:b w:val="0"/>
                <w:sz w:val="19"/>
              </w:rPr>
              <w:t>v1.1 held-out, evaluation of record: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18/24</w:t>
            </w:r>
          </w:p>
        </w:tc>
        <w:tc>
          <w:tcPr>
            <w:tcW w:type="dxa" w:w="1152"/>
          </w:tcPr>
          <w:p>
            <w:pPr>
              <w:spacing w:after="40"/>
            </w:pPr>
            <w:r>
              <w:rPr>
                <w:b w:val="0"/>
                <w:sz w:val="19"/>
              </w:rPr>
              <w:t>21/24</w:t>
            </w:r>
          </w:p>
        </w:tc>
      </w:tr>
      <w:tr>
        <w:trPr>
          <w:cantSplit/>
        </w:trPr>
        <w:tc>
          <w:tcPr>
            <w:tcW w:type="dxa" w:w="3744"/>
          </w:tcPr>
          <w:p>
            <w:pPr>
              <w:spacing w:after="40"/>
            </w:pPr>
            <w:r>
              <w:rPr>
                <w:b w:val="0"/>
                <w:sz w:val="19"/>
              </w:rPr>
              <w:t>v1.1 held-out, evaluation of record: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6/12</w:t>
            </w:r>
          </w:p>
        </w:tc>
        <w:tc>
          <w:tcPr>
            <w:tcW w:type="dxa" w:w="1440"/>
          </w:tcPr>
          <w:p>
            <w:pPr>
              <w:spacing w:after="40"/>
            </w:pPr>
            <w:r>
              <w:rPr>
                <w:b w:val="0"/>
                <w:sz w:val="19"/>
              </w:rPr>
              <w:t>9/12</w:t>
            </w:r>
          </w:p>
        </w:tc>
        <w:tc>
          <w:tcPr>
            <w:tcW w:type="dxa" w:w="1152"/>
          </w:tcPr>
          <w:p>
            <w:pPr>
              <w:spacing w:after="40"/>
            </w:pPr>
            <w:r>
              <w:rPr>
                <w:b w:val="0"/>
                <w:sz w:val="19"/>
              </w:rPr>
              <w:t>6/12</w:t>
            </w:r>
          </w:p>
        </w:tc>
      </w:tr>
      <w:tr>
        <w:trPr>
          <w:cantSplit/>
        </w:trPr>
        <w:tc>
          <w:tcPr>
            <w:tcW w:type="dxa" w:w="3744"/>
          </w:tcPr>
          <w:p>
            <w:pPr>
              <w:spacing w:after="40"/>
            </w:pPr>
            <w:r>
              <w:rPr>
                <w:b w:val="0"/>
                <w:sz w:val="19"/>
              </w:rPr>
              <w:t>v1.2 fresh held-out: campus C09 to C12</w:t>
            </w:r>
          </w:p>
        </w:tc>
        <w:tc>
          <w:tcPr>
            <w:tcW w:type="dxa" w:w="720"/>
          </w:tcPr>
          <w:p>
            <w:pPr>
              <w:spacing w:after="40"/>
            </w:pPr>
            <w:r>
              <w:rPr>
                <w:b w:val="0"/>
                <w:sz w:val="19"/>
              </w:rPr>
              <w:t>40</w:t>
            </w:r>
          </w:p>
        </w:tc>
        <w:tc>
          <w:tcPr>
            <w:tcW w:type="dxa" w:w="1152"/>
          </w:tcPr>
          <w:p>
            <w:pPr>
              <w:spacing w:after="40"/>
            </w:pPr>
            <w:r>
              <w:rPr>
                <w:b w:val="0"/>
                <w:sz w:val="19"/>
              </w:rPr>
              <w:t>3/4</w:t>
            </w:r>
          </w:p>
        </w:tc>
        <w:tc>
          <w:tcPr>
            <w:tcW w:type="dxa" w:w="1152"/>
          </w:tcPr>
          <w:p>
            <w:pPr>
              <w:spacing w:after="40"/>
            </w:pPr>
            <w:r>
              <w:rPr>
                <w:b w:val="0"/>
                <w:sz w:val="19"/>
              </w:rPr>
              <w:t>12/12</w:t>
            </w:r>
          </w:p>
        </w:tc>
        <w:tc>
          <w:tcPr>
            <w:tcW w:type="dxa" w:w="1440"/>
          </w:tcPr>
          <w:p>
            <w:pPr>
              <w:spacing w:after="40"/>
            </w:pPr>
            <w:r>
              <w:rPr>
                <w:b w:val="0"/>
                <w:sz w:val="19"/>
              </w:rPr>
              <w:t>12/12</w:t>
            </w:r>
          </w:p>
        </w:tc>
        <w:tc>
          <w:tcPr>
            <w:tcW w:type="dxa" w:w="1152"/>
          </w:tcPr>
          <w:p>
            <w:pPr>
              <w:spacing w:after="40"/>
            </w:pPr>
            <w:r>
              <w:rPr>
                <w:b w:val="0"/>
                <w:sz w:val="19"/>
              </w:rPr>
              <w:t>12/12</w:t>
            </w:r>
          </w:p>
        </w:tc>
      </w:tr>
      <w:tr>
        <w:trPr>
          <w:cantSplit/>
        </w:trPr>
        <w:tc>
          <w:tcPr>
            <w:tcW w:type="dxa" w:w="3744"/>
          </w:tcPr>
          <w:p>
            <w:pPr>
              <w:spacing w:after="40"/>
            </w:pPr>
            <w:r>
              <w:rPr>
                <w:b w:val="0"/>
                <w:sz w:val="19"/>
              </w:rPr>
              <w:t>v1.2 fresh held-out: pantry T05, T06</w:t>
            </w:r>
          </w:p>
        </w:tc>
        <w:tc>
          <w:tcPr>
            <w:tcW w:type="dxa" w:w="720"/>
          </w:tcPr>
          <w:p>
            <w:pPr>
              <w:spacing w:after="40"/>
            </w:pPr>
            <w:r>
              <w:rPr>
                <w:b w:val="0"/>
                <w:sz w:val="19"/>
              </w:rPr>
              <w:t>20</w:t>
            </w:r>
          </w:p>
        </w:tc>
        <w:tc>
          <w:tcPr>
            <w:tcW w:type="dxa" w:w="1152"/>
          </w:tcPr>
          <w:p>
            <w:pPr>
              <w:spacing w:after="40"/>
            </w:pPr>
            <w:r>
              <w:rPr>
                <w:b w:val="0"/>
                <w:sz w:val="19"/>
              </w:rPr>
              <w:t>2/2</w:t>
            </w:r>
          </w:p>
        </w:tc>
        <w:tc>
          <w:tcPr>
            <w:tcW w:type="dxa" w:w="1152"/>
          </w:tcPr>
          <w:p>
            <w:pPr>
              <w:spacing w:after="40"/>
            </w:pPr>
            <w:r>
              <w:rPr>
                <w:b w:val="0"/>
                <w:sz w:val="19"/>
              </w:rPr>
              <w:t>6/6</w:t>
            </w:r>
          </w:p>
        </w:tc>
        <w:tc>
          <w:tcPr>
            <w:tcW w:type="dxa" w:w="1440"/>
          </w:tcPr>
          <w:p>
            <w:pPr>
              <w:spacing w:after="40"/>
            </w:pPr>
            <w:r>
              <w:rPr>
                <w:b w:val="0"/>
                <w:sz w:val="19"/>
              </w:rPr>
              <w:t>6/6</w:t>
            </w:r>
          </w:p>
        </w:tc>
        <w:tc>
          <w:tcPr>
            <w:tcW w:type="dxa" w:w="1152"/>
          </w:tcPr>
          <w:p>
            <w:pPr>
              <w:spacing w:after="40"/>
            </w:pPr>
            <w:r>
              <w:rPr>
                <w:b w:val="0"/>
                <w:sz w:val="19"/>
              </w:rPr>
              <w:t>6/6</w:t>
            </w:r>
          </w:p>
        </w:tc>
      </w:tr>
      <w:tr>
        <w:trPr>
          <w:cantSplit/>
        </w:trPr>
        <w:tc>
          <w:tcPr>
            <w:tcW w:type="dxa" w:w="3744"/>
          </w:tcPr>
          <w:p>
            <w:pPr>
              <w:spacing w:after="40"/>
            </w:pPr>
            <w:r>
              <w:rPr>
                <w:b w:val="0"/>
                <w:sz w:val="19"/>
              </w:rPr>
              <w:t>v1.2 post-hoc diagnostic rerun on spent cases, not held-out: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21/24</w:t>
            </w:r>
          </w:p>
        </w:tc>
        <w:tc>
          <w:tcPr>
            <w:tcW w:type="dxa" w:w="1152"/>
          </w:tcPr>
          <w:p>
            <w:pPr>
              <w:spacing w:after="40"/>
            </w:pPr>
            <w:r>
              <w:rPr>
                <w:b w:val="0"/>
                <w:sz w:val="19"/>
              </w:rPr>
              <w:t>24/24</w:t>
            </w:r>
          </w:p>
        </w:tc>
      </w:tr>
      <w:tr>
        <w:trPr>
          <w:cantSplit/>
        </w:trPr>
        <w:tc>
          <w:tcPr>
            <w:tcW w:type="dxa" w:w="3744"/>
          </w:tcPr>
          <w:p>
            <w:pPr>
              <w:spacing w:after="40"/>
            </w:pPr>
            <w:r>
              <w:rPr>
                <w:b w:val="0"/>
                <w:sz w:val="19"/>
              </w:rPr>
              <w:t>v1.2 post-hoc diagnostic rerun on spent cases, not held-out: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10/12</w:t>
            </w:r>
          </w:p>
        </w:tc>
        <w:tc>
          <w:tcPr>
            <w:tcW w:type="dxa" w:w="1440"/>
          </w:tcPr>
          <w:p>
            <w:pPr>
              <w:spacing w:after="40"/>
            </w:pPr>
            <w:r>
              <w:rPr>
                <w:b w:val="0"/>
                <w:sz w:val="19"/>
              </w:rPr>
              <w:t>12/12</w:t>
            </w:r>
          </w:p>
        </w:tc>
        <w:tc>
          <w:tcPr>
            <w:tcW w:type="dxa" w:w="1152"/>
          </w:tcPr>
          <w:p>
            <w:pPr>
              <w:spacing w:after="40"/>
            </w:pPr>
            <w:r>
              <w:rPr>
                <w:b w:val="0"/>
                <w:sz w:val="19"/>
              </w:rPr>
              <w:t>9/12</w:t>
            </w:r>
          </w:p>
        </w:tc>
      </w:tr>
    </w:tbl>
    <w:p/>
    <w:p>
      <w:pPr>
        <w:pStyle w:val="Caption"/>
        <w:keepNext/>
      </w:pPr>
      <w:r>
        <w:rPr>
          <w:b w:val="0"/>
        </w:rPr>
        <w:t>Table 6. Integrity measures in the same layers, summed over the four policies.</w:t>
      </w:r>
    </w:p>
    <w:tbl>
      <w:tblPr>
        <w:tblStyle w:val="TableGrid"/>
        <w:tblW w:type="auto" w:w="0"/>
        <w:jc w:val="center"/>
        <w:tblLayout w:type="fixed"/>
        <w:tblLook w:firstColumn="1" w:firstRow="1" w:lastColumn="0" w:lastRow="0" w:noHBand="0" w:noVBand="1" w:val="04A0"/>
      </w:tblPr>
      <w:tblGrid>
        <w:gridCol w:w="3744"/>
        <w:gridCol w:w="1368"/>
        <w:gridCol w:w="1368"/>
        <w:gridCol w:w="1296"/>
        <w:gridCol w:w="1584"/>
      </w:tblGrid>
      <w:tr>
        <w:trPr>
          <w:cantSplit/>
          <w:tblHeader/>
        </w:trPr>
        <w:tc>
          <w:tcPr>
            <w:tcW w:type="dxa" w:w="3744"/>
            <w:shd w:val="clear" w:color="auto" w:fill="E6EEF6"/>
          </w:tcPr>
          <w:p>
            <w:pPr>
              <w:spacing w:after="40"/>
            </w:pPr>
            <w:r>
              <w:rPr>
                <w:b/>
                <w:sz w:val="19"/>
              </w:rPr>
              <w:t>Layer and cases</w:t>
            </w:r>
          </w:p>
        </w:tc>
        <w:tc>
          <w:tcPr>
            <w:tcW w:type="dxa" w:w="1368"/>
            <w:shd w:val="clear" w:color="auto" w:fill="E6EEF6"/>
          </w:tcPr>
          <w:p>
            <w:pPr>
              <w:spacing w:after="40"/>
            </w:pPr>
            <w:r>
              <w:rPr>
                <w:b/>
                <w:sz w:val="19"/>
              </w:rPr>
              <w:t>Executed violations</w:t>
            </w:r>
          </w:p>
        </w:tc>
        <w:tc>
          <w:tcPr>
            <w:tcW w:type="dxa" w:w="1368"/>
            <w:shd w:val="clear" w:color="auto" w:fill="E6EEF6"/>
          </w:tcPr>
          <w:p>
            <w:pPr>
              <w:spacing w:after="40"/>
            </w:pPr>
            <w:r>
              <w:rPr>
                <w:b/>
                <w:sz w:val="19"/>
              </w:rPr>
              <w:t>Refused requests</w:t>
            </w:r>
          </w:p>
        </w:tc>
        <w:tc>
          <w:tcPr>
            <w:tcW w:type="dxa" w:w="1296"/>
            <w:shd w:val="clear" w:color="auto" w:fill="E6EEF6"/>
          </w:tcPr>
          <w:p>
            <w:pPr>
              <w:spacing w:after="40"/>
            </w:pPr>
            <w:r>
              <w:rPr>
                <w:b/>
                <w:sz w:val="19"/>
              </w:rPr>
              <w:t>Runs capped</w:t>
            </w:r>
          </w:p>
        </w:tc>
        <w:tc>
          <w:tcPr>
            <w:tcW w:type="dxa" w:w="1584"/>
            <w:shd w:val="clear" w:color="auto" w:fill="E6EEF6"/>
          </w:tcPr>
          <w:p>
            <w:pPr>
              <w:spacing w:after="40"/>
            </w:pPr>
            <w:r>
              <w:rPr>
                <w:b/>
                <w:sz w:val="19"/>
              </w:rPr>
              <w:t>Changes on quiet cases</w:t>
            </w:r>
          </w:p>
        </w:tc>
      </w:tr>
      <w:tr>
        <w:trPr>
          <w:cantSplit/>
        </w:trPr>
        <w:tc>
          <w:tcPr>
            <w:tcW w:type="dxa" w:w="3744"/>
          </w:tcPr>
          <w:p>
            <w:pPr>
              <w:spacing w:after="40"/>
            </w:pPr>
            <w:r>
              <w:rPr>
                <w:b w:val="0"/>
                <w:sz w:val="19"/>
              </w:rPr>
              <w:t>v1.1 held-out, evaluation of record: campus C01 to C08</w:t>
            </w:r>
          </w:p>
        </w:tc>
        <w:tc>
          <w:tcPr>
            <w:tcW w:type="dxa" w:w="1368"/>
          </w:tcPr>
          <w:p>
            <w:pPr>
              <w:spacing w:after="40"/>
            </w:pPr>
            <w:r>
              <w:rPr>
                <w:b w:val="0"/>
                <w:sz w:val="19"/>
              </w:rPr>
              <w:t>0</w:t>
            </w:r>
          </w:p>
        </w:tc>
        <w:tc>
          <w:tcPr>
            <w:tcW w:type="dxa" w:w="1368"/>
          </w:tcPr>
          <w:p>
            <w:pPr>
              <w:spacing w:after="40"/>
            </w:pPr>
            <w:r>
              <w:rPr>
                <w:b w:val="0"/>
                <w:sz w:val="19"/>
              </w:rPr>
              <w:t>11</w:t>
            </w:r>
          </w:p>
        </w:tc>
        <w:tc>
          <w:tcPr>
            <w:tcW w:type="dxa" w:w="1296"/>
          </w:tcPr>
          <w:p>
            <w:pPr>
              <w:spacing w:after="40"/>
            </w:pPr>
            <w:r>
              <w:rPr>
                <w:b w:val="0"/>
                <w:sz w:val="19"/>
              </w:rPr>
              <w:t>3</w:t>
            </w:r>
          </w:p>
        </w:tc>
        <w:tc>
          <w:tcPr>
            <w:tcW w:type="dxa" w:w="1584"/>
          </w:tcPr>
          <w:p>
            <w:pPr>
              <w:spacing w:after="40"/>
            </w:pPr>
            <w:r>
              <w:rPr>
                <w:b w:val="0"/>
                <w:sz w:val="19"/>
              </w:rPr>
              <w:t>0 in 30 runs</w:t>
            </w:r>
          </w:p>
        </w:tc>
      </w:tr>
      <w:tr>
        <w:trPr>
          <w:cantSplit/>
        </w:trPr>
        <w:tc>
          <w:tcPr>
            <w:tcW w:type="dxa" w:w="3744"/>
          </w:tcPr>
          <w:p>
            <w:pPr>
              <w:spacing w:after="40"/>
            </w:pPr>
            <w:r>
              <w:rPr>
                <w:b w:val="0"/>
                <w:sz w:val="19"/>
              </w:rPr>
              <w:t>v1.1 held-out, evaluation of record: pantry T01 to T04</w:t>
            </w:r>
          </w:p>
        </w:tc>
        <w:tc>
          <w:tcPr>
            <w:tcW w:type="dxa" w:w="1368"/>
          </w:tcPr>
          <w:p>
            <w:pPr>
              <w:spacing w:after="40"/>
            </w:pPr>
            <w:r>
              <w:rPr>
                <w:b w:val="0"/>
                <w:sz w:val="19"/>
              </w:rPr>
              <w:t>0</w:t>
            </w:r>
          </w:p>
        </w:tc>
        <w:tc>
          <w:tcPr>
            <w:tcW w:type="dxa" w:w="1368"/>
          </w:tcPr>
          <w:p>
            <w:pPr>
              <w:spacing w:after="40"/>
            </w:pPr>
            <w:r>
              <w:rPr>
                <w:b w:val="0"/>
                <w:sz w:val="19"/>
              </w:rPr>
              <w:t>44</w:t>
            </w:r>
          </w:p>
        </w:tc>
        <w:tc>
          <w:tcPr>
            <w:tcW w:type="dxa" w:w="1296"/>
          </w:tcPr>
          <w:p>
            <w:pPr>
              <w:spacing w:after="40"/>
            </w:pPr>
            <w:r>
              <w:rPr>
                <w:b w:val="0"/>
                <w:sz w:val="19"/>
              </w:rPr>
              <w:t>18</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fresh held-out: campus C09 to C12</w:t>
            </w:r>
          </w:p>
        </w:tc>
        <w:tc>
          <w:tcPr>
            <w:tcW w:type="dxa" w:w="1368"/>
          </w:tcPr>
          <w:p>
            <w:pPr>
              <w:spacing w:after="40"/>
            </w:pPr>
            <w:r>
              <w:rPr>
                <w:b w:val="0"/>
                <w:sz w:val="19"/>
              </w:rPr>
              <w:t>0</w:t>
            </w:r>
          </w:p>
        </w:tc>
        <w:tc>
          <w:tcPr>
            <w:tcW w:type="dxa" w:w="1368"/>
          </w:tcPr>
          <w:p>
            <w:pPr>
              <w:spacing w:after="40"/>
            </w:pPr>
            <w:r>
              <w:rPr>
                <w:b w:val="0"/>
                <w:sz w:val="19"/>
              </w:rPr>
              <w:t>0</w:t>
            </w:r>
          </w:p>
        </w:tc>
        <w:tc>
          <w:tcPr>
            <w:tcW w:type="dxa" w:w="1296"/>
          </w:tcPr>
          <w:p>
            <w:pPr>
              <w:spacing w:after="40"/>
            </w:pPr>
            <w:r>
              <w:rPr>
                <w:b w:val="0"/>
                <w:sz w:val="19"/>
              </w:rPr>
              <w:t>0</w:t>
            </w:r>
          </w:p>
        </w:tc>
        <w:tc>
          <w:tcPr>
            <w:tcW w:type="dxa" w:w="1584"/>
          </w:tcPr>
          <w:p>
            <w:pPr>
              <w:spacing w:after="40"/>
            </w:pPr>
            <w:r>
              <w:rPr>
                <w:b w:val="0"/>
                <w:sz w:val="19"/>
              </w:rPr>
              <w:t>0 in 10 runs</w:t>
            </w:r>
          </w:p>
        </w:tc>
      </w:tr>
      <w:tr>
        <w:trPr>
          <w:cantSplit/>
        </w:trPr>
        <w:tc>
          <w:tcPr>
            <w:tcW w:type="dxa" w:w="3744"/>
          </w:tcPr>
          <w:p>
            <w:pPr>
              <w:spacing w:after="40"/>
            </w:pPr>
            <w:r>
              <w:rPr>
                <w:b w:val="0"/>
                <w:sz w:val="19"/>
              </w:rPr>
              <w:t>v1.2 fresh held-out: pantry T05, T06</w:t>
            </w:r>
          </w:p>
        </w:tc>
        <w:tc>
          <w:tcPr>
            <w:tcW w:type="dxa" w:w="1368"/>
          </w:tcPr>
          <w:p>
            <w:pPr>
              <w:spacing w:after="40"/>
            </w:pPr>
            <w:r>
              <w:rPr>
                <w:b w:val="0"/>
                <w:sz w:val="19"/>
              </w:rPr>
              <w:t>0</w:t>
            </w:r>
          </w:p>
        </w:tc>
        <w:tc>
          <w:tcPr>
            <w:tcW w:type="dxa" w:w="1368"/>
          </w:tcPr>
          <w:p>
            <w:pPr>
              <w:spacing w:after="40"/>
            </w:pPr>
            <w:r>
              <w:rPr>
                <w:b w:val="0"/>
                <w:sz w:val="19"/>
              </w:rPr>
              <w:t>6</w:t>
            </w:r>
          </w:p>
        </w:tc>
        <w:tc>
          <w:tcPr>
            <w:tcW w:type="dxa" w:w="1296"/>
          </w:tcPr>
          <w:p>
            <w:pPr>
              <w:spacing w:after="40"/>
            </w:pPr>
            <w:r>
              <w:rPr>
                <w:b w:val="0"/>
                <w:sz w:val="19"/>
              </w:rPr>
              <w:t>0</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post-hoc diagnostic rerun on spent cases, not held-out: campus C01 to C08</w:t>
            </w:r>
          </w:p>
        </w:tc>
        <w:tc>
          <w:tcPr>
            <w:tcW w:type="dxa" w:w="1368"/>
          </w:tcPr>
          <w:p>
            <w:pPr>
              <w:spacing w:after="40"/>
            </w:pPr>
            <w:r>
              <w:rPr>
                <w:b w:val="0"/>
                <w:sz w:val="19"/>
              </w:rPr>
              <w:t>0</w:t>
            </w:r>
          </w:p>
        </w:tc>
        <w:tc>
          <w:tcPr>
            <w:tcW w:type="dxa" w:w="1368"/>
          </w:tcPr>
          <w:p>
            <w:pPr>
              <w:spacing w:after="40"/>
            </w:pPr>
            <w:r>
              <w:rPr>
                <w:b w:val="0"/>
                <w:sz w:val="19"/>
              </w:rPr>
              <w:t>9</w:t>
            </w:r>
          </w:p>
        </w:tc>
        <w:tc>
          <w:tcPr>
            <w:tcW w:type="dxa" w:w="1296"/>
          </w:tcPr>
          <w:p>
            <w:pPr>
              <w:spacing w:after="40"/>
            </w:pPr>
            <w:r>
              <w:rPr>
                <w:b w:val="0"/>
                <w:sz w:val="19"/>
              </w:rPr>
              <w:t>4</w:t>
            </w:r>
          </w:p>
        </w:tc>
        <w:tc>
          <w:tcPr>
            <w:tcW w:type="dxa" w:w="1584"/>
          </w:tcPr>
          <w:p>
            <w:pPr>
              <w:spacing w:after="40"/>
            </w:pPr>
            <w:r>
              <w:rPr>
                <w:b w:val="0"/>
                <w:sz w:val="19"/>
              </w:rPr>
              <w:t>0 in 30 runs</w:t>
            </w:r>
          </w:p>
        </w:tc>
      </w:tr>
      <w:tr>
        <w:trPr>
          <w:cantSplit/>
        </w:trPr>
        <w:tc>
          <w:tcPr>
            <w:tcW w:type="dxa" w:w="3744"/>
          </w:tcPr>
          <w:p>
            <w:pPr>
              <w:spacing w:after="40"/>
            </w:pPr>
            <w:r>
              <w:rPr>
                <w:b w:val="0"/>
                <w:sz w:val="19"/>
              </w:rPr>
              <w:t>v1.2 post-hoc diagnostic rerun on spent cases, not held-out: pantry T01 to T04</w:t>
            </w:r>
          </w:p>
        </w:tc>
        <w:tc>
          <w:tcPr>
            <w:tcW w:type="dxa" w:w="1368"/>
          </w:tcPr>
          <w:p>
            <w:pPr>
              <w:spacing w:after="40"/>
            </w:pPr>
            <w:r>
              <w:rPr>
                <w:b w:val="0"/>
                <w:sz w:val="19"/>
              </w:rPr>
              <w:t>0</w:t>
            </w:r>
          </w:p>
        </w:tc>
        <w:tc>
          <w:tcPr>
            <w:tcW w:type="dxa" w:w="1368"/>
          </w:tcPr>
          <w:p>
            <w:pPr>
              <w:spacing w:after="40"/>
            </w:pPr>
            <w:r>
              <w:rPr>
                <w:b w:val="0"/>
                <w:sz w:val="19"/>
              </w:rPr>
              <w:t>30</w:t>
            </w:r>
          </w:p>
        </w:tc>
        <w:tc>
          <w:tcPr>
            <w:tcW w:type="dxa" w:w="1296"/>
          </w:tcPr>
          <w:p>
            <w:pPr>
              <w:spacing w:after="40"/>
            </w:pPr>
            <w:r>
              <w:rPr>
                <w:b w:val="0"/>
                <w:sz w:val="19"/>
              </w:rPr>
              <w:t>15</w:t>
            </w:r>
          </w:p>
        </w:tc>
        <w:tc>
          <w:tcPr>
            <w:tcW w:type="dxa" w:w="1584"/>
          </w:tcPr>
          <w:p>
            <w:pPr>
              <w:spacing w:after="40"/>
            </w:pPr>
            <w:r>
              <w:rPr>
                <w:b w:val="0"/>
                <w:sz w:val="19"/>
              </w:rPr>
              <w:t>no quiet case</w:t>
            </w:r>
          </w:p>
        </w:tc>
      </w:tr>
    </w:tbl>
    <w:p/>
    <w:p>
      <w:r>
        <w:rPr>
          <w:b/>
        </w:rPr>
        <w:t>What these numbers show and do not show.</w:t>
      </w:r>
    </w:p>
    <w:p>
      <w:pPr>
        <w:pStyle w:val="ListBullet"/>
      </w:pPr>
      <w:r>
        <w:rPr>
          <w:b/>
        </w:rPr>
        <w:t>Descriptive counts only.</w:t>
      </w:r>
      <w:r>
        <w:rPr>
          <w:b w:val="0"/>
        </w:rPr>
        <w:t xml:space="preserve"> Each layer is one run of the protocol. The case is the unit, the three seeds are repeated trials, and no significance test is made. The suites are separate.</w:t>
      </w:r>
    </w:p>
    <w:p>
      <w:pPr>
        <w:pStyle w:val="ListBullet"/>
      </w:pPr>
      <w:r>
        <w:rPr>
          <w:b/>
        </w:rPr>
        <w:t>The fresh held-out check</w:t>
      </w:r>
      <w:r>
        <w:rPr>
          <w:b w:val="0"/>
        </w:rPr>
        <w:t xml:space="preserve"> (</w:t>
      </w:r>
      <w:r>
        <w:rPr>
          <w:rStyle w:val="InlineCode"/>
        </w:rPr>
        <w:t>wave3b_fresh_20261025T2327Z</w:t>
      </w:r>
      <w:r>
        <w:rPr>
          <w:b w:val="0"/>
        </w:rPr>
        <w:t>). Version 1.2 met the outcome in 59 of 60 runs. The one miss is P0 on C11, a late volunteer whose own report P0's frozen parser does not read, the same gap by construction as P0 on C06. P1, P2 and P3 met every run, 12/12 each on campus and 6/6 each on the pantry. No run reached the 8-call limit, all 194 model calls were answered, and the negative control C10 had no committed change in any of its 10 runs.</w:t>
      </w:r>
    </w:p>
    <w:p>
      <w:pPr>
        <w:pStyle w:val="ListBullet"/>
      </w:pPr>
      <w:r>
        <w:rPr>
          <w:b/>
        </w:rPr>
        <w:t>Small, and close to the spent cases.</w:t>
      </w:r>
      <w:r>
        <w:rPr>
          <w:b w:val="0"/>
        </w:rPr>
        <w:t xml:space="preserve"> Six cases is a small set. Its wording is close to the spent templates, and its conditions repeat spent ones (C11 repeats the C06 condition, T06 the T03 condition). So it tests new instances of known conditions, not new conditions. It is not comparable with the v1.1 counts, because the cases differ.</w:t>
      </w:r>
    </w:p>
    <w:p>
      <w:pPr>
        <w:pStyle w:val="ListBullet"/>
      </w:pPr>
      <w:r>
        <w:rPr>
          <w:b/>
        </w:rPr>
        <w:t>P2 still shows no consistent advantage.</w:t>
      </w:r>
      <w:r>
        <w:rPr>
          <w:b w:val="0"/>
        </w:rPr>
        <w:t xml:space="preserve"> P1, P2 and P3 all met every fresh run, so the fresh set cannot separate them. Model charges over both fresh suites were $2.32 for P1, $0.76 for P2 and $0.53 for P3.</w:t>
      </w:r>
    </w:p>
    <w:p>
      <w:pPr>
        <w:pStyle w:val="ListBullet"/>
      </w:pPr>
      <w:r>
        <w:rPr>
          <w:b/>
        </w:rPr>
        <w:t>The rerun on the spent cases is diagnostic, not held-out</w:t>
      </w:r>
      <w:r>
        <w:rPr>
          <w:b w:val="0"/>
        </w:rPr>
        <w:t xml:space="preserve"> (</w:t>
      </w:r>
      <w:r>
        <w:rPr>
          <w:rStyle w:val="InlineCode"/>
        </w:rPr>
        <w:t>wave3b_rerun_spent_20261025T2345Z</w:t>
      </w:r>
      <w:r>
        <w:rPr>
          <w:b w:val="0"/>
        </w:rPr>
        <w:t>). Its counts are consistent with the fixes on the failures that motivated them: the C06 misses of P2 and P3 and the T03 misses did not recur. The C07 failure of P2 (a hold made, released and made again until the call limit) and the T02 failure of P3 (an apply refused as stale, whose retry needed a model call that the limit did not leave) remain, and P1 missed T04 in two of three runs. The fixes were made after reading these cases, so the rerun cannot show that 1.2 is better.</w:t>
      </w:r>
    </w:p>
    <w:p>
      <w:pPr>
        <w:pStyle w:val="ListBullet"/>
      </w:pPr>
      <w:r>
        <w:rPr>
          <w:b/>
        </w:rPr>
        <w:t>Harness labels.</w:t>
      </w:r>
      <w:r>
        <w:rPr>
          <w:b w:val="0"/>
        </w:rPr>
        <w:t xml:space="preserve"> The rerun used a case-scoped lock written outside the repository, so its generated files (</w:t>
      </w:r>
      <w:r>
        <w:rPr>
          <w:rStyle w:val="InlineCode"/>
        </w:rPr>
        <w:t>plan.json</w:t>
      </w:r>
      <w:r>
        <w:rPr>
          <w:b w:val="0"/>
        </w:rPr>
        <w:t xml:space="preserve">, </w:t>
      </w:r>
      <w:r>
        <w:rPr>
          <w:rStyle w:val="InlineCode"/>
        </w:rPr>
        <w:t>metrics.json</w:t>
      </w:r>
      <w:r>
        <w:rPr>
          <w:b w:val="0"/>
        </w:rPr>
        <w:t xml:space="preserve"> and the report text) say held-out. Its README says in its first line that it is not a held-out result, and every table here labels it so.</w:t>
      </w:r>
    </w:p>
    <w:p>
      <w:pPr>
        <w:pStyle w:val="ListBullet"/>
      </w:pPr>
      <w:r>
        <w:rPr>
          <w:b/>
        </w:rPr>
        <w:t>Run conditions.</w:t>
      </w:r>
      <w:r>
        <w:rPr>
          <w:b w:val="0"/>
        </w:rPr>
        <w:t xml:space="preserve"> The fresh run went one episode at a time and met no rate limit. The rerun ran two at a time and waited out 61 HTTP 429 answers on 28 calls, each unbilled and using no model call. 19 rerun episodes reached the 8-call limit.</w:t>
      </w:r>
    </w:p>
    <w:p>
      <w:pPr>
        <w:pStyle w:val="ListBullet"/>
      </w:pPr>
      <w:r>
        <w:rPr>
          <w:b/>
        </w:rPr>
        <w:t>Zero executed violations</w:t>
      </w:r>
      <w:r>
        <w:rPr>
          <w:b w:val="0"/>
        </w:rPr>
        <w:t xml:space="preserve"> in all three layers. </w:t>
      </w:r>
      <w:r>
        <w:rPr>
          <w:b/>
        </w:rPr>
        <w:t>Spend:</w:t>
      </w:r>
      <w:r>
        <w:rPr>
          <w:b w:val="0"/>
        </w:rPr>
        <w:t xml:space="preserve"> the fresh run cost 3.61 USD and the rerun 8.94 USD in provider-reported model charges, and the spend ledger stood at 26.43 USD after both, under the 40 USD limit.</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in the evaluation of record, and six fresh cases for version 1.2. The case is the unit, and three runs are not three worlds. No significance is claimed.</w:t>
      </w:r>
    </w:p>
    <w:p>
      <w:pPr>
        <w:pStyle w:val="ListBullet"/>
      </w:pPr>
      <w:r>
        <w:rPr>
          <w:b/>
        </w:rPr>
        <w:t>Version 1.2 has five known limits</w:t>
      </w:r>
      <w:r>
        <w:rPr>
          <w:b w:val="0"/>
        </w:rPr>
        <w:t xml:space="preserve">, found by the audit before the freeze and left frozen: a person's delay hypothesis outlives a later check-in, the declined-menu rule holds no time (so a timed wake with the same options gets no model call), P1 notes a declined menu with the view after its turn, a stale re-send is recorded as a model choice, and a long </w:t>
      </w:r>
      <w:r>
        <w:rPr>
          <w:rStyle w:val="InlineCode"/>
        </w:rPr>
        <w:t>Retry-After</w:t>
      </w:r>
      <w:r>
        <w:rPr>
          <w:b w:val="0"/>
        </w:rPr>
        <w:t xml:space="preserve"> is cut to 20 s (</w:t>
      </w:r>
      <w:r>
        <w:rPr>
          <w:rStyle w:val="InlineCode"/>
        </w:rPr>
        <w:t>RUNTIME_CONTRACT.md</w:t>
      </w:r>
      <w:r>
        <w:rPr>
          <w:b w:val="0"/>
        </w:rPr>
        <w:t xml:space="preserve"> section 21).</w:t>
      </w:r>
    </w:p>
    <w:p>
      <w:pPr>
        <w:pStyle w:val="ListBullet"/>
      </w:pPr>
      <w:r>
        <w:rPr>
          <w:b/>
        </w:rPr>
        <w:t>The fresh held-out set</w:t>
      </w:r>
      <w:r>
        <w:rPr>
          <w:b w:val="0"/>
        </w:rPr>
        <w:t xml:space="preserve"> has four campus and two pantry cases. Its wording is close to the spent templates, its conditions repeat spent ones, and its author read the prose list of planned fixes.</w:t>
      </w:r>
    </w:p>
    <w:p>
      <w:pPr>
        <w:pStyle w:val="ListBullet"/>
      </w:pPr>
      <w:r>
        <w:rPr>
          <w:b/>
        </w:rPr>
        <w:t>The diagnostic rerun's generated files say held-out</w:t>
      </w:r>
      <w:r>
        <w:rPr>
          <w:b w:val="0"/>
        </w:rPr>
        <w:t xml:space="preserve"> because of the harness path. Its README says it is not a held-out result, and any quote of it must keep that label.</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P2 versus P0 difference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 xml:space="preserve">Repository: </w:t>
      </w:r>
      <w:hyperlink r:id="rId10">
        <w:r>
          <w:rPr>
            <w:color w:val="0563C1"/>
            <w:u w:val="single"/>
          </w:rPr>
          <w:t>https://github.com/nocdoggo/COLLIE/tree/hackathon/peeaai-plan/apps/plan_b</w:t>
        </w:r>
      </w:hyperlink>
    </w:p>
    <w:p>
      <w:r>
        <w:rPr>
          <w:b w:val="0"/>
        </w:rPr>
        <w:t>Requirements: a bash shell (tested on Linux), Python 3.11 or 3.12 with uv (tested with uv 0.9.18), and Node.js 22.18 or newer with npm. Get the code and start the board:</w:t>
      </w:r>
    </w:p>
    <w:p>
      <w:pPr>
        <w:pStyle w:val="Code"/>
      </w:pPr>
      <w:r>
        <w:t>git clone --branch hackathon/peeaai-plan https://github.com/nocdoggo/COLLIE</w:t>
      </w:r>
    </w:p>
    <w:p>
      <w:pPr>
        <w:pStyle w:val="Code"/>
      </w:pPr>
      <w:r>
        <w:t>cd 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Open http://127.0.0.1:8765 in a browser. Sign in with the moderator code in </w:t>
      </w:r>
      <w:r>
        <w:rPr>
          <w:rStyle w:val="InlineCode"/>
        </w:rPr>
        <w:t>var/moderator_code.txt</w:t>
      </w:r>
      <w:r>
        <w:rPr>
          <w:b w:val="0"/>
        </w:rPr>
        <w:t xml:space="preserve">, which the server writes on its first start.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 xml:space="preserve">. The server keeps its terminal busy, so run the next commands in a second terminal in </w:t>
      </w:r>
      <w:r>
        <w:rPr>
          <w:rStyle w:val="InlineCode"/>
        </w:rPr>
        <w:t>COLLIE/apps/plan_b</w:t>
      </w:r>
      <w:r>
        <w:rPr>
          <w:b w:val="0"/>
        </w:rPr>
        <w:t>.</w:t>
      </w:r>
    </w:p>
    <w:p>
      <w:r>
        <w:rPr>
          <w:b w:val="0"/>
        </w:rPr>
        <w:t xml:space="preserve">Deterministic development cases and the freeze check. All nine case lines should end with </w:t>
      </w:r>
      <w:r>
        <w:rPr>
          <w:rStyle w:val="InlineCode"/>
        </w:rPr>
        <w:t>matches_expectation=True</w:t>
      </w:r>
      <w:r>
        <w:rPr>
          <w:b w:val="0"/>
        </w:rPr>
        <w:t xml:space="preserve">, and the check should print </w:t>
      </w:r>
      <w:r>
        <w:rPr>
          <w:rStyle w:val="InlineCode"/>
        </w:rPr>
        <w:t>verified</w:t>
      </w:r>
      <w:r>
        <w:rPr>
          <w:b w:val="0"/>
        </w:rPr>
        <w:t xml:space="preserve"> for </w:t>
      </w:r>
      <w:r>
        <w:rPr>
          <w:rStyle w:val="InlineCode"/>
        </w:rPr>
        <w:t>freeze.json</w:t>
      </w:r>
      <w:r>
        <w:rPr>
          <w:b w:val="0"/>
        </w:rPr>
        <w:t xml:space="preserve"> and </w:t>
      </w:r>
      <w:r>
        <w:rPr>
          <w:rStyle w:val="InlineCode"/>
        </w:rPr>
        <w:t>heldout.json</w:t>
      </w:r>
      <w:r>
        <w:rPr>
          <w:b w:val="0"/>
        </w:rPr>
        <w:t>:</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R=evaluation/results/wave3_heldout_20261025T1625Z</w:t>
      </w:r>
    </w:p>
    <w:p>
      <w:pPr>
        <w:pStyle w:val="Code"/>
      </w:pPr>
      <w:r>
        <w:t>uv run plan-b eval report --results $R/campus --out /tmp/campus_report</w:t>
      </w:r>
    </w:p>
    <w:p>
      <w:pPr>
        <w:pStyle w:val="Code"/>
        <w:spacing w:after="160"/>
      </w:pPr>
      <w:r>
        <w:t>uv run plan-b eval report --results $R/pantry --out /tmp/pantry_report</w:t>
      </w:r>
    </w:p>
    <w:p>
      <w:r>
        <w:rPr>
          <w:b w:val="0"/>
        </w:rPr>
        <w:t xml:space="preserve">The demo setup, with a fresh state and verified recorded traces, on its own port. Replace </w:t>
      </w:r>
      <w:r>
        <w:rPr>
          <w:rStyle w:val="InlineCode"/>
        </w:rPr>
        <w:t>&lt;choose one&gt;</w:t>
      </w:r>
      <w:r>
        <w:rPr>
          <w:b w:val="0"/>
        </w:rPr>
        <w:t xml:space="preserve"> with any code, open http://127.0.0.1:8790 and sign in with it. The recorded runs play back with no key, for example http://127.0.0.1:8790/#/replay/live_p2-live_dev02_trace.json.</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tests behind section 12.6, from </w:t>
      </w:r>
      <w:r>
        <w:rPr>
          <w:rStyle w:val="InlineCode"/>
        </w:rPr>
        <w:t>COLLIE/apps/plan_b</w:t>
      </w:r>
      <w:r>
        <w:rPr>
          <w:b w:val="0"/>
        </w:rPr>
        <w:t xml:space="preserve"> (the browser walkthroughs are in </w:t>
      </w:r>
      <w:r>
        <w:rPr>
          <w:rStyle w:val="InlineCode"/>
        </w:rPr>
        <w:t>tests/e2e/</w:t>
      </w:r>
      <w:r>
        <w:rPr>
          <w:b w:val="0"/>
        </w:rPr>
        <w:t>):</w:t>
      </w:r>
    </w:p>
    <w:p>
      <w:pPr>
        <w:pStyle w:val="Code"/>
      </w:pPr>
      <w:r>
        <w:t>uv run pytest -q</w:t>
      </w:r>
    </w:p>
    <w:p>
      <w:pPr>
        <w:pStyle w:val="Code"/>
        <w:spacing w:after="160"/>
      </w:pPr>
      <w:r>
        <w:t>(cd web &amp;&amp; npm test)</w:t>
      </w:r>
    </w:p>
    <w:p>
      <w:r>
        <w:rPr>
          <w:b w:val="0"/>
        </w:rPr>
        <w:t xml:space="preserve">The model policies P1 to P3 make paid calls. They need an OpenAI-compatible endpoint such as OpenRouter, set in </w:t>
      </w:r>
      <w:r>
        <w:rPr>
          <w:rStyle w:val="InlineCode"/>
        </w:rPr>
        <w:t>.local/keys/model_endpoint.env</w:t>
      </w:r>
      <w:r>
        <w:rPr>
          <w:b w:val="0"/>
        </w:rPr>
        <w:t xml:space="preserve"> at the repository root (the names are in </w:t>
      </w:r>
      <w:r>
        <w:rPr>
          <w:rStyle w:val="InlineCode"/>
        </w:rPr>
        <w:t>apps/plan_b/.env.example</w:t>
      </w:r>
      <w:r>
        <w:rPr>
          <w:b w:val="0"/>
        </w:rPr>
        <w:t xml:space="preserve">), and a key file that only the server reads. Everything above runs without a key.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rPr>
          <w:cantSplit/>
          <w:tblHeader/>
        </w:trP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Segment</w:t>
            </w:r>
          </w:p>
        </w:tc>
        <w:tc>
          <w:tcPr>
            <w:tcW w:type="dxa" w:w="1584"/>
            <w:shd w:val="clear" w:color="auto" w:fill="E6EEF6"/>
          </w:tcPr>
          <w:p>
            <w:pPr>
              <w:spacing w:after="40"/>
            </w:pPr>
            <w:r>
              <w:rPr>
                <w:b/>
                <w:sz w:val="19"/>
              </w:rPr>
              <w:t>Case</w:t>
            </w:r>
          </w:p>
        </w:tc>
        <w:tc>
          <w:tcPr>
            <w:tcW w:type="dxa" w:w="3456"/>
            <w:shd w:val="clear" w:color="auto" w:fill="E6EEF6"/>
          </w:tcPr>
          <w:p>
            <w:pPr>
              <w:spacing w:after="40"/>
            </w:pPr>
            <w:r>
              <w:rPr>
                <w:b/>
                <w:sz w:val="19"/>
              </w:rPr>
              <w:t>Show</w:t>
            </w:r>
          </w:p>
        </w:tc>
      </w:tr>
      <w:tr>
        <w:trPr>
          <w:cantSplit/>
        </w:trPr>
        <w:tc>
          <w:tcPr>
            <w:tcW w:type="dxa" w:w="1584"/>
          </w:tcPr>
          <w:p>
            <w:pPr>
              <w:spacing w:after="40"/>
            </w:pPr>
            <w:r>
              <w:rPr>
                <w:b w:val="0"/>
                <w:sz w:val="19"/>
              </w:rPr>
              <w:t>0:00 to 0:37</w:t>
            </w:r>
          </w:p>
        </w:tc>
        <w:tc>
          <w:tcPr>
            <w:tcW w:type="dxa" w:w="2736"/>
          </w:tcPr>
          <w:p>
            <w:pPr>
              <w:spacing w:after="40"/>
            </w:pPr>
            <w:r>
              <w:rPr>
                <w:b w:val="0"/>
                <w:sz w:val="19"/>
              </w:rPr>
              <w:t>The problem</w:t>
            </w:r>
          </w:p>
        </w:tc>
        <w:tc>
          <w:tcPr>
            <w:tcW w:type="dxa" w:w="1584"/>
          </w:tcPr>
          <w:p>
            <w:pPr>
              <w:spacing w:after="40"/>
            </w:pPr>
            <w:r>
              <w:rPr>
                <w:b w:val="0"/>
                <w:sz w:val="19"/>
              </w:rPr>
              <w:t>dev01</w:t>
            </w:r>
          </w:p>
        </w:tc>
        <w:tc>
          <w:tcPr>
            <w:tcW w:type="dxa" w:w="3456"/>
          </w:tcPr>
          <w:p>
            <w:pPr>
              <w:spacing w:after="40"/>
            </w:pPr>
            <w:r>
              <w:rPr>
                <w:b w:val="0"/>
                <w:sz w:val="19"/>
              </w:rPr>
              <w:t>Goal, deadline, the 16:40 notice</w:t>
            </w:r>
          </w:p>
        </w:tc>
      </w:tr>
      <w:tr>
        <w:trPr>
          <w:cantSplit/>
        </w:trPr>
        <w:tc>
          <w:tcPr>
            <w:tcW w:type="dxa" w:w="1584"/>
          </w:tcPr>
          <w:p>
            <w:pPr>
              <w:spacing w:after="40"/>
            </w:pPr>
            <w:r>
              <w:rPr>
                <w:b w:val="0"/>
                <w:sz w:val="19"/>
              </w:rPr>
              <w:t>0:37 to 1:12</w:t>
            </w:r>
          </w:p>
        </w:tc>
        <w:tc>
          <w:tcPr>
            <w:tcW w:type="dxa" w:w="2736"/>
          </w:tcPr>
          <w:p>
            <w:pPr>
              <w:spacing w:after="40"/>
            </w:pPr>
            <w:r>
              <w:rPr>
                <w:b w:val="0"/>
                <w:sz w:val="19"/>
              </w:rPr>
              <w:t>Who may do what</w:t>
            </w:r>
          </w:p>
        </w:tc>
        <w:tc>
          <w:tcPr>
            <w:tcW w:type="dxa" w:w="1584"/>
          </w:tcPr>
          <w:p>
            <w:pPr>
              <w:spacing w:after="40"/>
            </w:pPr>
            <w:r>
              <w:rPr>
                <w:b w:val="0"/>
                <w:sz w:val="19"/>
              </w:rPr>
              <w:t>dev01</w:t>
            </w:r>
          </w:p>
        </w:tc>
        <w:tc>
          <w:tcPr>
            <w:tcW w:type="dxa" w:w="3456"/>
          </w:tcPr>
          <w:p>
            <w:pPr>
              <w:spacing w:after="40"/>
            </w:pPr>
            <w:r>
              <w:rPr>
                <w:b w:val="0"/>
                <w:sz w:val="19"/>
              </w:rPr>
              <w:t>The coordinator's grant</w:t>
            </w:r>
          </w:p>
        </w:tc>
      </w:tr>
      <w:tr>
        <w:trPr>
          <w:cantSplit/>
        </w:trPr>
        <w:tc>
          <w:tcPr>
            <w:tcW w:type="dxa" w:w="1584"/>
          </w:tcPr>
          <w:p>
            <w:pPr>
              <w:spacing w:after="40"/>
            </w:pPr>
            <w:r>
              <w:rPr>
                <w:b w:val="0"/>
                <w:sz w:val="19"/>
              </w:rPr>
              <w:t>1:12 to 2:35</w:t>
            </w:r>
          </w:p>
        </w:tc>
        <w:tc>
          <w:tcPr>
            <w:tcW w:type="dxa" w:w="2736"/>
          </w:tcPr>
          <w:p>
            <w:pPr>
              <w:spacing w:after="40"/>
            </w:pPr>
            <w:r>
              <w:rPr>
                <w:b w:val="0"/>
                <w:sz w:val="19"/>
              </w:rPr>
              <w:t>Verify, then commit</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rPr>
          <w:cantSplit/>
        </w:trPr>
        <w:tc>
          <w:tcPr>
            <w:tcW w:type="dxa" w:w="1584"/>
          </w:tcPr>
          <w:p>
            <w:pPr>
              <w:spacing w:after="40"/>
            </w:pPr>
            <w:r>
              <w:rPr>
                <w:b w:val="0"/>
                <w:sz w:val="19"/>
              </w:rPr>
              <w:t>2:35 to 3:25</w:t>
            </w:r>
          </w:p>
        </w:tc>
        <w:tc>
          <w:tcPr>
            <w:tcW w:type="dxa" w:w="2736"/>
          </w:tcPr>
          <w:p>
            <w:pPr>
              <w:spacing w:after="40"/>
            </w:pPr>
            <w:r>
              <w:rPr>
                <w:b w:val="0"/>
                <w:sz w:val="19"/>
              </w:rPr>
              <w:t>Four messages, zero changes</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rPr>
          <w:cantSplit/>
        </w:trPr>
        <w:tc>
          <w:tcPr>
            <w:tcW w:type="dxa" w:w="1584"/>
          </w:tcPr>
          <w:p>
            <w:pPr>
              <w:spacing w:after="40"/>
            </w:pPr>
            <w:r>
              <w:rPr>
                <w:b w:val="0"/>
                <w:sz w:val="19"/>
              </w:rPr>
              <w:t>3:25 to 4:23</w:t>
            </w:r>
          </w:p>
        </w:tc>
        <w:tc>
          <w:tcPr>
            <w:tcW w:type="dxa" w:w="2736"/>
          </w:tcPr>
          <w:p>
            <w:pPr>
              <w:spacing w:after="40"/>
            </w:pPr>
            <w:r>
              <w:rPr>
                <w:b w:val="0"/>
                <w:sz w:val="19"/>
              </w:rPr>
              <w:t>The loop and the gate</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rPr>
          <w:cantSplit/>
        </w:trPr>
        <w:tc>
          <w:tcPr>
            <w:tcW w:type="dxa" w:w="1584"/>
          </w:tcPr>
          <w:p>
            <w:pPr>
              <w:spacing w:after="40"/>
            </w:pPr>
            <w:r>
              <w:rPr>
                <w:b w:val="0"/>
                <w:sz w:val="19"/>
              </w:rPr>
              <w:t>4:23 to 5:39</w:t>
            </w:r>
          </w:p>
        </w:tc>
        <w:tc>
          <w:tcPr>
            <w:tcW w:type="dxa" w:w="2736"/>
          </w:tcPr>
          <w:p>
            <w:pPr>
              <w:spacing w:after="40"/>
            </w:pPr>
            <w:r>
              <w:rPr>
                <w:b w:val="0"/>
                <w:sz w:val="19"/>
              </w:rPr>
              <w:t>Held-out results</w:t>
            </w:r>
          </w:p>
        </w:tc>
        <w:tc>
          <w:tcPr>
            <w:tcW w:type="dxa" w:w="1584"/>
          </w:tcPr>
          <w:p>
            <w:pPr>
              <w:spacing w:after="40"/>
            </w:pPr>
            <w:r>
              <w:rPr>
                <w:b w:val="0"/>
                <w:sz w:val="19"/>
              </w:rPr>
              <w:t>results</w:t>
            </w:r>
          </w:p>
        </w:tc>
        <w:tc>
          <w:tcPr>
            <w:tcW w:type="dxa" w:w="3456"/>
          </w:tcPr>
          <w:p>
            <w:pPr>
              <w:spacing w:after="40"/>
            </w:pPr>
            <w:r>
              <w:rPr>
                <w:b w:val="0"/>
                <w:sz w:val="19"/>
              </w:rPr>
              <w:t>Counts and one failure</w:t>
            </w:r>
          </w:p>
        </w:tc>
      </w:tr>
      <w:tr>
        <w:trPr>
          <w:cantSplit/>
        </w:trPr>
        <w:tc>
          <w:tcPr>
            <w:tcW w:type="dxa" w:w="1584"/>
          </w:tcPr>
          <w:p>
            <w:pPr>
              <w:spacing w:after="40"/>
            </w:pPr>
            <w:r>
              <w:rPr>
                <w:b w:val="0"/>
                <w:sz w:val="19"/>
              </w:rPr>
              <w:t>5:39 to 6:29</w:t>
            </w:r>
          </w:p>
        </w:tc>
        <w:tc>
          <w:tcPr>
            <w:tcW w:type="dxa" w:w="2736"/>
          </w:tcPr>
          <w:p>
            <w:pPr>
              <w:spacing w:after="40"/>
            </w:pPr>
            <w:r>
              <w:rPr>
                <w:b w:val="0"/>
                <w:sz w:val="19"/>
              </w:rPr>
              <w:t>Pantry cameo</w:t>
            </w:r>
          </w:p>
        </w:tc>
        <w:tc>
          <w:tcPr>
            <w:tcW w:type="dxa" w:w="1584"/>
          </w:tcPr>
          <w:p>
            <w:pPr>
              <w:spacing w:after="40"/>
            </w:pPr>
            <w:r>
              <w:rPr>
                <w:b w:val="0"/>
                <w:sz w:val="19"/>
              </w:rPr>
              <w:t>pantry_dev01</w:t>
            </w:r>
          </w:p>
        </w:tc>
        <w:tc>
          <w:tcPr>
            <w:tcW w:type="dxa" w:w="3456"/>
          </w:tcPr>
          <w:p>
            <w:pPr>
              <w:spacing w:after="40"/>
            </w:pPr>
            <w:r>
              <w:rPr>
                <w:b w:val="0"/>
                <w:sz w:val="19"/>
              </w:rPr>
              <w:t>The two counters</w:t>
            </w:r>
          </w:p>
        </w:tc>
      </w:tr>
      <w:tr>
        <w:trPr>
          <w:cantSplit/>
        </w:trPr>
        <w:tc>
          <w:tcPr>
            <w:tcW w:type="dxa" w:w="1584"/>
          </w:tcPr>
          <w:p>
            <w:pPr>
              <w:spacing w:after="40"/>
            </w:pPr>
            <w:r>
              <w:rPr>
                <w:b w:val="0"/>
                <w:sz w:val="19"/>
              </w:rPr>
              <w:t>6:29 to 7:00</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What works, what is next</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pPr>
        <w:pStyle w:val="ListBullet"/>
      </w:pPr>
      <w:r>
        <w:rPr>
          <w:b w:val="0"/>
        </w:rPr>
        <w:t>Review the workflows with community staff, starting with one bounded tabletop session.</w:t>
      </w:r>
    </w:p>
    <w:p>
      <w:pPr>
        <w:pStyle w:val="ListBullet"/>
      </w:pPr>
      <w:r>
        <w:rPr>
          <w:b w:val="0"/>
        </w:rPr>
        <w:t>Store authorization requests as explicit state.</w:t>
      </w:r>
    </w:p>
    <w:p>
      <w:pPr>
        <w:pStyle w:val="ListBullet"/>
      </w:pPr>
      <w:r>
        <w:rPr>
          <w:b w:val="0"/>
        </w:rPr>
        <w:t>Add the optional MBTA transit context, labelled as uncertain information.</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rPr>
          <w:cantSplit/>
          <w:tblHeader/>
        </w:trP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rPr>
          <w:cantSplit/>
        </w:trP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rPr>
          <w:cantSplit/>
        </w:trP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rPr>
          <w:cantSplit/>
        </w:trP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rPr>
          <w:cantSplit/>
        </w:trP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rPr>
          <w:cantSplit/>
        </w:trP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rPr>
          <w:cantSplit/>
        </w:trP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rPr>
          <w:cantSplit/>
        </w:trP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rPr>
          <w:cantSplit/>
        </w:trP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rPr>
          <w:cantSplit/>
        </w:trPr>
        <w:tc>
          <w:tcPr>
            <w:tcW w:type="dxa" w:w="2736"/>
          </w:tcPr>
          <w:p>
            <w:pPr>
              <w:spacing w:after="40"/>
            </w:pPr>
            <w:r>
              <w:rPr>
                <w:b w:val="0"/>
                <w:sz w:val="19"/>
              </w:rPr>
              <w:t>Policy</w:t>
            </w:r>
          </w:p>
        </w:tc>
        <w:tc>
          <w:tcPr>
            <w:tcW w:type="dxa" w:w="6624"/>
          </w:tcPr>
          <w:p>
            <w:pPr>
              <w:spacing w:after="40"/>
            </w:pPr>
            <w:r>
              <w:rPr>
                <w:b w:val="0"/>
                <w:sz w:val="19"/>
              </w:rPr>
              <w:t>The rule that picks the next step: P0 to P3</w:t>
            </w:r>
          </w:p>
        </w:tc>
      </w:tr>
      <w:tr>
        <w:trPr>
          <w:cantSplit/>
        </w:trPr>
        <w:tc>
          <w:tcPr>
            <w:tcW w:type="dxa" w:w="2736"/>
          </w:tcPr>
          <w:p>
            <w:pPr>
              <w:spacing w:after="40"/>
            </w:pPr>
            <w:r>
              <w:rPr>
                <w:b w:val="0"/>
                <w:sz w:val="19"/>
              </w:rPr>
              <w:t>P0, P1, P2, P3</w:t>
            </w:r>
          </w:p>
        </w:tc>
        <w:tc>
          <w:tcPr>
            <w:tcW w:type="dxa" w:w="6624"/>
          </w:tcPr>
          <w:p>
            <w:pPr>
              <w:spacing w:after="40"/>
            </w:pPr>
            <w:r>
              <w:rPr>
                <w:b w:val="0"/>
                <w:sz w:val="19"/>
              </w:rPr>
              <w:t>Fixed rules, a model calling tools, a model picking checked options, and P2 with every check</w:t>
            </w:r>
          </w:p>
        </w:tc>
      </w:tr>
      <w:tr>
        <w:trPr>
          <w:cantSplit/>
        </w:trP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rPr>
          <w:cantSplit/>
        </w:trPr>
        <w:tc>
          <w:tcPr>
            <w:tcW w:type="dxa" w:w="2736"/>
          </w:tcPr>
          <w:p>
            <w:pPr>
              <w:spacing w:after="40"/>
            </w:pPr>
            <w:r>
              <w:rPr>
                <w:b w:val="0"/>
                <w:sz w:val="19"/>
              </w:rPr>
              <w:t>Episode</w:t>
            </w:r>
          </w:p>
        </w:tc>
        <w:tc>
          <w:tcPr>
            <w:tcW w:type="dxa" w:w="6624"/>
          </w:tcPr>
          <w:p>
            <w:pPr>
              <w:spacing w:after="40"/>
            </w:pPr>
            <w:r>
              <w:rPr>
                <w:b w:val="0"/>
                <w:sz w:val="19"/>
              </w:rPr>
              <w:t>One run of one policy on one case</w:t>
            </w:r>
          </w:p>
        </w:tc>
      </w:tr>
      <w:tr>
        <w:trPr>
          <w:cantSplit/>
        </w:trPr>
        <w:tc>
          <w:tcPr>
            <w:tcW w:type="dxa" w:w="2736"/>
          </w:tcPr>
          <w:p>
            <w:pPr>
              <w:spacing w:after="40"/>
            </w:pPr>
            <w:r>
              <w:rPr>
                <w:b w:val="0"/>
                <w:sz w:val="19"/>
              </w:rPr>
              <w:t>Wake</w:t>
            </w:r>
          </w:p>
        </w:tc>
        <w:tc>
          <w:tcPr>
            <w:tcW w:type="dxa" w:w="6624"/>
          </w:tcPr>
          <w:p>
            <w:pPr>
              <w:spacing w:after="40"/>
            </w:pPr>
            <w:r>
              <w:rPr>
                <w:b w:val="0"/>
                <w:sz w:val="19"/>
              </w:rPr>
              <w:t>A turn the runner gives the coordinator when the state changed or its wait has passed</w:t>
            </w:r>
          </w:p>
        </w:tc>
      </w:tr>
      <w:tr>
        <w:trPr>
          <w:cantSplit/>
        </w:trP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rPr>
          <w:cantSplit/>
        </w:trP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rPr>
          <w:cantSplit/>
        </w:trP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rPr>
          <w:cantSplit/>
        </w:trP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rPr>
          <w:cantSplit/>
        </w:trP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rPr>
          <w:cantSplit/>
        </w:trP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rPr>
          <w:cantSplit/>
        </w:trP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rPr>
          <w:cantSplit/>
        </w:trPr>
        <w:tc>
          <w:tcPr>
            <w:tcW w:type="dxa" w:w="2736"/>
          </w:tcPr>
          <w:p>
            <w:pPr>
              <w:spacing w:after="40"/>
            </w:pPr>
            <w:r>
              <w:rPr>
                <w:b w:val="0"/>
                <w:sz w:val="19"/>
              </w:rPr>
              <w:t>Appropriate infeasibility</w:t>
            </w:r>
          </w:p>
        </w:tc>
        <w:tc>
          <w:tcPr>
            <w:tcW w:type="dxa" w:w="6624"/>
          </w:tcPr>
          <w:p>
            <w:pPr>
              <w:spacing w:after="40"/>
            </w:pPr>
            <w:r>
              <w:rPr>
                <w:b w:val="0"/>
                <w:sz w:val="19"/>
              </w:rPr>
              <w:t>With no recovery inside the limits, the coordinator names the blocking constraints and changes nothing invalid</w:t>
            </w:r>
          </w:p>
        </w:tc>
      </w:tr>
      <w:tr>
        <w:trPr>
          <w:cantSplit/>
        </w:trPr>
        <w:tc>
          <w:tcPr>
            <w:tcW w:type="dxa" w:w="2736"/>
          </w:tcPr>
          <w:p>
            <w:pPr>
              <w:spacing w:after="40"/>
            </w:pPr>
            <w:r>
              <w:rPr>
                <w:b w:val="0"/>
                <w:sz w:val="19"/>
              </w:rPr>
              <w:t>Earliest broken stage</w:t>
            </w:r>
          </w:p>
        </w:tc>
        <w:tc>
          <w:tcPr>
            <w:tcW w:type="dxa" w:w="6624"/>
          </w:tcPr>
          <w:p>
            <w:pPr>
              <w:spacing w:after="40"/>
            </w:pPr>
            <w:r>
              <w:rPr>
                <w:b w:val="0"/>
                <w:sz w:val="19"/>
              </w:rPr>
              <w:t>Where a failed run first went wrong: interpretation, planner input, action selection or execution</w:t>
            </w:r>
          </w:p>
        </w:tc>
      </w:tr>
      <w:tr>
        <w:trPr>
          <w:cantSplit/>
        </w:trPr>
        <w:tc>
          <w:tcPr>
            <w:tcW w:type="dxa" w:w="2736"/>
          </w:tcPr>
          <w:p>
            <w:pPr>
              <w:spacing w:after="40"/>
            </w:pPr>
            <w:r>
              <w:rPr>
                <w:b w:val="0"/>
                <w:sz w:val="19"/>
              </w:rPr>
              <w:t>Attention rule</w:t>
            </w:r>
          </w:p>
        </w:tc>
        <w:tc>
          <w:tcPr>
            <w:tcW w:type="dxa" w:w="6624"/>
          </w:tcPr>
          <w:p>
            <w:pPr>
              <w:spacing w:after="40"/>
            </w:pPr>
            <w:r>
              <w:rPr>
                <w:b w:val="0"/>
                <w:sz w:val="19"/>
              </w:rPr>
              <w:t>The P2 and P3 rule that decides whether a reading is material and needs the model</w:t>
            </w:r>
          </w:p>
        </w:tc>
      </w:tr>
      <w:tr>
        <w:trPr>
          <w:cantSplit/>
        </w:trP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rPr>
          <w:cantSplit/>
        </w:trP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rPr>
          <w:cantSplit/>
        </w:trP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rPr>
          <w:cantSplit/>
          <w:tblHeader/>
        </w:trP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rPr>
          <w:cantSplit/>
        </w:trP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rPr>
          <w:cantSplit/>
        </w:trP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20</w:t>
            </w:r>
          </w:p>
        </w:tc>
      </w:tr>
      <w:tr>
        <w:trPr>
          <w:cantSplit/>
        </w:trP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rPr>
          <w:cantSplit/>
        </w:trP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rPr>
          <w:cantSplit/>
        </w:trP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P1 to P3</w:t>
            </w:r>
          </w:p>
        </w:tc>
      </w:tr>
      <w:tr>
        <w:trPr>
          <w:cantSplit/>
        </w:trP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w:t>
            </w:r>
          </w:p>
        </w:tc>
      </w:tr>
      <w:tr>
        <w:trPr>
          <w:cantSplit/>
        </w:trP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w:t>
            </w:r>
          </w:p>
        </w:tc>
      </w:tr>
      <w:tr>
        <w:trPr>
          <w:cantSplit/>
        </w:trPr>
        <w:tc>
          <w:tcPr>
            <w:tcW w:type="dxa" w:w="4320"/>
          </w:tcPr>
          <w:p>
            <w:pPr>
              <w:spacing w:after="40"/>
            </w:pPr>
            <w:r>
              <w:rPr>
                <w:rStyle w:val="InlineCode"/>
                <w:sz w:val="19"/>
              </w:rPr>
              <w:t>PEEAI_plan/submission/</w:t>
            </w:r>
          </w:p>
        </w:tc>
        <w:tc>
          <w:tcPr>
            <w:tcW w:type="dxa" w:w="5040"/>
          </w:tcPr>
          <w:p>
            <w:pPr>
              <w:spacing w:after="40"/>
            </w:pPr>
            <w:r>
              <w:rPr>
                <w:b w:val="0"/>
                <w:sz w:val="19"/>
              </w:rPr>
              <w:t>These submission items and their sources</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rPr>
          <w:cantSplit/>
          <w:tblHeader/>
        </w:trP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rPr>
          <w:cantSplit/>
        </w:trP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PEEAI_plan/handoffs/wave_2/evidence/storyboard/storyboard_report.json</w:t>
            </w:r>
          </w:p>
        </w:tc>
      </w:tr>
      <w:tr>
        <w:trPr>
          <w:cantSplit/>
        </w:trPr>
        <w:tc>
          <w:tcPr>
            <w:tcW w:type="dxa" w:w="4752"/>
          </w:tcPr>
          <w:p>
            <w:pPr>
              <w:spacing w:after="40"/>
            </w:pPr>
            <w:r>
              <w:rPr>
                <w:b w:val="0"/>
                <w:sz w:val="19"/>
              </w:rPr>
              <w:t>P2 on dev01: same check and swap, 3 model calls, $0.0366</w:t>
            </w:r>
          </w:p>
        </w:tc>
        <w:tc>
          <w:tcPr>
            <w:tcW w:type="dxa" w:w="4608"/>
          </w:tcPr>
          <w:p>
            <w:pPr>
              <w:spacing w:after="40"/>
            </w:pPr>
            <w:r>
              <w:rPr>
                <w:rStyle w:val="InlineCode"/>
                <w:sz w:val="19"/>
              </w:rPr>
              <w:t>apps/plan_b/plan_b/evaluation/development/README.md</w:t>
            </w:r>
          </w:p>
        </w:tc>
      </w:tr>
      <w:tr>
        <w:trPr>
          <w:cantSplit/>
        </w:trP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rPr>
          <w:cantSplit/>
        </w:trPr>
        <w:tc>
          <w:tcPr>
            <w:tcW w:type="dxa" w:w="4752"/>
          </w:tcPr>
          <w:p>
            <w:pPr>
              <w:spacing w:after="40"/>
            </w:pPr>
            <w:r>
              <w:rPr>
                <w:b w:val="0"/>
                <w:sz w:val="19"/>
              </w:rPr>
              <w:t>dev04 messages and verdicts</w:t>
            </w:r>
          </w:p>
        </w:tc>
        <w:tc>
          <w:tcPr>
            <w:tcW w:type="dxa" w:w="4608"/>
          </w:tcPr>
          <w:p>
            <w:pPr>
              <w:spacing w:after="40"/>
            </w:pPr>
            <w:r>
              <w:rPr>
                <w:rStyle w:val="InlineCode"/>
                <w:sz w:val="19"/>
              </w:rPr>
              <w:t>apps/plan_b/plan_b/scenarios/private/dev04.json</w:t>
            </w:r>
            <w:r>
              <w:rPr>
                <w:b w:val="0"/>
                <w:sz w:val="19"/>
              </w:rPr>
              <w:t xml:space="preserve"> (development), storyboard frame 8</w:t>
            </w:r>
          </w:p>
        </w:tc>
      </w:tr>
      <w:tr>
        <w:trPr>
          <w:cantSplit/>
        </w:trPr>
        <w:tc>
          <w:tcPr>
            <w:tcW w:type="dxa" w:w="4752"/>
          </w:tcPr>
          <w:p>
            <w:pPr>
              <w:spacing w:after="40"/>
            </w:pPr>
            <w:r>
              <w:rPr>
                <w:b w:val="0"/>
                <w:sz w:val="19"/>
              </w:rPr>
              <w:t>Pantry 24, 20, 16, 40 and the counters</w:t>
            </w:r>
          </w:p>
        </w:tc>
        <w:tc>
          <w:tcPr>
            <w:tcW w:type="dxa" w:w="4608"/>
          </w:tcPr>
          <w:p>
            <w:pPr>
              <w:spacing w:after="40"/>
            </w:pPr>
            <w:r>
              <w:rPr>
                <w:rStyle w:val="InlineCode"/>
                <w:sz w:val="19"/>
              </w:rPr>
              <w:t>PEEAI_plan/handoffs/wave_2/DEMO.md</w:t>
            </w:r>
            <w:r>
              <w:rPr>
                <w:b w:val="0"/>
                <w:sz w:val="19"/>
              </w:rPr>
              <w:t xml:space="preserve"> section 4, </w:t>
            </w:r>
            <w:r>
              <w:rPr>
                <w:rStyle w:val="InlineCode"/>
                <w:sz w:val="19"/>
              </w:rPr>
              <w:t>PEEAI_plan/handoffs/wave_2/evidence/reports/pantry_accounting.json</w:t>
            </w:r>
          </w:p>
        </w:tc>
      </w:tr>
      <w:tr>
        <w:trPr>
          <w:cantSplit/>
        </w:trP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rPr>
          <w:cantSplit/>
        </w:trP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rPr>
          <w:cantSplit/>
        </w:trP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rPr>
          <w:cantSplit/>
        </w:trPr>
        <w:tc>
          <w:tcPr>
            <w:tcW w:type="dxa" w:w="4752"/>
          </w:tcPr>
          <w:p>
            <w:pPr>
              <w:spacing w:after="40"/>
            </w:pPr>
            <w:r>
              <w:rPr>
                <w:b w:val="0"/>
                <w:sz w:val="19"/>
              </w:rPr>
              <w:t>Wave 3 test counts (section 12.6)</w:t>
            </w:r>
          </w:p>
        </w:tc>
        <w:tc>
          <w:tcPr>
            <w:tcW w:type="dxa" w:w="4608"/>
          </w:tcPr>
          <w:p>
            <w:pPr>
              <w:spacing w:after="40"/>
            </w:pPr>
            <w:r>
              <w:rPr>
                <w:rStyle w:val="InlineCode"/>
                <w:sz w:val="19"/>
              </w:rPr>
              <w:t>PEEAI_plan/handoffs/wave_3/evidence/reports/checks.json</w:t>
            </w:r>
            <w:r>
              <w:rPr>
                <w:b w:val="0"/>
                <w:sz w:val="19"/>
              </w:rPr>
              <w:t xml:space="preserve"> (clean checkout of 3442874)</w:t>
            </w:r>
          </w:p>
        </w:tc>
      </w:tr>
      <w:tr>
        <w:trPr>
          <w:cantSplit/>
        </w:trP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r>
        <w:trPr>
          <w:cantSplit/>
        </w:trPr>
        <w:tc>
          <w:tcPr>
            <w:tcW w:type="dxa" w:w="4752"/>
          </w:tcPr>
          <w:p>
            <w:pPr>
              <w:spacing w:after="40"/>
            </w:pPr>
            <w:r>
              <w:rPr>
                <w:b w:val="0"/>
                <w:sz w:val="19"/>
              </w:rPr>
              <w:t>Version 1.2 fresh held-out results (section 12.7)</w:t>
            </w:r>
          </w:p>
        </w:tc>
        <w:tc>
          <w:tcPr>
            <w:tcW w:type="dxa" w:w="4608"/>
          </w:tcPr>
          <w:p>
            <w:pPr>
              <w:spacing w:after="40"/>
            </w:pPr>
            <w:r>
              <w:rPr>
                <w:rStyle w:val="InlineCode"/>
                <w:sz w:val="19"/>
              </w:rPr>
              <w:t>apps/plan_b/evaluation/results/wave3b_fresh_20261025T2327Z/</w:t>
            </w:r>
            <w:r>
              <w:rPr>
                <w:b w:val="0"/>
                <w:sz w:val="19"/>
              </w:rPr>
              <w:t xml:space="preserve"> (commit f715dfc):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make_results.py</w:t>
            </w:r>
            <w:r>
              <w:rPr>
                <w:b w:val="0"/>
                <w:sz w:val="19"/>
              </w:rPr>
              <w:t xml:space="preserve"> into </w:t>
            </w:r>
            <w:r>
              <w:rPr>
                <w:rStyle w:val="InlineCode"/>
                <w:sz w:val="19"/>
              </w:rPr>
              <w:t>documentation/results_v12.json</w:t>
            </w:r>
          </w:p>
        </w:tc>
      </w:tr>
      <w:tr>
        <w:trPr>
          <w:cantSplit/>
        </w:trPr>
        <w:tc>
          <w:tcPr>
            <w:tcW w:type="dxa" w:w="4752"/>
          </w:tcPr>
          <w:p>
            <w:pPr>
              <w:spacing w:after="40"/>
            </w:pPr>
            <w:r>
              <w:rPr>
                <w:b w:val="0"/>
                <w:sz w:val="19"/>
              </w:rPr>
              <w:t>Version 1.2 post-hoc diagnostic rerun on spent cases, not held-out (section 12.7)</w:t>
            </w:r>
          </w:p>
        </w:tc>
        <w:tc>
          <w:tcPr>
            <w:tcW w:type="dxa" w:w="4608"/>
          </w:tcPr>
          <w:p>
            <w:pPr>
              <w:spacing w:after="40"/>
            </w:pPr>
            <w:r>
              <w:rPr>
                <w:rStyle w:val="InlineCode"/>
                <w:sz w:val="19"/>
              </w:rPr>
              <w:t>apps/plan_b/evaluation/results/wave3b_rerun_spent_20261025T2345Z/</w:t>
            </w:r>
            <w:r>
              <w:rPr>
                <w:b w:val="0"/>
                <w:sz w:val="19"/>
              </w:rPr>
              <w:t xml:space="preserve"> (commit f715dfc): the same files, and its README's first line says it is not a held-out result</w:t>
            </w:r>
          </w:p>
        </w:tc>
      </w:tr>
      <w:tr>
        <w:trPr>
          <w:cantSplit/>
        </w:trPr>
        <w:tc>
          <w:tcPr>
            <w:tcW w:type="dxa" w:w="4752"/>
          </w:tcPr>
          <w:p>
            <w:pPr>
              <w:spacing w:after="40"/>
            </w:pPr>
            <w:r>
              <w:rPr>
                <w:b w:val="0"/>
                <w:sz w:val="19"/>
              </w:rPr>
              <w:t>Version 1.2 fixes, known limits, freeze and lock</w:t>
            </w:r>
          </w:p>
        </w:tc>
        <w:tc>
          <w:tcPr>
            <w:tcW w:type="dxa" w:w="4608"/>
          </w:tcPr>
          <w:p>
            <w:pPr>
              <w:spacing w:after="40"/>
            </w:pPr>
            <w:r>
              <w:rPr>
                <w:rStyle w:val="InlineCode"/>
                <w:sz w:val="19"/>
              </w:rPr>
              <w:t>apps/plan_b/docs/RUNTIME_CONTRACT.md</w:t>
            </w:r>
            <w:r>
              <w:rPr>
                <w:b w:val="0"/>
                <w:sz w:val="19"/>
              </w:rPr>
              <w:t xml:space="preserve"> section 21, </w:t>
            </w:r>
            <w:r>
              <w:rPr>
                <w:rStyle w:val="InlineCode"/>
                <w:sz w:val="19"/>
              </w:rPr>
              <w:t>apps/plan_b/docs/EVALUATION.md</w:t>
            </w:r>
            <w:r>
              <w:rPr>
                <w:b w:val="0"/>
                <w:sz w:val="19"/>
              </w:rPr>
              <w:t xml:space="preserve">, </w:t>
            </w:r>
            <w:r>
              <w:rPr>
                <w:rStyle w:val="InlineCode"/>
                <w:sz w:val="19"/>
              </w:rPr>
              <w:t>freeze_v1_2.json</w:t>
            </w:r>
            <w:r>
              <w:rPr>
                <w:b w:val="0"/>
                <w:sz w:val="19"/>
              </w:rPr>
              <w:t xml:space="preserve"> and </w:t>
            </w:r>
            <w:r>
              <w:rPr>
                <w:rStyle w:val="InlineCode"/>
                <w:sz w:val="19"/>
              </w:rPr>
              <w:t>heldout2.json</w:t>
            </w:r>
            <w:r>
              <w:rPr>
                <w:b w:val="0"/>
                <w:sz w:val="19"/>
              </w:rPr>
              <w:t xml:space="preserve"> (commit 5955243)</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COLLIE/tree/hackathon/peeaai-plan/apps/plan_b"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2026-10-26T00:56:44Z</dcterms:created>
  <dcterms:modified xsi:type="dcterms:W3CDTF">2026-10-26T00:56:44Z</dcterms:modified>
  <cp:category/>
</cp:coreProperties>
</file>