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B8" w:rsidRDefault="003E3FB8" w:rsidP="003E3FB8">
      <w:pPr>
        <w:rPr>
          <w:rFonts w:ascii="Times New Roman" w:hAnsi="Times New Roman" w:cs="Times New Roman"/>
          <w:b/>
          <w:sz w:val="24"/>
          <w:szCs w:val="24"/>
        </w:rPr>
      </w:pPr>
      <w:r>
        <w:rPr>
          <w:rFonts w:ascii="Times New Roman" w:hAnsi="Times New Roman" w:cs="Times New Roman"/>
          <w:b/>
          <w:sz w:val="24"/>
          <w:szCs w:val="24"/>
        </w:rPr>
        <w:t xml:space="preserve">2018 Report on </w:t>
      </w:r>
      <w:r w:rsidR="00987B06">
        <w:rPr>
          <w:rFonts w:ascii="Times New Roman" w:hAnsi="Times New Roman" w:cs="Times New Roman"/>
          <w:b/>
          <w:sz w:val="24"/>
          <w:szCs w:val="24"/>
        </w:rPr>
        <w:t xml:space="preserve">N-tracking </w:t>
      </w:r>
      <w:r>
        <w:rPr>
          <w:rFonts w:ascii="Times New Roman" w:hAnsi="Times New Roman" w:cs="Times New Roman"/>
          <w:b/>
          <w:sz w:val="24"/>
          <w:szCs w:val="24"/>
        </w:rPr>
        <w:t xml:space="preserve">NREC project </w:t>
      </w:r>
      <w:r w:rsidR="00987B06" w:rsidRPr="00987B06">
        <w:rPr>
          <w:rFonts w:ascii="Times New Roman" w:hAnsi="Times New Roman" w:cs="Times New Roman"/>
          <w:b/>
          <w:sz w:val="24"/>
          <w:szCs w:val="24"/>
        </w:rPr>
        <w:t>2015-3-360422-56</w:t>
      </w:r>
      <w:r>
        <w:rPr>
          <w:rFonts w:ascii="Times New Roman" w:hAnsi="Times New Roman" w:cs="Times New Roman"/>
          <w:b/>
          <w:sz w:val="24"/>
          <w:szCs w:val="24"/>
        </w:rPr>
        <w:t>, February 2019</w:t>
      </w:r>
    </w:p>
    <w:p w:rsidR="003E3FB8" w:rsidRDefault="003E3FB8" w:rsidP="007B35A7">
      <w:pPr>
        <w:spacing w:line="360" w:lineRule="auto"/>
        <w:rPr>
          <w:rFonts w:ascii="Times New Roman" w:hAnsi="Times New Roman" w:cs="Times New Roman"/>
          <w:b/>
          <w:sz w:val="24"/>
          <w:szCs w:val="24"/>
        </w:rPr>
      </w:pPr>
      <w:r>
        <w:rPr>
          <w:rFonts w:ascii="Times New Roman" w:hAnsi="Times New Roman" w:cs="Times New Roman"/>
          <w:b/>
          <w:sz w:val="24"/>
          <w:szCs w:val="24"/>
        </w:rPr>
        <w:t>Modeling soil N</w:t>
      </w:r>
      <w:bookmarkStart w:id="0" w:name="_GoBack"/>
      <w:bookmarkEnd w:id="0"/>
    </w:p>
    <w:p w:rsidR="003E3FB8" w:rsidRPr="003E3FB8" w:rsidRDefault="003E3FB8" w:rsidP="007B35A7">
      <w:pPr>
        <w:spacing w:line="360" w:lineRule="auto"/>
        <w:rPr>
          <w:rFonts w:ascii="Times New Roman" w:hAnsi="Times New Roman" w:cs="Times New Roman"/>
          <w:sz w:val="24"/>
          <w:szCs w:val="24"/>
        </w:rPr>
      </w:pPr>
      <w:r>
        <w:rPr>
          <w:rFonts w:ascii="Times New Roman" w:hAnsi="Times New Roman" w:cs="Times New Roman"/>
          <w:sz w:val="24"/>
          <w:szCs w:val="24"/>
        </w:rPr>
        <w:t>Dr. Cameron Pittelkow, Department of Crop Sciences, University of Illinois</w:t>
      </w:r>
    </w:p>
    <w:p w:rsidR="002F7071" w:rsidRPr="002F7071" w:rsidRDefault="002F7071" w:rsidP="007B35A7">
      <w:pPr>
        <w:spacing w:line="360" w:lineRule="auto"/>
        <w:rPr>
          <w:rFonts w:ascii="Times New Roman" w:hAnsi="Times New Roman" w:cs="Times New Roman"/>
          <w:b/>
          <w:sz w:val="24"/>
          <w:szCs w:val="24"/>
        </w:rPr>
      </w:pPr>
      <w:r w:rsidRPr="002F7071">
        <w:rPr>
          <w:rFonts w:ascii="Times New Roman" w:hAnsi="Times New Roman" w:cs="Times New Roman"/>
          <w:b/>
          <w:sz w:val="24"/>
          <w:szCs w:val="24"/>
        </w:rPr>
        <w:t>Summary</w:t>
      </w:r>
    </w:p>
    <w:p w:rsidR="002F7071" w:rsidRDefault="002F7071" w:rsidP="002F7071">
      <w:pPr>
        <w:spacing w:line="360" w:lineRule="auto"/>
        <w:ind w:firstLine="720"/>
        <w:rPr>
          <w:rFonts w:ascii="Times New Roman" w:hAnsi="Times New Roman" w:cs="Times New Roman"/>
          <w:sz w:val="24"/>
          <w:szCs w:val="24"/>
        </w:rPr>
      </w:pPr>
      <w:r w:rsidRPr="002F7071">
        <w:rPr>
          <w:rFonts w:ascii="Times New Roman" w:hAnsi="Times New Roman" w:cs="Times New Roman"/>
          <w:sz w:val="24"/>
          <w:szCs w:val="24"/>
        </w:rPr>
        <w:t>With a long-term vision of developing a model-based N management tool in Illinois, the objectives of this</w:t>
      </w:r>
      <w:r>
        <w:rPr>
          <w:rFonts w:ascii="Times New Roman" w:hAnsi="Times New Roman" w:cs="Times New Roman"/>
          <w:sz w:val="24"/>
          <w:szCs w:val="24"/>
        </w:rPr>
        <w:t xml:space="preserve"> portion of the project </w:t>
      </w:r>
      <w:r w:rsidRPr="002F7071">
        <w:rPr>
          <w:rFonts w:ascii="Times New Roman" w:hAnsi="Times New Roman" w:cs="Times New Roman"/>
          <w:sz w:val="24"/>
          <w:szCs w:val="24"/>
        </w:rPr>
        <w:t xml:space="preserve">were to 1) calibrate a well-established publicly available crop model (Decision Support System for </w:t>
      </w:r>
      <w:proofErr w:type="spellStart"/>
      <w:r w:rsidRPr="002F7071">
        <w:rPr>
          <w:rFonts w:ascii="Times New Roman" w:hAnsi="Times New Roman" w:cs="Times New Roman"/>
          <w:sz w:val="24"/>
          <w:szCs w:val="24"/>
        </w:rPr>
        <w:t>Agrotechnology</w:t>
      </w:r>
      <w:proofErr w:type="spellEnd"/>
      <w:r w:rsidRPr="002F7071">
        <w:rPr>
          <w:rFonts w:ascii="Times New Roman" w:hAnsi="Times New Roman" w:cs="Times New Roman"/>
          <w:sz w:val="24"/>
          <w:szCs w:val="24"/>
        </w:rPr>
        <w:t xml:space="preserve"> Transfer: DSSAT) using soil N concentration data from three experimental sites in Illinois during 2015–2016; 2) evaluate DSSAT model performance against three independent field experiments and an additional dataset consisting of soil N concentration for 49 commercial maize fields; and 3) assess the model’s ability to predict the impacts of rainfall variability on the decrease in soil N concentration early in the maize growing season. </w:t>
      </w:r>
    </w:p>
    <w:p w:rsidR="002F7071" w:rsidRPr="007B35A7" w:rsidRDefault="002F7071" w:rsidP="002F7071">
      <w:pPr>
        <w:spacing w:line="360" w:lineRule="auto"/>
        <w:ind w:firstLine="720"/>
        <w:rPr>
          <w:rFonts w:ascii="Times New Roman" w:hAnsi="Times New Roman" w:cs="Times New Roman"/>
          <w:sz w:val="24"/>
          <w:szCs w:val="24"/>
        </w:rPr>
      </w:pPr>
      <w:r>
        <w:rPr>
          <w:rFonts w:ascii="Times New Roman" w:hAnsi="Times New Roman" w:cs="Times New Roman"/>
          <w:sz w:val="24"/>
          <w:szCs w:val="24"/>
        </w:rPr>
        <w:t>Overall, the m</w:t>
      </w:r>
      <w:r w:rsidRPr="007B35A7">
        <w:rPr>
          <w:rFonts w:ascii="Times New Roman" w:hAnsi="Times New Roman" w:cs="Times New Roman"/>
          <w:sz w:val="24"/>
          <w:szCs w:val="24"/>
        </w:rPr>
        <w:t>odel performance was determined to be “fair” in predicting soil N concentration in response to fertilizer management, weather patterns, and soil types. The DSSAT model was able to estimate SOM mineralization and the resulting increase in soil N concentration in April and May in the control treatments. At two experimental sites with fall N application, DSSAT accurately predicted soil N difference between the 224-Fall and 224-Spring treatments at maize planting (range of 5.9–11.2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likely owing to greater loss of fall-applied N from the 0–60 cm soil depth. Predictions also captured the decline in soil N concentration after maize planting due to active crop N uptake and spring environmental losses across the 224-Fall and 224-Spring treatments (the decrease in soil N concentration by mid-June was 12.9–38.1% and 1.0–55.7% for the observed and predicted values, respectively, during 2015–2017). </w:t>
      </w:r>
      <w:r>
        <w:rPr>
          <w:rFonts w:ascii="Times New Roman" w:hAnsi="Times New Roman" w:cs="Times New Roman"/>
          <w:sz w:val="24"/>
          <w:szCs w:val="24"/>
        </w:rPr>
        <w:t>The m</w:t>
      </w:r>
      <w:r w:rsidRPr="007B35A7">
        <w:rPr>
          <w:rFonts w:ascii="Times New Roman" w:hAnsi="Times New Roman" w:cs="Times New Roman"/>
          <w:sz w:val="24"/>
          <w:szCs w:val="24"/>
        </w:rPr>
        <w:t>odel performed well against observations from 49 commercial fields (R</w:t>
      </w:r>
      <w:r w:rsidRPr="007B35A7">
        <w:rPr>
          <w:rFonts w:ascii="Times New Roman" w:hAnsi="Times New Roman" w:cs="Times New Roman"/>
          <w:sz w:val="24"/>
          <w:szCs w:val="24"/>
          <w:vertAlign w:val="superscript"/>
        </w:rPr>
        <w:t>2</w:t>
      </w:r>
      <w:r w:rsidRPr="007B35A7">
        <w:rPr>
          <w:rFonts w:ascii="Times New Roman" w:hAnsi="Times New Roman" w:cs="Times New Roman"/>
          <w:sz w:val="24"/>
          <w:szCs w:val="24"/>
        </w:rPr>
        <w:t xml:space="preserve"> ranging from 0.69–0.88 a</w:t>
      </w:r>
      <w:r>
        <w:rPr>
          <w:rFonts w:ascii="Times New Roman" w:hAnsi="Times New Roman" w:cs="Times New Roman"/>
          <w:sz w:val="24"/>
          <w:szCs w:val="24"/>
        </w:rPr>
        <w:t>cross four rainfall categories</w:t>
      </w:r>
      <w:r w:rsidR="00104BB6">
        <w:rPr>
          <w:rFonts w:ascii="Times New Roman" w:hAnsi="Times New Roman" w:cs="Times New Roman"/>
          <w:sz w:val="24"/>
          <w:szCs w:val="24"/>
        </w:rPr>
        <w:t>). These</w:t>
      </w:r>
      <w:r>
        <w:rPr>
          <w:rFonts w:ascii="Times New Roman" w:hAnsi="Times New Roman" w:cs="Times New Roman"/>
          <w:sz w:val="24"/>
          <w:szCs w:val="24"/>
        </w:rPr>
        <w:t xml:space="preserve"> results suggest</w:t>
      </w:r>
      <w:r w:rsidRPr="007B35A7">
        <w:rPr>
          <w:rFonts w:ascii="Times New Roman" w:hAnsi="Times New Roman" w:cs="Times New Roman"/>
          <w:sz w:val="24"/>
          <w:szCs w:val="24"/>
        </w:rPr>
        <w:t xml:space="preserve"> that DSSAT has the potential to predict soil N concentration across fertilizer management, weather patterns, and soil types in Illinois maize production systems with reasonable accuracy, thereby providing an additional source of information to farmers interested in making in-season N management decisions.    </w:t>
      </w:r>
    </w:p>
    <w:p w:rsidR="002F7071" w:rsidRPr="002F7071" w:rsidRDefault="002F7071" w:rsidP="002F7071">
      <w:pPr>
        <w:spacing w:line="360" w:lineRule="auto"/>
        <w:rPr>
          <w:rFonts w:ascii="Times New Roman" w:hAnsi="Times New Roman" w:cs="Times New Roman"/>
          <w:b/>
          <w:sz w:val="24"/>
          <w:szCs w:val="24"/>
        </w:rPr>
      </w:pPr>
      <w:r w:rsidRPr="002F7071">
        <w:rPr>
          <w:rFonts w:ascii="Times New Roman" w:hAnsi="Times New Roman" w:cs="Times New Roman"/>
          <w:b/>
          <w:sz w:val="24"/>
          <w:szCs w:val="24"/>
        </w:rPr>
        <w:t>Methods</w:t>
      </w:r>
    </w:p>
    <w:p w:rsidR="007B35A7" w:rsidRPr="007B35A7" w:rsidRDefault="007B35A7" w:rsidP="00104BB6">
      <w:pPr>
        <w:spacing w:line="360" w:lineRule="auto"/>
        <w:ind w:firstLine="360"/>
        <w:rPr>
          <w:rFonts w:ascii="Times New Roman" w:hAnsi="Times New Roman" w:cs="Times New Roman"/>
          <w:sz w:val="24"/>
          <w:szCs w:val="24"/>
        </w:rPr>
      </w:pPr>
      <w:r w:rsidRPr="007B35A7">
        <w:rPr>
          <w:rFonts w:ascii="Times New Roman" w:hAnsi="Times New Roman" w:cs="Times New Roman"/>
          <w:sz w:val="24"/>
          <w:szCs w:val="24"/>
        </w:rPr>
        <w:lastRenderedPageBreak/>
        <w:t>To perform DSSAT simulations, four primary datasets are required including soil profile information, daily weather parameters, soil initial conditions, and crop management information. Weather parameters such as daily solar radiation, maximum air temperature, minimum air temperature, rainfall amount, pan evaporation, and relative humidity were obtained from 19 weather stations in the Illinois Climate Network. We used data from the most proximate weather station in order to generate input files for DSSAT simulations at a particular field.</w:t>
      </w:r>
    </w:p>
    <w:p w:rsidR="007B35A7" w:rsidRDefault="007B35A7" w:rsidP="007B35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w:t>
      </w:r>
      <w:r w:rsidRPr="007B35A7">
        <w:rPr>
          <w:rFonts w:ascii="Times New Roman" w:hAnsi="Times New Roman" w:cs="Times New Roman"/>
          <w:sz w:val="24"/>
          <w:szCs w:val="24"/>
        </w:rPr>
        <w:t>e used the Gridded Soil Survey Geographic data (</w:t>
      </w:r>
      <w:proofErr w:type="spellStart"/>
      <w:r w:rsidRPr="007B35A7">
        <w:rPr>
          <w:rFonts w:ascii="Times New Roman" w:hAnsi="Times New Roman" w:cs="Times New Roman"/>
          <w:sz w:val="24"/>
          <w:szCs w:val="24"/>
        </w:rPr>
        <w:t>gSSURGO</w:t>
      </w:r>
      <w:proofErr w:type="spellEnd"/>
      <w:r w:rsidRPr="007B35A7">
        <w:rPr>
          <w:rFonts w:ascii="Times New Roman" w:hAnsi="Times New Roman" w:cs="Times New Roman"/>
          <w:sz w:val="24"/>
          <w:szCs w:val="24"/>
        </w:rPr>
        <w:t>) dataset to obtain soil parameters such as texture, bulk density, soil organic C (SOC), albedo, drainage constants, and runoff curve number</w:t>
      </w:r>
      <w:r>
        <w:rPr>
          <w:rFonts w:ascii="Times New Roman" w:hAnsi="Times New Roman" w:cs="Times New Roman"/>
          <w:sz w:val="24"/>
          <w:szCs w:val="24"/>
        </w:rPr>
        <w:t>.</w:t>
      </w:r>
      <w:r w:rsidRPr="007B35A7">
        <w:rPr>
          <w:rFonts w:ascii="Times New Roman" w:hAnsi="Times New Roman" w:cs="Times New Roman"/>
          <w:sz w:val="24"/>
          <w:szCs w:val="24"/>
        </w:rPr>
        <w:t xml:space="preserve"> SOM pools are determined based on the SOC, bulk density, and the thickness of soil layers</w:t>
      </w:r>
      <w:r>
        <w:rPr>
          <w:rFonts w:ascii="Times New Roman" w:hAnsi="Times New Roman" w:cs="Times New Roman"/>
          <w:sz w:val="24"/>
          <w:szCs w:val="24"/>
        </w:rPr>
        <w:t>. E</w:t>
      </w:r>
      <w:r w:rsidRPr="007B35A7">
        <w:rPr>
          <w:rFonts w:ascii="Times New Roman" w:hAnsi="Times New Roman" w:cs="Times New Roman"/>
          <w:sz w:val="24"/>
          <w:szCs w:val="24"/>
        </w:rPr>
        <w:t>ach year, soil initial conditions (soil ammonium and nitrate concentration) were defined based on data from six field experiments designed to track soil N status in Illinois. When entering crop management information at all sites, it was assumed that dry seed was planted at 4 cm depth in rows with a plant population of 8 plants m</w:t>
      </w:r>
      <w:r w:rsidRPr="007B35A7">
        <w:rPr>
          <w:rFonts w:ascii="Times New Roman" w:hAnsi="Times New Roman" w:cs="Times New Roman"/>
          <w:sz w:val="24"/>
          <w:szCs w:val="24"/>
          <w:vertAlign w:val="superscript"/>
        </w:rPr>
        <w:t>-2</w:t>
      </w:r>
      <w:r w:rsidRPr="007B35A7">
        <w:rPr>
          <w:rFonts w:ascii="Times New Roman" w:hAnsi="Times New Roman" w:cs="Times New Roman"/>
          <w:sz w:val="24"/>
          <w:szCs w:val="24"/>
        </w:rPr>
        <w:t xml:space="preserve"> at seeding. For model calibration, input data for fertilizer source, amount, time, and method of application were set similar to the individual field trials described below. </w:t>
      </w:r>
    </w:p>
    <w:p w:rsidR="007B35A7" w:rsidRPr="007B35A7" w:rsidRDefault="007B35A7" w:rsidP="007B35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w:t>
      </w:r>
      <w:r w:rsidRPr="007B35A7">
        <w:rPr>
          <w:rFonts w:ascii="Times New Roman" w:hAnsi="Times New Roman" w:cs="Times New Roman"/>
          <w:sz w:val="24"/>
          <w:szCs w:val="24"/>
        </w:rPr>
        <w:t xml:space="preserve">e </w:t>
      </w:r>
      <w:r>
        <w:rPr>
          <w:rFonts w:ascii="Times New Roman" w:hAnsi="Times New Roman" w:cs="Times New Roman"/>
          <w:sz w:val="24"/>
          <w:szCs w:val="24"/>
        </w:rPr>
        <w:t>used</w:t>
      </w:r>
      <w:r w:rsidRPr="007B35A7">
        <w:rPr>
          <w:rFonts w:ascii="Times New Roman" w:hAnsi="Times New Roman" w:cs="Times New Roman"/>
          <w:sz w:val="24"/>
          <w:szCs w:val="24"/>
        </w:rPr>
        <w:t xml:space="preserve"> soil N concentration in the maize growing season from six field experiments during 2015–2017 for DSSAT calibration and validation procedures. The DSSAT calibration process typically involves improvements in the six genotype coefficients (P1, P2, P5, G2, G3, and PHINT), which primarily reduce differences between observed and modeled crop phenology stages and maize grain yield. Using the </w:t>
      </w:r>
      <w:proofErr w:type="spellStart"/>
      <w:r w:rsidRPr="007B35A7">
        <w:rPr>
          <w:rFonts w:ascii="Times New Roman" w:hAnsi="Times New Roman" w:cs="Times New Roman"/>
          <w:sz w:val="24"/>
          <w:szCs w:val="24"/>
        </w:rPr>
        <w:t>phenological</w:t>
      </w:r>
      <w:proofErr w:type="spellEnd"/>
      <w:r w:rsidRPr="007B35A7">
        <w:rPr>
          <w:rFonts w:ascii="Times New Roman" w:hAnsi="Times New Roman" w:cs="Times New Roman"/>
          <w:sz w:val="24"/>
          <w:szCs w:val="24"/>
        </w:rPr>
        <w:t xml:space="preserve"> stages and maize grain yield in response to different fertilizer treatments, we calibrated six genotype coefficients</w:t>
      </w:r>
      <w:r w:rsidRPr="007B35A7">
        <w:rPr>
          <w:rFonts w:ascii="Times New Roman" w:hAnsi="Times New Roman" w:cs="Times New Roman"/>
          <w:sz w:val="24"/>
          <w:szCs w:val="24"/>
        </w:rPr>
        <w:fldChar w:fldCharType="begin"/>
      </w:r>
      <w:r w:rsidRPr="007B35A7">
        <w:rPr>
          <w:rFonts w:ascii="Times New Roman" w:hAnsi="Times New Roman" w:cs="Times New Roman"/>
          <w:sz w:val="24"/>
          <w:szCs w:val="24"/>
        </w:rPr>
        <w:instrText xml:space="preserve"> ADDIN EN.CITE &lt;EndNote&gt;&lt;Cite Hidden="1"&gt;&lt;Author&gt;Banger&lt;/Author&gt;&lt;Year&gt;2017&lt;/Year&gt;&lt;RecNum&gt;4049&lt;/RecNum&gt;&lt;record&gt;&lt;rec-number&gt;4049&lt;/rec-number&gt;&lt;foreign-keys&gt;&lt;key app="EN" db-id="25svxpa2tswap2e5w9hp5v5j0r2resvafd9p" timestamp="1502130597"&gt;4049&lt;/key&gt;&lt;/foreign-keys&gt;&lt;ref-type name="Journal Article"&gt;17&lt;/ref-type&gt;&lt;contributors&gt;&lt;authors&gt;&lt;author&gt;Kamaljit Banger&lt;/author&gt;&lt;author&gt;Emerson D. Nafziger&lt;/author&gt;&lt;author&gt;Junming Wang&lt;/author&gt;&lt;author&gt;Cameron M. Pittelkow&lt;/author&gt;&lt;author&gt;Umar Muhammad&lt;/author&gt;&lt;/authors&gt;&lt;/contributors&gt;&lt;titles&gt;&lt;title&gt;Simulating nitrogen management impacts on maize production in the U.S. Midwest&lt;/title&gt;&lt;secondary-title&gt;PLOSOne &lt;/secondary-title&gt;&lt;/titles&gt;&lt;periodical&gt;&lt;full-title&gt;PLOSOne&lt;/full-title&gt;&lt;/periodical&gt;&lt;dates&gt;&lt;year&gt;2017&lt;/year&gt;&lt;/dates&gt;&lt;urls&gt;&lt;/urls&gt;&lt;/record&gt;&lt;/Cite&gt;&lt;/EndNote&gt;</w:instrText>
      </w:r>
      <w:r w:rsidRPr="007B35A7">
        <w:rPr>
          <w:rFonts w:ascii="Times New Roman" w:hAnsi="Times New Roman" w:cs="Times New Roman"/>
          <w:sz w:val="24"/>
          <w:szCs w:val="24"/>
        </w:rPr>
        <w:fldChar w:fldCharType="end"/>
      </w:r>
      <w:r w:rsidRPr="007B35A7">
        <w:rPr>
          <w:rFonts w:ascii="Times New Roman" w:hAnsi="Times New Roman" w:cs="Times New Roman"/>
          <w:sz w:val="24"/>
          <w:szCs w:val="24"/>
        </w:rPr>
        <w:t>. However, we found that although adjustments in crop genotype parameters improved yield, they had minimal impact on soil N concentration. Hence, our calibration process focused on improving soil N concentration by adjusting SOM decomposition parameters. Initial steps in our calibration process indicated that soil N concentration was most sensitive to SOC and soil drainage rates (SLDR). For example, with the original SOM decomposition parameters, predicted soil N concentration was extremely low in most cases</w:t>
      </w:r>
      <w:r>
        <w:rPr>
          <w:rFonts w:ascii="Times New Roman" w:hAnsi="Times New Roman" w:cs="Times New Roman"/>
          <w:sz w:val="24"/>
          <w:szCs w:val="24"/>
        </w:rPr>
        <w:t xml:space="preserve">, </w:t>
      </w:r>
      <w:r w:rsidRPr="007B35A7">
        <w:rPr>
          <w:rFonts w:ascii="Times New Roman" w:hAnsi="Times New Roman" w:cs="Times New Roman"/>
          <w:sz w:val="24"/>
          <w:szCs w:val="24"/>
        </w:rPr>
        <w:t xml:space="preserve">especially where SOC was &lt;1% and soil drainage was “well drained”. Thus, we developed eight sets of SOM decomposition parameters in the model calibration process based on combinations of SOC content and SLDR values. </w:t>
      </w:r>
    </w:p>
    <w:p w:rsidR="00104BB6" w:rsidRDefault="007B35A7" w:rsidP="007B35A7">
      <w:pPr>
        <w:spacing w:after="0" w:line="360" w:lineRule="auto"/>
        <w:ind w:firstLine="360"/>
        <w:jc w:val="both"/>
        <w:rPr>
          <w:rFonts w:ascii="Times New Roman" w:hAnsi="Times New Roman" w:cs="Times New Roman"/>
          <w:sz w:val="24"/>
          <w:szCs w:val="24"/>
        </w:rPr>
      </w:pPr>
      <w:r w:rsidRPr="007B35A7">
        <w:rPr>
          <w:rFonts w:ascii="Times New Roman" w:hAnsi="Times New Roman" w:cs="Times New Roman"/>
          <w:sz w:val="24"/>
          <w:szCs w:val="24"/>
        </w:rPr>
        <w:t xml:space="preserve">We used a two-step strategy for evaluating DSSAT performance in predicting soil N concentration in the maize growing season. In the first step, three independent field experiments </w:t>
      </w:r>
      <w:r w:rsidRPr="007B35A7">
        <w:rPr>
          <w:rFonts w:ascii="Times New Roman" w:hAnsi="Times New Roman" w:cs="Times New Roman"/>
          <w:sz w:val="24"/>
          <w:szCs w:val="24"/>
        </w:rPr>
        <w:lastRenderedPageBreak/>
        <w:t xml:space="preserve">(DeKalb, Urbana, and Brownstown/Neoga) with soil N concentration determined at the same interval as the calibration experiments (approximately 10-14 days after spring N application) during 2015–2017 were used. The second step utilized an additional dataset consisting of soil N concentration observations from 49 commercial maize fields in Illinois obtained under the ‘N-Watch’ program in 2015 and 2016. </w:t>
      </w:r>
      <w:r>
        <w:rPr>
          <w:rFonts w:ascii="Times New Roman" w:hAnsi="Times New Roman" w:cs="Times New Roman"/>
          <w:sz w:val="24"/>
          <w:szCs w:val="24"/>
        </w:rPr>
        <w:t>W</w:t>
      </w:r>
      <w:r w:rsidRPr="007B35A7">
        <w:rPr>
          <w:rFonts w:ascii="Times New Roman" w:hAnsi="Times New Roman" w:cs="Times New Roman"/>
          <w:sz w:val="24"/>
          <w:szCs w:val="24"/>
        </w:rPr>
        <w:t>e select</w:t>
      </w:r>
      <w:r>
        <w:rPr>
          <w:rFonts w:ascii="Times New Roman" w:hAnsi="Times New Roman" w:cs="Times New Roman"/>
          <w:sz w:val="24"/>
          <w:szCs w:val="24"/>
        </w:rPr>
        <w:t xml:space="preserve">ed </w:t>
      </w:r>
      <w:r w:rsidRPr="007B35A7">
        <w:rPr>
          <w:rFonts w:ascii="Times New Roman" w:hAnsi="Times New Roman" w:cs="Times New Roman"/>
          <w:sz w:val="24"/>
          <w:szCs w:val="24"/>
        </w:rPr>
        <w:t xml:space="preserve">fields that met the following criteria: 1) soil samples were obtained at least three times in a single season including the previous fall; 2) information on N fertilizer amount, form, and application time was provided by the farmer, and; 3) manure or other organic matter additions were applied to fields. </w:t>
      </w:r>
    </w:p>
    <w:p w:rsidR="007B35A7" w:rsidRPr="007B35A7" w:rsidRDefault="007B35A7" w:rsidP="007B35A7">
      <w:pPr>
        <w:spacing w:after="0" w:line="360" w:lineRule="auto"/>
        <w:ind w:firstLine="360"/>
        <w:jc w:val="both"/>
        <w:rPr>
          <w:rFonts w:ascii="Times New Roman" w:hAnsi="Times New Roman" w:cs="Times New Roman"/>
          <w:sz w:val="24"/>
          <w:szCs w:val="24"/>
        </w:rPr>
      </w:pPr>
      <w:r w:rsidRPr="007B35A7">
        <w:rPr>
          <w:rFonts w:ascii="Times New Roman" w:hAnsi="Times New Roman" w:cs="Times New Roman"/>
          <w:sz w:val="24"/>
          <w:szCs w:val="24"/>
        </w:rPr>
        <w:t>As maize planting dates were not provided in the N-Watch dataset, we estimated maize planting dates based on weekly USDA National Agricultural Statistics Service Illinois crop progress an</w:t>
      </w:r>
      <w:r>
        <w:rPr>
          <w:rFonts w:ascii="Times New Roman" w:hAnsi="Times New Roman" w:cs="Times New Roman"/>
          <w:sz w:val="24"/>
          <w:szCs w:val="24"/>
        </w:rPr>
        <w:t xml:space="preserve">d condition reports. </w:t>
      </w:r>
      <w:r w:rsidRPr="007B35A7">
        <w:rPr>
          <w:rFonts w:ascii="Times New Roman" w:hAnsi="Times New Roman" w:cs="Times New Roman"/>
          <w:sz w:val="24"/>
          <w:szCs w:val="24"/>
        </w:rPr>
        <w:t xml:space="preserve">For each field, maize planting dates were set to the date when 50% of the area in a crop reporting district was planted. In contrast, N fertilizer amount, form, and application times for each field were set according to information provided by the farmer. For each field, we used </w:t>
      </w:r>
      <w:proofErr w:type="spellStart"/>
      <w:r w:rsidRPr="007B35A7">
        <w:rPr>
          <w:rFonts w:ascii="Times New Roman" w:hAnsi="Times New Roman" w:cs="Times New Roman"/>
          <w:sz w:val="24"/>
          <w:szCs w:val="24"/>
        </w:rPr>
        <w:t>gSSURGO</w:t>
      </w:r>
      <w:proofErr w:type="spellEnd"/>
      <w:r w:rsidRPr="007B35A7">
        <w:rPr>
          <w:rFonts w:ascii="Times New Roman" w:hAnsi="Times New Roman" w:cs="Times New Roman"/>
          <w:sz w:val="24"/>
          <w:szCs w:val="24"/>
        </w:rPr>
        <w:t xml:space="preserve"> to obtain soil information, while weather parameters were obtained from the closest weather stations under the Illinois Climate Network. To evaluate model performance across rainfall gradients in Illinois, sites were grouped into categories based on the cumulative rainfall amounts during January through July each year: 1) 500–600 mm; 2) 600–700 mm; 3) 700</w:t>
      </w:r>
      <w:r w:rsidRPr="007B35A7">
        <w:rPr>
          <w:rFonts w:ascii="Times New Roman" w:hAnsi="Times New Roman" w:cs="Times New Roman"/>
          <w:sz w:val="24"/>
          <w:szCs w:val="24"/>
        </w:rPr>
        <w:softHyphen/>
        <w:t>–800 mm; and 4) &gt; 800 mm, which typically occurred in 35%, 20%, 25%, and 20% times during 2011–2016.</w:t>
      </w:r>
    </w:p>
    <w:p w:rsidR="007B35A7" w:rsidRPr="007B35A7" w:rsidRDefault="007B35A7" w:rsidP="007B35A7">
      <w:pPr>
        <w:spacing w:after="0" w:line="360" w:lineRule="auto"/>
        <w:ind w:firstLine="360"/>
        <w:jc w:val="both"/>
        <w:rPr>
          <w:rFonts w:ascii="Times New Roman" w:hAnsi="Times New Roman" w:cs="Times New Roman"/>
          <w:sz w:val="24"/>
          <w:szCs w:val="24"/>
        </w:rPr>
      </w:pPr>
      <w:r w:rsidRPr="007B35A7">
        <w:rPr>
          <w:rFonts w:ascii="Times New Roman" w:hAnsi="Times New Roman" w:cs="Times New Roman"/>
          <w:sz w:val="24"/>
          <w:szCs w:val="24"/>
        </w:rPr>
        <w:t>To evaluate model performance, four indicators of model fit were calculated including coefficient of determination (r</w:t>
      </w:r>
      <w:r w:rsidRPr="007B35A7">
        <w:rPr>
          <w:rFonts w:ascii="Times New Roman" w:hAnsi="Times New Roman" w:cs="Times New Roman"/>
          <w:sz w:val="24"/>
          <w:szCs w:val="24"/>
          <w:vertAlign w:val="superscript"/>
        </w:rPr>
        <w:t>2</w:t>
      </w:r>
      <w:r w:rsidRPr="007B35A7">
        <w:rPr>
          <w:rFonts w:ascii="Times New Roman" w:hAnsi="Times New Roman" w:cs="Times New Roman"/>
          <w:sz w:val="24"/>
          <w:szCs w:val="24"/>
        </w:rPr>
        <w:t>), normalized Root Mean Square Error (</w:t>
      </w:r>
      <w:proofErr w:type="spellStart"/>
      <w:r w:rsidRPr="007B35A7">
        <w:rPr>
          <w:rFonts w:ascii="Times New Roman" w:hAnsi="Times New Roman" w:cs="Times New Roman"/>
          <w:sz w:val="24"/>
          <w:szCs w:val="24"/>
        </w:rPr>
        <w:t>nRMSE</w:t>
      </w:r>
      <w:proofErr w:type="spellEnd"/>
      <w:r w:rsidRPr="007B35A7">
        <w:rPr>
          <w:rFonts w:ascii="Times New Roman" w:hAnsi="Times New Roman" w:cs="Times New Roman"/>
          <w:sz w:val="24"/>
          <w:szCs w:val="24"/>
        </w:rPr>
        <w:t xml:space="preserve">), coefficient of residual mass (CRM), and index of agreement (D-index). </w:t>
      </w:r>
      <w:proofErr w:type="spellStart"/>
      <w:proofErr w:type="gramStart"/>
      <w:r w:rsidRPr="007B35A7">
        <w:rPr>
          <w:rFonts w:ascii="Times New Roman" w:hAnsi="Times New Roman" w:cs="Times New Roman"/>
          <w:sz w:val="24"/>
          <w:szCs w:val="24"/>
        </w:rPr>
        <w:t>nRMSE</w:t>
      </w:r>
      <w:proofErr w:type="spellEnd"/>
      <w:proofErr w:type="gramEnd"/>
      <w:r w:rsidRPr="007B35A7">
        <w:rPr>
          <w:rFonts w:ascii="Times New Roman" w:hAnsi="Times New Roman" w:cs="Times New Roman"/>
          <w:sz w:val="24"/>
          <w:szCs w:val="24"/>
        </w:rPr>
        <w:t xml:space="preserve"> quantifies the relative difference between model simulations (</w:t>
      </w:r>
      <w:proofErr w:type="spellStart"/>
      <w:r w:rsidRPr="007B35A7">
        <w:rPr>
          <w:rFonts w:ascii="Times New Roman" w:hAnsi="Times New Roman" w:cs="Times New Roman"/>
          <w:sz w:val="24"/>
          <w:szCs w:val="24"/>
        </w:rPr>
        <w:t>E</w:t>
      </w:r>
      <w:r w:rsidRPr="007B35A7">
        <w:rPr>
          <w:rFonts w:ascii="Times New Roman" w:hAnsi="Times New Roman" w:cs="Times New Roman"/>
          <w:i/>
          <w:sz w:val="24"/>
          <w:szCs w:val="24"/>
        </w:rPr>
        <w:t>i</w:t>
      </w:r>
      <w:proofErr w:type="spellEnd"/>
      <w:r w:rsidRPr="007B35A7">
        <w:rPr>
          <w:rFonts w:ascii="Times New Roman" w:hAnsi="Times New Roman" w:cs="Times New Roman"/>
          <w:sz w:val="24"/>
          <w:szCs w:val="24"/>
        </w:rPr>
        <w:t>) and field observations (</w:t>
      </w:r>
      <w:proofErr w:type="spellStart"/>
      <w:r w:rsidRPr="007B35A7">
        <w:rPr>
          <w:rFonts w:ascii="Times New Roman" w:hAnsi="Times New Roman" w:cs="Times New Roman"/>
          <w:sz w:val="24"/>
          <w:szCs w:val="24"/>
        </w:rPr>
        <w:t>M</w:t>
      </w:r>
      <w:r w:rsidRPr="007B35A7">
        <w:rPr>
          <w:rFonts w:ascii="Times New Roman" w:hAnsi="Times New Roman" w:cs="Times New Roman"/>
          <w:i/>
          <w:sz w:val="24"/>
          <w:szCs w:val="24"/>
        </w:rPr>
        <w:t>i</w:t>
      </w:r>
      <w:proofErr w:type="spellEnd"/>
      <w:r w:rsidRPr="007B35A7">
        <w:rPr>
          <w:rFonts w:ascii="Times New Roman" w:hAnsi="Times New Roman" w:cs="Times New Roman"/>
          <w:sz w:val="24"/>
          <w:szCs w:val="24"/>
        </w:rPr>
        <w:t xml:space="preserve">). In general, model performance is considered as ‘excellent’ when </w:t>
      </w:r>
      <w:proofErr w:type="spellStart"/>
      <w:r w:rsidRPr="007B35A7">
        <w:rPr>
          <w:rFonts w:ascii="Times New Roman" w:hAnsi="Times New Roman" w:cs="Times New Roman"/>
          <w:sz w:val="24"/>
          <w:szCs w:val="24"/>
        </w:rPr>
        <w:t>nRMSE</w:t>
      </w:r>
      <w:proofErr w:type="spellEnd"/>
      <w:r w:rsidRPr="007B35A7">
        <w:rPr>
          <w:rFonts w:ascii="Times New Roman" w:hAnsi="Times New Roman" w:cs="Times New Roman"/>
          <w:sz w:val="24"/>
          <w:szCs w:val="24"/>
        </w:rPr>
        <w:t xml:space="preserve"> is less than 10%, ‘good’ when </w:t>
      </w:r>
      <w:proofErr w:type="spellStart"/>
      <w:r w:rsidRPr="007B35A7">
        <w:rPr>
          <w:rFonts w:ascii="Times New Roman" w:hAnsi="Times New Roman" w:cs="Times New Roman"/>
          <w:sz w:val="24"/>
          <w:szCs w:val="24"/>
        </w:rPr>
        <w:t>nRMSE</w:t>
      </w:r>
      <w:proofErr w:type="spellEnd"/>
      <w:r w:rsidRPr="007B35A7">
        <w:rPr>
          <w:rFonts w:ascii="Times New Roman" w:hAnsi="Times New Roman" w:cs="Times New Roman"/>
          <w:sz w:val="24"/>
          <w:szCs w:val="24"/>
        </w:rPr>
        <w:t xml:space="preserve"> is between 10– 20%, ‘fair’ when </w:t>
      </w:r>
      <w:proofErr w:type="spellStart"/>
      <w:r w:rsidRPr="007B35A7">
        <w:rPr>
          <w:rFonts w:ascii="Times New Roman" w:hAnsi="Times New Roman" w:cs="Times New Roman"/>
          <w:sz w:val="24"/>
          <w:szCs w:val="24"/>
        </w:rPr>
        <w:t>nRMSE</w:t>
      </w:r>
      <w:proofErr w:type="spellEnd"/>
      <w:r w:rsidRPr="007B35A7">
        <w:rPr>
          <w:rFonts w:ascii="Times New Roman" w:hAnsi="Times New Roman" w:cs="Times New Roman"/>
          <w:sz w:val="24"/>
          <w:szCs w:val="24"/>
        </w:rPr>
        <w:t xml:space="preserve"> is greater than 20– 30%, and ‘poor’ when </w:t>
      </w:r>
      <w:proofErr w:type="spellStart"/>
      <w:r w:rsidRPr="007B35A7">
        <w:rPr>
          <w:rFonts w:ascii="Times New Roman" w:hAnsi="Times New Roman" w:cs="Times New Roman"/>
          <w:sz w:val="24"/>
          <w:szCs w:val="24"/>
        </w:rPr>
        <w:t>nRMSE</w:t>
      </w:r>
      <w:proofErr w:type="spellEnd"/>
      <w:r w:rsidRPr="007B35A7">
        <w:rPr>
          <w:rFonts w:ascii="Times New Roman" w:hAnsi="Times New Roman" w:cs="Times New Roman"/>
          <w:sz w:val="24"/>
          <w:szCs w:val="24"/>
        </w:rPr>
        <w:t xml:space="preserve"> is greater than 30%.</w:t>
      </w:r>
    </w:p>
    <w:p w:rsidR="007B35A7" w:rsidRPr="007B35A7" w:rsidRDefault="007B35A7" w:rsidP="007B35A7">
      <w:pPr>
        <w:spacing w:after="0" w:line="360" w:lineRule="auto"/>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 xml:space="preserve">nRMSE= </m:t>
          </m:r>
          <m:rad>
            <m:radPr>
              <m:degHide m:val="1"/>
              <m:ctrlPr>
                <w:rPr>
                  <w:rFonts w:ascii="Cambria Math" w:hAnsi="Cambria Math" w:cs="Times New Roman"/>
                  <w:sz w:val="24"/>
                  <w:szCs w:val="24"/>
                </w:rPr>
              </m:ctrlPr>
            </m:radPr>
            <m:deg/>
            <m:e>
              <m:nary>
                <m:naryPr>
                  <m:chr m:val="∑"/>
                  <m:limLoc m:val="undOvr"/>
                  <m:subHide m:val="1"/>
                  <m:supHide m:val="1"/>
                  <m:ctrlPr>
                    <w:rPr>
                      <w:rFonts w:ascii="Cambria Math" w:hAnsi="Cambria Math" w:cs="Times New Roman"/>
                      <w:sz w:val="24"/>
                      <w:szCs w:val="24"/>
                    </w:rPr>
                  </m:ctrlPr>
                </m:naryPr>
                <m:sub/>
                <m:sup/>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(Ei -Mi)</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n</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100</m:t>
                      </m:r>
                    </m:num>
                    <m:den>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den>
                  </m:f>
                </m:e>
              </m:nary>
            </m:e>
          </m:rad>
        </m:oMath>
      </m:oMathPara>
    </w:p>
    <w:p w:rsidR="007B35A7" w:rsidRPr="007B35A7" w:rsidRDefault="007B35A7" w:rsidP="007B35A7">
      <w:pPr>
        <w:spacing w:after="0" w:line="360" w:lineRule="auto"/>
        <w:ind w:firstLine="360"/>
        <w:jc w:val="both"/>
        <w:rPr>
          <w:rFonts w:ascii="Times New Roman" w:eastAsiaTheme="minorEastAsia" w:hAnsi="Times New Roman" w:cs="Times New Roman"/>
          <w:sz w:val="24"/>
          <w:szCs w:val="24"/>
        </w:rPr>
      </w:pPr>
      <w:r w:rsidRPr="007B35A7">
        <w:rPr>
          <w:rFonts w:ascii="Times New Roman" w:hAnsi="Times New Roman" w:cs="Times New Roman"/>
          <w:sz w:val="24"/>
          <w:szCs w:val="24"/>
        </w:rPr>
        <w:t>The CRM index is used to determine if the model is over- or underestimating the observed data</w:t>
      </w:r>
      <w:r w:rsidRPr="007B35A7">
        <w:rPr>
          <w:rFonts w:ascii="Times New Roman" w:hAnsi="Times New Roman" w:cs="Times New Roman"/>
          <w:sz w:val="24"/>
          <w:szCs w:val="24"/>
        </w:rPr>
        <w:fldChar w:fldCharType="begin">
          <w:fldData xml:space="preserve">PEVuZE5vdGU+PENpdGU+PEF1dGhvcj5Mb2FndWU8L0F1dGhvcj48WWVhcj4xOTkxPC9ZZWFyPjxS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</w:fldData>
        </w:fldChar>
      </w:r>
      <w:r w:rsidRPr="007B35A7">
        <w:rPr>
          <w:rFonts w:ascii="Times New Roman" w:hAnsi="Times New Roman" w:cs="Times New Roman"/>
          <w:sz w:val="24"/>
          <w:szCs w:val="24"/>
        </w:rPr>
        <w:instrText xml:space="preserve"> ADDIN EN.CITE </w:instrText>
      </w:r>
      <w:r w:rsidRPr="007B35A7">
        <w:rPr>
          <w:rFonts w:ascii="Times New Roman" w:hAnsi="Times New Roman" w:cs="Times New Roman"/>
          <w:sz w:val="24"/>
          <w:szCs w:val="24"/>
        </w:rPr>
        <w:fldChar w:fldCharType="begin">
          <w:fldData xml:space="preserve">PEVuZE5vdGU+PENpdGU+PEF1dGhvcj5Mb2FndWU8L0F1dGhvcj48WWVhcj4xOTkxPC9ZZWFyPjxS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</w:fldData>
        </w:fldChar>
      </w:r>
      <w:r w:rsidRPr="007B35A7">
        <w:rPr>
          <w:rFonts w:ascii="Times New Roman" w:hAnsi="Times New Roman" w:cs="Times New Roman"/>
          <w:sz w:val="24"/>
          <w:szCs w:val="24"/>
        </w:rPr>
        <w:instrText xml:space="preserve"> ADDIN EN.CITE.DATA </w:instrText>
      </w:r>
      <w:r w:rsidRPr="007B35A7">
        <w:rPr>
          <w:rFonts w:ascii="Times New Roman" w:hAnsi="Times New Roman" w:cs="Times New Roman"/>
          <w:sz w:val="24"/>
          <w:szCs w:val="24"/>
        </w:rPr>
      </w:r>
      <w:r w:rsidRPr="007B35A7">
        <w:rPr>
          <w:rFonts w:ascii="Times New Roman" w:hAnsi="Times New Roman" w:cs="Times New Roman"/>
          <w:sz w:val="24"/>
          <w:szCs w:val="24"/>
        </w:rPr>
        <w:fldChar w:fldCharType="end"/>
      </w:r>
      <w:r w:rsidRPr="007B35A7">
        <w:rPr>
          <w:rFonts w:ascii="Times New Roman" w:hAnsi="Times New Roman" w:cs="Times New Roman"/>
          <w:sz w:val="24"/>
          <w:szCs w:val="24"/>
        </w:rPr>
      </w:r>
      <w:r w:rsidRPr="007B35A7">
        <w:rPr>
          <w:rFonts w:ascii="Times New Roman" w:hAnsi="Times New Roman" w:cs="Times New Roman"/>
          <w:sz w:val="24"/>
          <w:szCs w:val="24"/>
        </w:rPr>
        <w:fldChar w:fldCharType="end"/>
      </w:r>
      <w:r w:rsidRPr="007B35A7">
        <w:rPr>
          <w:rFonts w:ascii="Times New Roman" w:hAnsi="Times New Roman" w:cs="Times New Roman"/>
          <w:sz w:val="24"/>
          <w:szCs w:val="24"/>
        </w:rPr>
        <w:t>. A negative CRM value indicates a tendency of the model to overestimate, while a positive CRM value indicates a tendency of the model to underestimate the observed data.</w:t>
      </w:r>
    </w:p>
    <w:p w:rsidR="007B35A7" w:rsidRPr="007B35A7" w:rsidRDefault="007B35A7" w:rsidP="007B35A7">
      <w:pPr>
        <w:spacing w:after="0" w:line="360" w:lineRule="auto"/>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w:lastRenderedPageBreak/>
            <m:t xml:space="preserve">CRM=1 -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i=n</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Ei</m:t>
                  </m:r>
                </m:e>
              </m:nary>
            </m:num>
            <m:den>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Mi</m:t>
                  </m:r>
                </m:e>
              </m:nary>
            </m:den>
          </m:f>
        </m:oMath>
      </m:oMathPara>
    </w:p>
    <w:p w:rsidR="007B35A7" w:rsidRPr="007B35A7" w:rsidRDefault="007B35A7" w:rsidP="007B35A7">
      <w:pPr>
        <w:spacing w:after="0" w:line="360" w:lineRule="auto"/>
        <w:ind w:firstLine="360"/>
        <w:jc w:val="both"/>
        <w:rPr>
          <w:rFonts w:ascii="Times New Roman" w:hAnsi="Times New Roman" w:cs="Times New Roman"/>
          <w:sz w:val="24"/>
          <w:szCs w:val="24"/>
        </w:rPr>
      </w:pPr>
      <w:r w:rsidRPr="007B35A7">
        <w:rPr>
          <w:rFonts w:ascii="Times New Roman" w:hAnsi="Times New Roman" w:cs="Times New Roman"/>
          <w:sz w:val="24"/>
          <w:szCs w:val="24"/>
        </w:rPr>
        <w:t xml:space="preserve">The D-index reflects the degree to which the observed variation is accurately estimated by the simulated variation. D value ranges from 0 to 1 with 0 indicates no agreement while the D value of 1 indicates that model perfectly captures the dispersion in the data. In general, D-index value of less than 0.50 suggest greater diversity and inconsistency in model predictions compared to simulated values. </w:t>
      </w:r>
    </w:p>
    <w:p w:rsidR="007B35A7" w:rsidRPr="007B35A7" w:rsidRDefault="007B35A7" w:rsidP="007B35A7">
      <w:pPr>
        <w:spacing w:after="0" w:line="36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D-index =1-</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sSup>
                    <m:sSupPr>
                      <m:ctrlPr>
                        <w:rPr>
                          <w:rFonts w:ascii="Cambria Math" w:hAnsi="Cambria Math" w:cs="Times New Roman"/>
                          <w:sz w:val="24"/>
                          <w:szCs w:val="24"/>
                        </w:rPr>
                      </m:ctrlPr>
                    </m:sSupPr>
                    <m:e>
                      <m:r>
                        <m:rPr>
                          <m:sty m:val="p"/>
                        </m:rPr>
                        <w:rPr>
                          <w:rFonts w:ascii="Cambria Math" w:hAnsi="Cambria Math" w:cs="Times New Roman"/>
                          <w:sz w:val="24"/>
                          <w:szCs w:val="24"/>
                        </w:rPr>
                        <m:t>(Mi-Ei)</m:t>
                      </m:r>
                    </m:e>
                    <m:sup>
                      <m:r>
                        <m:rPr>
                          <m:sty m:val="p"/>
                        </m:rPr>
                        <w:rPr>
                          <w:rFonts w:ascii="Cambria Math" w:hAnsi="Cambria Math" w:cs="Times New Roman"/>
                          <w:sz w:val="24"/>
                          <w:szCs w:val="24"/>
                        </w:rPr>
                        <m:t>2</m:t>
                      </m:r>
                    </m:sup>
                  </m:sSup>
                </m:e>
              </m:nary>
            </m:num>
            <m:den>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sSup>
                    <m:sSupPr>
                      <m:ctrlPr>
                        <w:rPr>
                          <w:rFonts w:ascii="Cambria Math" w:hAnsi="Cambria Math" w:cs="Times New Roman"/>
                          <w:sz w:val="24"/>
                          <w:szCs w:val="24"/>
                        </w:rPr>
                      </m:ctrlPr>
                    </m:sSupPr>
                    <m:e>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Ei-</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Mi-</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e>
                      </m:d>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nary>
            </m:den>
          </m:f>
        </m:oMath>
      </m:oMathPara>
    </w:p>
    <w:p w:rsidR="00104BB6" w:rsidRDefault="00104BB6" w:rsidP="007B35A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Results and Discussion </w:t>
      </w:r>
    </w:p>
    <w:p w:rsidR="007B35A7" w:rsidRPr="00104BB6" w:rsidRDefault="00104BB6" w:rsidP="007B35A7">
      <w:pPr>
        <w:spacing w:after="0" w:line="360" w:lineRule="auto"/>
        <w:rPr>
          <w:rFonts w:ascii="Times New Roman" w:hAnsi="Times New Roman" w:cs="Times New Roman"/>
          <w:i/>
          <w:sz w:val="24"/>
          <w:szCs w:val="24"/>
        </w:rPr>
      </w:pPr>
      <w:r w:rsidRPr="00104BB6">
        <w:rPr>
          <w:rFonts w:ascii="Times New Roman" w:hAnsi="Times New Roman" w:cs="Times New Roman"/>
          <w:i/>
          <w:sz w:val="24"/>
          <w:szCs w:val="24"/>
        </w:rPr>
        <w:t>M</w:t>
      </w:r>
      <w:r w:rsidR="007B35A7" w:rsidRPr="00104BB6">
        <w:rPr>
          <w:rFonts w:ascii="Times New Roman" w:hAnsi="Times New Roman" w:cs="Times New Roman"/>
          <w:i/>
          <w:sz w:val="24"/>
          <w:szCs w:val="24"/>
        </w:rPr>
        <w:t xml:space="preserve">odel performance and SOM mineralization </w:t>
      </w:r>
    </w:p>
    <w:p w:rsidR="007B35A7" w:rsidRDefault="007B35A7" w:rsidP="009F28AC">
      <w:pPr>
        <w:spacing w:after="0" w:line="360" w:lineRule="auto"/>
        <w:ind w:firstLine="360"/>
        <w:rPr>
          <w:rFonts w:ascii="Times New Roman" w:hAnsi="Times New Roman" w:cs="Times New Roman"/>
          <w:sz w:val="24"/>
          <w:szCs w:val="24"/>
        </w:rPr>
      </w:pPr>
      <w:r w:rsidRPr="007B35A7">
        <w:rPr>
          <w:rFonts w:ascii="Times New Roman" w:hAnsi="Times New Roman" w:cs="Times New Roman"/>
          <w:sz w:val="24"/>
          <w:szCs w:val="24"/>
        </w:rPr>
        <w:t>Across the three field experiments used for model validation (DeKalb, Urbana, and Brownstown/Neoga), soil N concentration ranged from 1.8–42.4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at 0</w:t>
      </w:r>
      <w:r w:rsidRPr="007B35A7">
        <w:rPr>
          <w:rFonts w:ascii="Times New Roman" w:hAnsi="Times New Roman" w:cs="Times New Roman"/>
          <w:sz w:val="24"/>
          <w:szCs w:val="24"/>
        </w:rPr>
        <w:softHyphen/>
        <w:t xml:space="preserve">–60 cm (Fig. 1 and 2). Overall, with an </w:t>
      </w:r>
      <w:proofErr w:type="spellStart"/>
      <w:r w:rsidRPr="007B35A7">
        <w:rPr>
          <w:rFonts w:ascii="Times New Roman" w:hAnsi="Times New Roman" w:cs="Times New Roman"/>
          <w:sz w:val="24"/>
          <w:szCs w:val="24"/>
        </w:rPr>
        <w:t>nRMSE</w:t>
      </w:r>
      <w:proofErr w:type="spellEnd"/>
      <w:r w:rsidRPr="007B35A7">
        <w:rPr>
          <w:rFonts w:ascii="Times New Roman" w:hAnsi="Times New Roman" w:cs="Times New Roman"/>
          <w:sz w:val="24"/>
          <w:szCs w:val="24"/>
        </w:rPr>
        <w:t xml:space="preserve"> value of 25.7%, DSSAT performance was considered to be “fair” in predicting the effect of N fertilizer treatments on soil N concentrat</w:t>
      </w:r>
      <w:r w:rsidR="009F28AC">
        <w:rPr>
          <w:rFonts w:ascii="Times New Roman" w:hAnsi="Times New Roman" w:cs="Times New Roman"/>
          <w:sz w:val="24"/>
          <w:szCs w:val="24"/>
        </w:rPr>
        <w:t>ion in the maize growing season</w:t>
      </w:r>
      <w:r w:rsidRPr="007B35A7">
        <w:rPr>
          <w:rFonts w:ascii="Times New Roman" w:hAnsi="Times New Roman" w:cs="Times New Roman"/>
          <w:sz w:val="24"/>
          <w:szCs w:val="24"/>
        </w:rPr>
        <w:t xml:space="preserve">. A CRM index value of –0.036 indicated that the model slightly overestimated soil N concentration as compared to field data from these three experiments. A D-index value 0.88 suggested that predicted variation is close to the observed variation in soil N concentration. </w:t>
      </w:r>
    </w:p>
    <w:p w:rsidR="009F28AC" w:rsidRDefault="009F28AC" w:rsidP="007B35A7">
      <w:pPr>
        <w:spacing w:after="0" w:line="360" w:lineRule="auto"/>
        <w:ind w:firstLine="360"/>
        <w:jc w:val="both"/>
        <w:rPr>
          <w:rFonts w:ascii="Times New Roman" w:hAnsi="Times New Roman" w:cs="Times New Roman"/>
          <w:sz w:val="24"/>
          <w:szCs w:val="24"/>
        </w:rPr>
      </w:pPr>
    </w:p>
    <w:p w:rsidR="009F28AC" w:rsidRDefault="009F28AC" w:rsidP="009F28AC">
      <w:pPr>
        <w:tabs>
          <w:tab w:val="center" w:pos="4680"/>
        </w:tabs>
        <w:spacing w:after="0" w:line="240" w:lineRule="auto"/>
        <w:jc w:val="center"/>
        <w:rPr>
          <w:rFonts w:ascii="Times New Roman" w:hAnsi="Times New Roman" w:cs="Times New Roman"/>
          <w:sz w:val="20"/>
          <w:szCs w:val="20"/>
        </w:rPr>
      </w:pPr>
      <w:r>
        <w:rPr>
          <w:rFonts w:ascii="Times New Roman" w:hAnsi="Times New Roman" w:cs="Times New Roman"/>
          <w:noProof/>
          <w:sz w:val="24"/>
          <w:szCs w:val="24"/>
        </w:rPr>
        <w:lastRenderedPageBreak/>
        <w:drawing>
          <wp:inline distT="0" distB="0" distL="0" distR="0" wp14:anchorId="5489F5C7" wp14:editId="4BA6B60C">
            <wp:extent cx="5212080" cy="3468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2080" cy="3468220"/>
                    </a:xfrm>
                    <a:prstGeom prst="rect">
                      <a:avLst/>
                    </a:prstGeom>
                    <a:noFill/>
                  </pic:spPr>
                </pic:pic>
              </a:graphicData>
            </a:graphic>
          </wp:inline>
        </w:drawing>
      </w:r>
    </w:p>
    <w:p w:rsidR="009F28AC" w:rsidRPr="009F28AC" w:rsidRDefault="009F28AC" w:rsidP="009F28AC">
      <w:pPr>
        <w:tabs>
          <w:tab w:val="center" w:pos="4680"/>
        </w:tabs>
        <w:spacing w:after="0" w:line="360" w:lineRule="auto"/>
        <w:rPr>
          <w:rFonts w:ascii="Times New Roman" w:hAnsi="Times New Roman" w:cs="Times New Roman"/>
          <w:sz w:val="20"/>
          <w:szCs w:val="20"/>
        </w:rPr>
      </w:pPr>
      <w:r w:rsidRPr="009F28AC">
        <w:rPr>
          <w:rFonts w:ascii="Times New Roman" w:hAnsi="Times New Roman" w:cs="Times New Roman"/>
          <w:b/>
          <w:sz w:val="20"/>
          <w:szCs w:val="20"/>
        </w:rPr>
        <w:t>Fig. 1.</w:t>
      </w:r>
      <w:r w:rsidRPr="009F28AC">
        <w:rPr>
          <w:rFonts w:ascii="Times New Roman" w:hAnsi="Times New Roman" w:cs="Times New Roman"/>
          <w:sz w:val="20"/>
          <w:szCs w:val="20"/>
        </w:rPr>
        <w:t xml:space="preserve"> Comparison of observed and DSSAT simulated soil N concentration (mg N kg soil</w:t>
      </w:r>
      <w:r w:rsidRPr="009F28AC">
        <w:rPr>
          <w:rFonts w:ascii="Times New Roman" w:hAnsi="Times New Roman" w:cs="Times New Roman"/>
          <w:sz w:val="20"/>
          <w:szCs w:val="20"/>
          <w:vertAlign w:val="superscript"/>
        </w:rPr>
        <w:t>-1</w:t>
      </w:r>
      <w:r w:rsidRPr="009F28AC">
        <w:rPr>
          <w:rFonts w:ascii="Times New Roman" w:hAnsi="Times New Roman" w:cs="Times New Roman"/>
          <w:sz w:val="20"/>
          <w:szCs w:val="20"/>
        </w:rPr>
        <w:t>) at 0–60 cm in the control treatment for three field experiments (DeKalb, Urbana, Brownstown/Neoga) during 2015–2017.</w:t>
      </w:r>
    </w:p>
    <w:p w:rsidR="009F28AC" w:rsidRDefault="009F28AC" w:rsidP="009F28AC">
      <w:pPr>
        <w:tabs>
          <w:tab w:val="center" w:pos="4680"/>
        </w:tabs>
        <w:spacing w:after="0" w:line="240" w:lineRule="auto"/>
        <w:jc w:val="center"/>
        <w:rPr>
          <w:rFonts w:ascii="Times New Roman" w:hAnsi="Times New Roman" w:cs="Times New Roman"/>
          <w:sz w:val="24"/>
          <w:szCs w:val="24"/>
        </w:rPr>
      </w:pPr>
    </w:p>
    <w:p w:rsidR="009F28AC" w:rsidRPr="007B35A7" w:rsidRDefault="009F28AC" w:rsidP="007B35A7">
      <w:pPr>
        <w:spacing w:after="0" w:line="360" w:lineRule="auto"/>
        <w:ind w:firstLine="360"/>
        <w:jc w:val="both"/>
        <w:rPr>
          <w:rFonts w:ascii="Times New Roman" w:hAnsi="Times New Roman" w:cs="Times New Roman"/>
          <w:sz w:val="24"/>
          <w:szCs w:val="24"/>
        </w:rPr>
      </w:pPr>
    </w:p>
    <w:p w:rsidR="002F7071" w:rsidRDefault="007B35A7" w:rsidP="009F28AC">
      <w:pPr>
        <w:spacing w:after="0" w:line="360" w:lineRule="auto"/>
        <w:ind w:firstLine="360"/>
        <w:rPr>
          <w:rFonts w:ascii="Times New Roman" w:hAnsi="Times New Roman" w:cs="Times New Roman"/>
          <w:sz w:val="24"/>
          <w:szCs w:val="24"/>
        </w:rPr>
      </w:pPr>
      <w:r w:rsidRPr="007B35A7">
        <w:rPr>
          <w:rFonts w:ascii="Times New Roman" w:hAnsi="Times New Roman" w:cs="Times New Roman"/>
          <w:sz w:val="24"/>
          <w:szCs w:val="24"/>
        </w:rPr>
        <w:t>The ability to estimate SOM mineralization is a key step in improving fertilizer N use efficiency due to its large contribution to inorganic soil N pools and crop N uptake. In the control treatment, soil N concentration ranged from 2.6 to 22.5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which showed a slight increase in April and May due to increased SOM mineralization associated with warm, wet weather (Fig. 1). DSSAT accurately predicted that soil N concentration for control plots was 100% greater in Urbana (&gt; 20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than Brownstown (&lt; 10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during April and May 2015, while no such difference was found in 2016. At the Urbana experimental site, soil N concentration at the time of maize planting was two-fold greater in 2015 than 2016, likely because high rainfall events in 2016 caused substantial N losses from the 0–60 cm soil depth. Based on our simulations, predicted net SOM mineralization in the maize growing season ranged between 66.3–193.1, 57.2–224.5, and 63.5–201.5 kg N ha</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across the three experimental sites in 2015, 2016, and 2017, respectively. </w:t>
      </w:r>
    </w:p>
    <w:p w:rsidR="00A63D75" w:rsidRDefault="00A63D75" w:rsidP="00A63D75">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9770AF" wp14:editId="75CAB938">
            <wp:extent cx="5486400" cy="34321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432133"/>
                    </a:xfrm>
                    <a:prstGeom prst="rect">
                      <a:avLst/>
                    </a:prstGeom>
                    <a:noFill/>
                  </pic:spPr>
                </pic:pic>
              </a:graphicData>
            </a:graphic>
          </wp:inline>
        </w:drawing>
      </w:r>
    </w:p>
    <w:p w:rsidR="00A63D75" w:rsidRDefault="00A63D75" w:rsidP="00A63D75">
      <w:pPr>
        <w:tabs>
          <w:tab w:val="center" w:pos="4680"/>
        </w:tabs>
        <w:spacing w:line="360" w:lineRule="auto"/>
        <w:rPr>
          <w:rFonts w:ascii="Times New Roman" w:hAnsi="Times New Roman" w:cs="Times New Roman"/>
          <w:sz w:val="20"/>
          <w:szCs w:val="20"/>
        </w:rPr>
      </w:pPr>
      <w:r w:rsidRPr="009F28AC">
        <w:rPr>
          <w:rFonts w:ascii="Times New Roman" w:hAnsi="Times New Roman" w:cs="Times New Roman"/>
          <w:b/>
          <w:noProof/>
          <w:sz w:val="20"/>
          <w:szCs w:val="20"/>
        </w:rPr>
        <w:t>Fig. 2.</w:t>
      </w:r>
      <w:r w:rsidRPr="009F28AC">
        <w:rPr>
          <w:rFonts w:ascii="Times New Roman" w:hAnsi="Times New Roman" w:cs="Times New Roman"/>
          <w:noProof/>
          <w:sz w:val="20"/>
          <w:szCs w:val="20"/>
        </w:rPr>
        <w:t xml:space="preserve"> </w:t>
      </w:r>
      <w:r w:rsidRPr="009F28AC">
        <w:rPr>
          <w:rFonts w:ascii="Times New Roman" w:hAnsi="Times New Roman" w:cs="Times New Roman"/>
          <w:sz w:val="20"/>
          <w:szCs w:val="20"/>
        </w:rPr>
        <w:t>Comparison of observed and DSSAT simulated soil N concentration (mg N kg soil</w:t>
      </w:r>
      <w:r w:rsidRPr="009F28AC">
        <w:rPr>
          <w:rFonts w:ascii="Times New Roman" w:hAnsi="Times New Roman" w:cs="Times New Roman"/>
          <w:sz w:val="20"/>
          <w:szCs w:val="20"/>
          <w:vertAlign w:val="superscript"/>
        </w:rPr>
        <w:t>-1</w:t>
      </w:r>
      <w:r w:rsidRPr="009F28AC">
        <w:rPr>
          <w:rFonts w:ascii="Times New Roman" w:hAnsi="Times New Roman" w:cs="Times New Roman"/>
          <w:sz w:val="20"/>
          <w:szCs w:val="20"/>
        </w:rPr>
        <w:t>) at 0–60 cm for four (DeKalb and Urbana) or two (Brownstown/Neoga) N fertilizer management treatments during 2015–2017. 224-Fall (224 kg N ha</w:t>
      </w:r>
      <w:r w:rsidRPr="009F28AC">
        <w:rPr>
          <w:rFonts w:ascii="Times New Roman" w:hAnsi="Times New Roman" w:cs="Times New Roman"/>
          <w:sz w:val="20"/>
          <w:szCs w:val="20"/>
          <w:vertAlign w:val="superscript"/>
        </w:rPr>
        <w:t xml:space="preserve">-1 </w:t>
      </w:r>
      <w:r w:rsidRPr="009F28AC">
        <w:rPr>
          <w:rFonts w:ascii="Times New Roman" w:hAnsi="Times New Roman" w:cs="Times New Roman"/>
          <w:sz w:val="20"/>
          <w:szCs w:val="20"/>
        </w:rPr>
        <w:t>applied as anhydrous ammonia in fall); 224-Spring (224 kg N ha</w:t>
      </w:r>
      <w:r w:rsidRPr="009F28AC">
        <w:rPr>
          <w:rFonts w:ascii="Times New Roman" w:hAnsi="Times New Roman" w:cs="Times New Roman"/>
          <w:sz w:val="20"/>
          <w:szCs w:val="20"/>
          <w:vertAlign w:val="superscript"/>
        </w:rPr>
        <w:t>-1</w:t>
      </w:r>
      <w:r w:rsidRPr="009F28AC">
        <w:rPr>
          <w:rFonts w:ascii="Times New Roman" w:hAnsi="Times New Roman" w:cs="Times New Roman"/>
          <w:sz w:val="20"/>
          <w:szCs w:val="20"/>
        </w:rPr>
        <w:t xml:space="preserve"> applied as anhydrous ammonia in spring); 224-Split1 (56 kg N ha</w:t>
      </w:r>
      <w:r w:rsidRPr="009F28AC">
        <w:rPr>
          <w:rFonts w:ascii="Times New Roman" w:hAnsi="Times New Roman" w:cs="Times New Roman"/>
          <w:sz w:val="20"/>
          <w:szCs w:val="20"/>
          <w:vertAlign w:val="superscript"/>
        </w:rPr>
        <w:t>-1</w:t>
      </w:r>
      <w:r w:rsidRPr="009F28AC">
        <w:rPr>
          <w:rFonts w:ascii="Times New Roman" w:hAnsi="Times New Roman" w:cs="Times New Roman"/>
          <w:sz w:val="20"/>
          <w:szCs w:val="20"/>
        </w:rPr>
        <w:t xml:space="preserve"> applied as anhydrous ammonia in spring + 168 kg N ha</w:t>
      </w:r>
      <w:r w:rsidRPr="009F28AC">
        <w:rPr>
          <w:rFonts w:ascii="Times New Roman" w:hAnsi="Times New Roman" w:cs="Times New Roman"/>
          <w:sz w:val="20"/>
          <w:szCs w:val="20"/>
          <w:vertAlign w:val="superscript"/>
        </w:rPr>
        <w:t>-1</w:t>
      </w:r>
      <w:r w:rsidRPr="009F28AC">
        <w:rPr>
          <w:rFonts w:ascii="Times New Roman" w:hAnsi="Times New Roman" w:cs="Times New Roman"/>
          <w:sz w:val="20"/>
          <w:szCs w:val="20"/>
        </w:rPr>
        <w:t xml:space="preserve"> applied as UAN at V5 stage), 5) 224-Split2 (112 kg N ha</w:t>
      </w:r>
      <w:r w:rsidRPr="009F28AC">
        <w:rPr>
          <w:rFonts w:ascii="Times New Roman" w:hAnsi="Times New Roman" w:cs="Times New Roman"/>
          <w:sz w:val="20"/>
          <w:szCs w:val="20"/>
          <w:vertAlign w:val="superscript"/>
        </w:rPr>
        <w:t>-1</w:t>
      </w:r>
      <w:r w:rsidRPr="009F28AC">
        <w:rPr>
          <w:rFonts w:ascii="Times New Roman" w:hAnsi="Times New Roman" w:cs="Times New Roman"/>
          <w:sz w:val="20"/>
          <w:szCs w:val="20"/>
        </w:rPr>
        <w:t xml:space="preserve"> applied as anhydrous ammonia in fall + 56 kg N ha</w:t>
      </w:r>
      <w:r w:rsidRPr="009F28AC">
        <w:rPr>
          <w:rFonts w:ascii="Times New Roman" w:hAnsi="Times New Roman" w:cs="Times New Roman"/>
          <w:sz w:val="20"/>
          <w:szCs w:val="20"/>
          <w:vertAlign w:val="superscript"/>
        </w:rPr>
        <w:t>-1</w:t>
      </w:r>
      <w:r w:rsidRPr="009F28AC">
        <w:rPr>
          <w:rFonts w:ascii="Times New Roman" w:hAnsi="Times New Roman" w:cs="Times New Roman"/>
          <w:sz w:val="20"/>
          <w:szCs w:val="20"/>
        </w:rPr>
        <w:t xml:space="preserve"> applied as UAN each at V5 and V9 stages</w:t>
      </w:r>
      <w:r>
        <w:rPr>
          <w:rFonts w:ascii="Times New Roman" w:hAnsi="Times New Roman" w:cs="Times New Roman"/>
          <w:sz w:val="20"/>
          <w:szCs w:val="20"/>
        </w:rPr>
        <w:t>).</w:t>
      </w:r>
    </w:p>
    <w:p w:rsidR="007B35A7" w:rsidRPr="007B35A7" w:rsidRDefault="007B35A7" w:rsidP="00A63D75">
      <w:pPr>
        <w:spacing w:after="0" w:line="360" w:lineRule="auto"/>
        <w:ind w:firstLine="360"/>
        <w:rPr>
          <w:rFonts w:ascii="Times New Roman" w:hAnsi="Times New Roman" w:cs="Times New Roman"/>
          <w:sz w:val="24"/>
          <w:szCs w:val="24"/>
        </w:rPr>
      </w:pPr>
      <w:r w:rsidRPr="007B35A7">
        <w:rPr>
          <w:rFonts w:ascii="Times New Roman" w:hAnsi="Times New Roman" w:cs="Times New Roman"/>
          <w:sz w:val="24"/>
          <w:szCs w:val="24"/>
        </w:rPr>
        <w:t>These SOM mineralization predictions are within the range estimated by other researchers using a variety of methods in other maize production systems. In the present study, net SOM mineralization in the maize growing season was 2.9–3.9 fold greater at Urbana (193.1224.5 kg N ha</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year</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than Brownstown 57.2–66.3 kg N ha</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year</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demonstrating that substantial spatial variations can occur between fields. Accurately accounting for this variability in SOM mineralization is necessary to predict soil N concentration under a variety of soil and climate conditions, given that inorganic soil N availability is the net balance of multiple soil N cycling processes (e. g. SOM mineralization, N fertilizer transformations, crop N uptake, and environmental losses). </w:t>
      </w:r>
    </w:p>
    <w:p w:rsidR="007B35A7" w:rsidRPr="00104BB6" w:rsidRDefault="007B35A7" w:rsidP="00A63D75">
      <w:pPr>
        <w:spacing w:before="240" w:after="0" w:line="360" w:lineRule="auto"/>
        <w:rPr>
          <w:rFonts w:ascii="Times New Roman" w:hAnsi="Times New Roman" w:cs="Times New Roman"/>
          <w:i/>
          <w:sz w:val="24"/>
          <w:szCs w:val="24"/>
        </w:rPr>
      </w:pPr>
      <w:r w:rsidRPr="00104BB6">
        <w:rPr>
          <w:rFonts w:ascii="Times New Roman" w:hAnsi="Times New Roman" w:cs="Times New Roman"/>
          <w:i/>
          <w:sz w:val="24"/>
          <w:szCs w:val="24"/>
        </w:rPr>
        <w:t>Effect of N fertilizer treatments on soil N status</w:t>
      </w:r>
    </w:p>
    <w:p w:rsidR="009F28AC" w:rsidRDefault="007B35A7" w:rsidP="00A63D75">
      <w:pPr>
        <w:spacing w:after="0" w:line="360" w:lineRule="auto"/>
        <w:ind w:firstLine="360"/>
        <w:rPr>
          <w:rFonts w:ascii="Times New Roman" w:hAnsi="Times New Roman" w:cs="Times New Roman"/>
          <w:sz w:val="20"/>
          <w:szCs w:val="20"/>
        </w:rPr>
      </w:pPr>
      <w:r w:rsidRPr="007B35A7">
        <w:rPr>
          <w:rFonts w:ascii="Times New Roman" w:hAnsi="Times New Roman" w:cs="Times New Roman"/>
          <w:sz w:val="24"/>
          <w:szCs w:val="24"/>
        </w:rPr>
        <w:t>Following fall N application at DeKalb and Urbana, soil N concentration remained &gt; 30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in November and December during the study period</w:t>
      </w:r>
      <w:r w:rsidR="002F7071">
        <w:rPr>
          <w:rFonts w:ascii="Times New Roman" w:hAnsi="Times New Roman" w:cs="Times New Roman"/>
          <w:sz w:val="24"/>
          <w:szCs w:val="24"/>
        </w:rPr>
        <w:t xml:space="preserve"> (Fig. 2)</w:t>
      </w:r>
      <w:r w:rsidRPr="007B35A7">
        <w:rPr>
          <w:rFonts w:ascii="Times New Roman" w:hAnsi="Times New Roman" w:cs="Times New Roman"/>
          <w:sz w:val="24"/>
          <w:szCs w:val="24"/>
        </w:rPr>
        <w:t xml:space="preserve">. Both the model and </w:t>
      </w:r>
      <w:r w:rsidRPr="007B35A7">
        <w:rPr>
          <w:rFonts w:ascii="Times New Roman" w:hAnsi="Times New Roman" w:cs="Times New Roman"/>
          <w:sz w:val="24"/>
          <w:szCs w:val="24"/>
        </w:rPr>
        <w:lastRenderedPageBreak/>
        <w:t>field data showed that soil N concentration decreased between the  time of fall N application and maize planting, suggesting an environmental loss of fall-applied N. The difference in soil N concentration between 224-Spring and 224-Fall at the time of maize planting was 5.9–11.2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in model predictions compared with 1.0–4.4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in field observations, indicating that the model overestimated the environmental loss of fall-applied N during 2015–2017. At the time of maize planting, the difference in soil N concentration between 224-Spring and 224-Fall was greater in 2016 and 2017 compared to 2015 (Fig. 2). Previous studies have shown divergent conclusions on the effectiveness of fall and spring application times on soil N availability and maize grain yield in the US Midwest. Our results provide additional evidence that differences in soil N concentration due to fertilizer application timing are not consistent every year, which can make it difficult for farmers to assess crop yield penalties due to soil N availability. However, a positive finding of this study is that DSSAT was able to capture these changes in soil N concentration in response to fertilizer application timing across sites in two of three years, suggesting this model could potentially be used as a management tool to estimate the effectiveness of fall vs spring application on soil N concentration at critical stages during the maize growth season.  </w:t>
      </w:r>
    </w:p>
    <w:p w:rsidR="007B35A7" w:rsidRDefault="007B35A7" w:rsidP="00A63D75">
      <w:pPr>
        <w:spacing w:after="0" w:line="360" w:lineRule="auto"/>
        <w:ind w:firstLine="720"/>
        <w:rPr>
          <w:rFonts w:ascii="Times New Roman" w:hAnsi="Times New Roman" w:cs="Times New Roman"/>
          <w:sz w:val="24"/>
          <w:szCs w:val="24"/>
        </w:rPr>
      </w:pPr>
      <w:r w:rsidRPr="007B35A7">
        <w:rPr>
          <w:rFonts w:ascii="Times New Roman" w:hAnsi="Times New Roman" w:cs="Times New Roman"/>
          <w:sz w:val="24"/>
          <w:szCs w:val="24"/>
        </w:rPr>
        <w:t xml:space="preserve">Unlike soil N changes over the winter, soil N concentration declined sharply in spring due to simultaneous crop N uptake and environmental losses caused by the comparatively wetter and warmer spring weather (Fig. 2). At three experimental sites, DSSAT performed reasonably well in predicting the magnitude of soil N decline between maize planting and mid-June in response to different fertilizer treatments (Fig. 3). Across 224-Fall and 224-Spring treatments at Urbana and DeKalb, soil N concentration decreased by 12.9–38.1% between maize planting and mid-June in the field observations, compared with a 1.0–55.7% reduction in model predictions. Farmers are often concerned with having sufficient soil N supply to meet crop N demand at the time of rapid uptake, which can often start around mid-June in Illinois maize production systems. In this study, DSSAT was able to estimate the decrease in soil N concentration following early spring weather conditions that were conducive to N loss, particularly in 2015, suggesting that the model has the potential to provide information which may assist farmers in making in-season N management decisions. </w:t>
      </w:r>
    </w:p>
    <w:p w:rsidR="009F28AC" w:rsidRDefault="009F28AC" w:rsidP="009F28AC">
      <w:pPr>
        <w:spacing w:after="0" w:line="360" w:lineRule="auto"/>
        <w:ind w:firstLine="720"/>
        <w:rPr>
          <w:rFonts w:ascii="Times New Roman" w:hAnsi="Times New Roman" w:cs="Times New Roman"/>
          <w:sz w:val="24"/>
          <w:szCs w:val="24"/>
        </w:rPr>
      </w:pPr>
    </w:p>
    <w:p w:rsidR="009F28AC" w:rsidRDefault="009F28AC" w:rsidP="009F28AC">
      <w:pPr>
        <w:spacing w:after="0"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6C7FD" wp14:editId="4023156B">
            <wp:extent cx="4572000" cy="3165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3165646"/>
                    </a:xfrm>
                    <a:prstGeom prst="rect">
                      <a:avLst/>
                    </a:prstGeom>
                    <a:noFill/>
                  </pic:spPr>
                </pic:pic>
              </a:graphicData>
            </a:graphic>
          </wp:inline>
        </w:drawing>
      </w:r>
    </w:p>
    <w:p w:rsidR="009F28AC" w:rsidRPr="009F28AC" w:rsidRDefault="009F28AC" w:rsidP="009F28AC">
      <w:pPr>
        <w:spacing w:after="0" w:line="360" w:lineRule="auto"/>
        <w:rPr>
          <w:rFonts w:ascii="Times New Roman" w:hAnsi="Times New Roman" w:cs="Times New Roman"/>
          <w:sz w:val="20"/>
          <w:szCs w:val="20"/>
        </w:rPr>
      </w:pPr>
      <w:r w:rsidRPr="009F28AC">
        <w:rPr>
          <w:rFonts w:ascii="Times New Roman" w:hAnsi="Times New Roman" w:cs="Times New Roman"/>
          <w:b/>
          <w:sz w:val="20"/>
          <w:szCs w:val="20"/>
        </w:rPr>
        <w:t>Fig. 3.</w:t>
      </w:r>
      <w:r w:rsidRPr="009F28AC">
        <w:rPr>
          <w:rFonts w:ascii="Times New Roman" w:hAnsi="Times New Roman" w:cs="Times New Roman"/>
          <w:sz w:val="20"/>
          <w:szCs w:val="20"/>
        </w:rPr>
        <w:t xml:space="preserve"> Comparison of observed and DSSAT simulated net change in soil N concentration in mid-June compared with maize planting date for two field experiments (DeKalb and Urbana) during 2015–2017. 224-Fall (224 kg N ha-1 applied as anhydrous ammonia in fall); 224-Spring (224 kg N ha-1 applied as anhydrous ammonia in spring).</w:t>
      </w:r>
    </w:p>
    <w:p w:rsidR="007B35A7" w:rsidRPr="00104BB6" w:rsidRDefault="007B35A7" w:rsidP="009F28AC">
      <w:pPr>
        <w:spacing w:before="240" w:after="0" w:line="360" w:lineRule="auto"/>
        <w:rPr>
          <w:rFonts w:ascii="Times New Roman" w:hAnsi="Times New Roman" w:cs="Times New Roman"/>
          <w:i/>
          <w:sz w:val="24"/>
          <w:szCs w:val="24"/>
        </w:rPr>
      </w:pPr>
      <w:r w:rsidRPr="00104BB6">
        <w:rPr>
          <w:rFonts w:ascii="Times New Roman" w:hAnsi="Times New Roman" w:cs="Times New Roman"/>
          <w:i/>
          <w:sz w:val="24"/>
          <w:szCs w:val="24"/>
        </w:rPr>
        <w:t xml:space="preserve">Model validation </w:t>
      </w:r>
      <w:r w:rsidR="002F7071" w:rsidRPr="00104BB6">
        <w:rPr>
          <w:rFonts w:ascii="Times New Roman" w:hAnsi="Times New Roman" w:cs="Times New Roman"/>
          <w:i/>
          <w:sz w:val="24"/>
          <w:szCs w:val="24"/>
        </w:rPr>
        <w:t>in</w:t>
      </w:r>
      <w:r w:rsidRPr="00104BB6">
        <w:rPr>
          <w:rFonts w:ascii="Times New Roman" w:hAnsi="Times New Roman" w:cs="Times New Roman"/>
          <w:i/>
          <w:sz w:val="24"/>
          <w:szCs w:val="24"/>
        </w:rPr>
        <w:t xml:space="preserve"> commercial maize fields</w:t>
      </w:r>
    </w:p>
    <w:p w:rsidR="007B35A7" w:rsidRDefault="007B35A7" w:rsidP="009F28AC">
      <w:pPr>
        <w:spacing w:after="0" w:line="360" w:lineRule="auto"/>
        <w:ind w:firstLine="360"/>
        <w:rPr>
          <w:rFonts w:ascii="Times New Roman" w:hAnsi="Times New Roman" w:cs="Times New Roman"/>
          <w:sz w:val="24"/>
          <w:szCs w:val="24"/>
        </w:rPr>
      </w:pPr>
      <w:r w:rsidRPr="007B35A7">
        <w:rPr>
          <w:rFonts w:ascii="Times New Roman" w:hAnsi="Times New Roman" w:cs="Times New Roman"/>
          <w:sz w:val="24"/>
          <w:szCs w:val="24"/>
        </w:rPr>
        <w:t>A major strength of this research is that DSSAT performance was additionally evaluated against soil N observations from 49 farmers’ fields, most of which were situated in northern and central Illinois. Few studies have attempted to calibrate a process-based model for predicting soil N concentration in the US Midwest, and we are unaware of any modeling efforts where a large, independent dataset derived from commercial maize fields was used as an additional validation step. Across the 49 sites with different fertilizer management scenarios, soil N concentration ranged from 6.0–55.5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with a mean value at the time of maize planting of 26.7±13.4 mg N kg soil</w:t>
      </w:r>
      <w:r w:rsidRPr="007B35A7">
        <w:rPr>
          <w:rFonts w:ascii="Times New Roman" w:hAnsi="Times New Roman" w:cs="Times New Roman"/>
          <w:sz w:val="24"/>
          <w:szCs w:val="24"/>
          <w:vertAlign w:val="superscript"/>
        </w:rPr>
        <w:t>-1</w:t>
      </w:r>
      <w:r w:rsidRPr="007B35A7">
        <w:rPr>
          <w:rFonts w:ascii="Times New Roman" w:hAnsi="Times New Roman" w:cs="Times New Roman"/>
          <w:sz w:val="24"/>
          <w:szCs w:val="24"/>
        </w:rPr>
        <w:t xml:space="preserve"> at 0</w:t>
      </w:r>
      <w:r w:rsidRPr="007B35A7">
        <w:rPr>
          <w:rFonts w:ascii="Times New Roman" w:hAnsi="Times New Roman" w:cs="Times New Roman"/>
          <w:sz w:val="24"/>
          <w:szCs w:val="24"/>
        </w:rPr>
        <w:softHyphen/>
        <w:t>–60 cm (Fig. 4).</w:t>
      </w:r>
    </w:p>
    <w:p w:rsidR="009F28AC" w:rsidRDefault="009F28AC" w:rsidP="009F28AC">
      <w:pPr>
        <w:spacing w:after="0" w:line="360" w:lineRule="auto"/>
        <w:ind w:firstLine="360"/>
        <w:rPr>
          <w:rFonts w:ascii="Times New Roman" w:hAnsi="Times New Roman" w:cs="Times New Roman"/>
          <w:sz w:val="24"/>
          <w:szCs w:val="24"/>
        </w:rPr>
      </w:pPr>
    </w:p>
    <w:p w:rsidR="009F28AC" w:rsidRPr="007B35A7" w:rsidRDefault="009F28AC" w:rsidP="009F28AC">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2A6765" wp14:editId="1DCD794A">
            <wp:extent cx="4572000" cy="31863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186383"/>
                    </a:xfrm>
                    <a:prstGeom prst="rect">
                      <a:avLst/>
                    </a:prstGeom>
                    <a:noFill/>
                  </pic:spPr>
                </pic:pic>
              </a:graphicData>
            </a:graphic>
          </wp:inline>
        </w:drawing>
      </w:r>
    </w:p>
    <w:p w:rsidR="009F28AC" w:rsidRPr="009F28AC" w:rsidRDefault="009F28AC" w:rsidP="009F28AC">
      <w:pPr>
        <w:spacing w:after="0" w:line="360" w:lineRule="auto"/>
        <w:ind w:firstLine="360"/>
        <w:rPr>
          <w:rFonts w:ascii="Times New Roman" w:hAnsi="Times New Roman" w:cs="Times New Roman"/>
          <w:sz w:val="20"/>
          <w:szCs w:val="20"/>
        </w:rPr>
      </w:pPr>
      <w:r w:rsidRPr="009F28AC">
        <w:rPr>
          <w:rFonts w:ascii="Times New Roman" w:hAnsi="Times New Roman" w:cs="Times New Roman"/>
          <w:b/>
          <w:sz w:val="20"/>
          <w:szCs w:val="20"/>
        </w:rPr>
        <w:t>Fig. 4.</w:t>
      </w:r>
      <w:r w:rsidRPr="009F28AC">
        <w:rPr>
          <w:rFonts w:ascii="Times New Roman" w:hAnsi="Times New Roman" w:cs="Times New Roman"/>
          <w:sz w:val="20"/>
          <w:szCs w:val="20"/>
        </w:rPr>
        <w:t xml:space="preserve"> Comparison of observed and DSSAT simulated soil N concentration at 49 commercial maize fields in Illinois. Field sites were categorized according to cumulative precipitation occurring between January and July in 2015 and 2016.</w:t>
      </w:r>
    </w:p>
    <w:p w:rsidR="009F28AC" w:rsidRDefault="009F28AC" w:rsidP="009F28AC">
      <w:pPr>
        <w:spacing w:after="0" w:line="360" w:lineRule="auto"/>
        <w:ind w:firstLine="360"/>
        <w:rPr>
          <w:rFonts w:ascii="Times New Roman" w:hAnsi="Times New Roman" w:cs="Times New Roman"/>
          <w:sz w:val="24"/>
          <w:szCs w:val="24"/>
        </w:rPr>
      </w:pPr>
    </w:p>
    <w:p w:rsidR="007B35A7" w:rsidRPr="007B35A7" w:rsidRDefault="007B35A7" w:rsidP="009F28AC">
      <w:pPr>
        <w:spacing w:after="0" w:line="360" w:lineRule="auto"/>
        <w:ind w:firstLine="360"/>
        <w:rPr>
          <w:rFonts w:ascii="Times New Roman" w:hAnsi="Times New Roman" w:cs="Times New Roman"/>
          <w:sz w:val="24"/>
          <w:szCs w:val="24"/>
        </w:rPr>
      </w:pPr>
      <w:r w:rsidRPr="007B35A7">
        <w:rPr>
          <w:rFonts w:ascii="Times New Roman" w:hAnsi="Times New Roman" w:cs="Times New Roman"/>
          <w:sz w:val="24"/>
          <w:szCs w:val="24"/>
        </w:rPr>
        <w:t>It is well-established that early season rainfall amounts have significant impacts on environmental loss of fertilizer N from maize production systems. Across four cumulative rainfall categories, DSSAT was able to predict soil N concentration in farmer’s fields with a relatively high R</w:t>
      </w:r>
      <w:r w:rsidRPr="007B35A7">
        <w:rPr>
          <w:rFonts w:ascii="Times New Roman" w:hAnsi="Times New Roman" w:cs="Times New Roman"/>
          <w:sz w:val="24"/>
          <w:szCs w:val="24"/>
          <w:vertAlign w:val="superscript"/>
        </w:rPr>
        <w:t>2</w:t>
      </w:r>
      <w:r w:rsidRPr="007B35A7">
        <w:rPr>
          <w:rFonts w:ascii="Times New Roman" w:hAnsi="Times New Roman" w:cs="Times New Roman"/>
          <w:sz w:val="24"/>
          <w:szCs w:val="24"/>
        </w:rPr>
        <w:t xml:space="preserve"> value of 0.68–0.88 and slope of 0.99–1.24 (Fig. 4). Across the 49 fields, an </w:t>
      </w:r>
      <w:proofErr w:type="spellStart"/>
      <w:r w:rsidRPr="007B35A7">
        <w:rPr>
          <w:rFonts w:ascii="Times New Roman" w:hAnsi="Times New Roman" w:cs="Times New Roman"/>
          <w:sz w:val="24"/>
          <w:szCs w:val="24"/>
        </w:rPr>
        <w:t>nRMSE</w:t>
      </w:r>
      <w:proofErr w:type="spellEnd"/>
      <w:r w:rsidRPr="007B35A7">
        <w:rPr>
          <w:rFonts w:ascii="Times New Roman" w:hAnsi="Times New Roman" w:cs="Times New Roman"/>
          <w:sz w:val="24"/>
          <w:szCs w:val="24"/>
        </w:rPr>
        <w:t xml:space="preserve"> value of 21.2% suggested that DSSAT had “fair” performance in predicting the effect of fertilizer treatments on soil N concentration in the maize growing season. The D-index value 0.91 suggested that variation in soil N concentration is closely related to the variation in the predicted field data. The CRM index value of 0.017 indicated the model slightly underestimated soil N concentration as compared to field observations. </w:t>
      </w:r>
    </w:p>
    <w:p w:rsidR="007B35A7" w:rsidRPr="003E3FB8" w:rsidRDefault="003E3FB8" w:rsidP="009F28AC">
      <w:pPr>
        <w:spacing w:line="240" w:lineRule="auto"/>
        <w:rPr>
          <w:rFonts w:ascii="Times New Roman" w:hAnsi="Times New Roman" w:cs="Times New Roman"/>
          <w:b/>
        </w:rPr>
      </w:pPr>
      <w:r w:rsidRPr="003E3FB8">
        <w:rPr>
          <w:rFonts w:ascii="Times New Roman" w:hAnsi="Times New Roman" w:cs="Times New Roman"/>
          <w:b/>
        </w:rPr>
        <w:t xml:space="preserve">Listing of papers and </w:t>
      </w:r>
      <w:r>
        <w:rPr>
          <w:rFonts w:ascii="Times New Roman" w:hAnsi="Times New Roman" w:cs="Times New Roman"/>
          <w:b/>
        </w:rPr>
        <w:t xml:space="preserve">conference </w:t>
      </w:r>
      <w:r w:rsidRPr="003E3FB8">
        <w:rPr>
          <w:rFonts w:ascii="Times New Roman" w:hAnsi="Times New Roman" w:cs="Times New Roman"/>
          <w:b/>
        </w:rPr>
        <w:t xml:space="preserve">presentations </w:t>
      </w:r>
      <w:r>
        <w:rPr>
          <w:rFonts w:ascii="Times New Roman" w:hAnsi="Times New Roman" w:cs="Times New Roman"/>
          <w:b/>
        </w:rPr>
        <w:t xml:space="preserve">resulting from </w:t>
      </w:r>
      <w:r w:rsidRPr="003E3FB8">
        <w:rPr>
          <w:rFonts w:ascii="Times New Roman" w:hAnsi="Times New Roman" w:cs="Times New Roman"/>
          <w:b/>
        </w:rPr>
        <w:t>this project</w:t>
      </w:r>
    </w:p>
    <w:p w:rsidR="003E3FB8" w:rsidRPr="003E3FB8" w:rsidRDefault="003E3FB8" w:rsidP="003E3FB8">
      <w:pPr>
        <w:spacing w:line="240" w:lineRule="auto"/>
        <w:rPr>
          <w:rFonts w:ascii="Times New Roman" w:hAnsi="Times New Roman" w:cs="Times New Roman"/>
        </w:rPr>
      </w:pPr>
      <w:r w:rsidRPr="003E3FB8">
        <w:rPr>
          <w:rFonts w:ascii="Times New Roman" w:hAnsi="Times New Roman" w:cs="Times New Roman"/>
        </w:rPr>
        <w:t>Banger, K., Yuan, M., Wang, J., Nafziger, E.D., Pittelkow, C.M. 2017. A vision for incorporating environmental effects into nitrogen management decision support tools for U.S. maize production. Frontiers in Plant Science 8:1270.</w:t>
      </w:r>
    </w:p>
    <w:p w:rsidR="003E3FB8" w:rsidRPr="003E3FB8" w:rsidRDefault="003E3FB8" w:rsidP="003E3FB8">
      <w:pPr>
        <w:spacing w:line="240" w:lineRule="auto"/>
        <w:rPr>
          <w:rFonts w:ascii="Times New Roman" w:hAnsi="Times New Roman" w:cs="Times New Roman"/>
        </w:rPr>
      </w:pPr>
      <w:r w:rsidRPr="003E3FB8">
        <w:rPr>
          <w:rFonts w:ascii="Times New Roman" w:hAnsi="Times New Roman" w:cs="Times New Roman"/>
        </w:rPr>
        <w:t xml:space="preserve">Banger, K., Nafziger, E.D., Wang, J., Muhammad, U., Pittelkow, C.M. 2018. Simulating nitrogen management impacts on maize production in the U.S. Midwest. </w:t>
      </w:r>
      <w:proofErr w:type="spellStart"/>
      <w:r w:rsidRPr="003E3FB8">
        <w:rPr>
          <w:rFonts w:ascii="Times New Roman" w:hAnsi="Times New Roman" w:cs="Times New Roman"/>
        </w:rPr>
        <w:t>PLoS</w:t>
      </w:r>
      <w:proofErr w:type="spellEnd"/>
      <w:r w:rsidRPr="003E3FB8">
        <w:rPr>
          <w:rFonts w:ascii="Times New Roman" w:hAnsi="Times New Roman" w:cs="Times New Roman"/>
        </w:rPr>
        <w:t xml:space="preserve"> ONE 13(10): </w:t>
      </w:r>
      <w:proofErr w:type="spellStart"/>
      <w:r w:rsidRPr="003E3FB8">
        <w:rPr>
          <w:rFonts w:ascii="Times New Roman" w:hAnsi="Times New Roman" w:cs="Times New Roman"/>
        </w:rPr>
        <w:t>e0201825</w:t>
      </w:r>
      <w:proofErr w:type="spellEnd"/>
      <w:r w:rsidRPr="003E3FB8">
        <w:rPr>
          <w:rFonts w:ascii="Times New Roman" w:hAnsi="Times New Roman" w:cs="Times New Roman"/>
        </w:rPr>
        <w:t>.</w:t>
      </w:r>
    </w:p>
    <w:p w:rsidR="003E3FB8" w:rsidRPr="003E3FB8" w:rsidRDefault="003E3FB8" w:rsidP="003E3FB8">
      <w:pPr>
        <w:spacing w:line="240" w:lineRule="auto"/>
        <w:rPr>
          <w:rFonts w:ascii="Times New Roman" w:hAnsi="Times New Roman" w:cs="Times New Roman"/>
        </w:rPr>
      </w:pPr>
      <w:r w:rsidRPr="003E3FB8">
        <w:rPr>
          <w:rFonts w:ascii="Times New Roman" w:hAnsi="Times New Roman" w:cs="Times New Roman"/>
        </w:rPr>
        <w:t>Banger, K., Nafziger, E.D., Wang, J., Pittelkow, C.M. Modeling soil nitrogen status in Illinois maize production systems. Soil Science Society of America Journal. Under review.</w:t>
      </w:r>
    </w:p>
    <w:p w:rsidR="003E3FB8" w:rsidRPr="003E3FB8" w:rsidRDefault="003E3FB8" w:rsidP="003E3FB8">
      <w:pPr>
        <w:spacing w:line="240" w:lineRule="auto"/>
        <w:rPr>
          <w:rFonts w:ascii="Times New Roman" w:hAnsi="Times New Roman" w:cs="Times New Roman"/>
        </w:rPr>
      </w:pPr>
    </w:p>
    <w:p w:rsidR="003E3FB8" w:rsidRPr="003E3FB8" w:rsidRDefault="003E3FB8" w:rsidP="003E3FB8">
      <w:pPr>
        <w:spacing w:line="240" w:lineRule="auto"/>
        <w:rPr>
          <w:rFonts w:ascii="Times New Roman" w:hAnsi="Times New Roman" w:cs="Times New Roman"/>
        </w:rPr>
      </w:pPr>
      <w:r w:rsidRPr="003E3FB8">
        <w:rPr>
          <w:rFonts w:ascii="Times New Roman" w:hAnsi="Times New Roman" w:cs="Times New Roman"/>
        </w:rPr>
        <w:t>Conference presentations</w:t>
      </w:r>
    </w:p>
    <w:p w:rsidR="003E3FB8" w:rsidRPr="003E3FB8" w:rsidRDefault="003E3FB8" w:rsidP="003E3FB8">
      <w:pPr>
        <w:spacing w:line="240" w:lineRule="auto"/>
        <w:rPr>
          <w:rFonts w:ascii="Times New Roman" w:hAnsi="Times New Roman" w:cs="Times New Roman"/>
        </w:rPr>
      </w:pPr>
      <w:r w:rsidRPr="003E3FB8">
        <w:rPr>
          <w:rFonts w:ascii="Times New Roman" w:hAnsi="Times New Roman" w:cs="Times New Roman"/>
        </w:rPr>
        <w:t>Banger, K., Nafziger, E., Wang, J., Pittelkow, C.M. 2015. Developing a nitrogen loss decision support tool for Illinois. Poster presentation. ASA-CSSA-SSSA Conference, Nov 15-18, 2015. Minneapolis, Minnesota.</w:t>
      </w:r>
    </w:p>
    <w:p w:rsidR="003E3FB8" w:rsidRPr="003E3FB8" w:rsidRDefault="003E3FB8" w:rsidP="003E3FB8">
      <w:pPr>
        <w:spacing w:line="240" w:lineRule="auto"/>
        <w:rPr>
          <w:rFonts w:ascii="Times New Roman" w:hAnsi="Times New Roman" w:cs="Times New Roman"/>
        </w:rPr>
      </w:pPr>
      <w:r w:rsidRPr="003E3FB8">
        <w:rPr>
          <w:rFonts w:ascii="Times New Roman" w:hAnsi="Times New Roman" w:cs="Times New Roman"/>
        </w:rPr>
        <w:t>Banger, K., Pittelkow, C.M., Wang, J., Nafziger, E.D., Umar, M. 2016. Simulating soil N availability and loss in Illinois corn production systems. Invited symposium presentation. ASA-CSSA-SSSA Conference, Nov 6-9, 2016. Phoenix, Arizona.</w:t>
      </w:r>
    </w:p>
    <w:p w:rsidR="003E3FB8" w:rsidRPr="003E3FB8" w:rsidRDefault="003E3FB8" w:rsidP="003E3FB8">
      <w:pPr>
        <w:spacing w:line="240" w:lineRule="auto"/>
        <w:rPr>
          <w:rFonts w:ascii="Times New Roman" w:hAnsi="Times New Roman" w:cs="Times New Roman"/>
        </w:rPr>
      </w:pPr>
      <w:r w:rsidRPr="003E3FB8">
        <w:rPr>
          <w:rFonts w:ascii="Times New Roman" w:hAnsi="Times New Roman" w:cs="Times New Roman"/>
        </w:rPr>
        <w:t>Preza Fontes, G., Nafziger, E.D., Pittelkow, C.M. 2018. Does in-season soil nitrogen concentration predict maize yield response? Oral presentation. ASA-CSSA-SSSA Conference, Nov 4-7, 2018. Baltimore, Maryland.</w:t>
      </w:r>
    </w:p>
    <w:p w:rsidR="003E3FB8" w:rsidRPr="003E3FB8" w:rsidRDefault="003E3FB8" w:rsidP="009F28AC">
      <w:pPr>
        <w:spacing w:line="240" w:lineRule="auto"/>
        <w:rPr>
          <w:rFonts w:ascii="Times New Roman" w:hAnsi="Times New Roman" w:cs="Times New Roman"/>
        </w:rPr>
      </w:pPr>
    </w:p>
    <w:sectPr w:rsidR="003E3FB8" w:rsidRPr="003E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DAD"/>
    <w:multiLevelType w:val="hybridMultilevel"/>
    <w:tmpl w:val="D2FE1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32F4D"/>
    <w:multiLevelType w:val="hybridMultilevel"/>
    <w:tmpl w:val="11043758"/>
    <w:lvl w:ilvl="0" w:tplc="5936C9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771F5"/>
    <w:multiLevelType w:val="hybridMultilevel"/>
    <w:tmpl w:val="4F0E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1DE2"/>
    <w:multiLevelType w:val="hybridMultilevel"/>
    <w:tmpl w:val="2508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B68E5"/>
    <w:multiLevelType w:val="multilevel"/>
    <w:tmpl w:val="5036A6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B4384D"/>
    <w:multiLevelType w:val="hybridMultilevel"/>
    <w:tmpl w:val="679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3DF2"/>
    <w:multiLevelType w:val="hybridMultilevel"/>
    <w:tmpl w:val="3F98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530D4"/>
    <w:multiLevelType w:val="hybridMultilevel"/>
    <w:tmpl w:val="DF0A1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54A3A"/>
    <w:multiLevelType w:val="hybridMultilevel"/>
    <w:tmpl w:val="913A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325D1"/>
    <w:multiLevelType w:val="hybridMultilevel"/>
    <w:tmpl w:val="8BB2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2"/>
  </w:num>
  <w:num w:numId="6">
    <w:abstractNumId w:val="6"/>
  </w:num>
  <w:num w:numId="7">
    <w:abstractNumId w:val="9"/>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A7"/>
    <w:rsid w:val="00104BB6"/>
    <w:rsid w:val="001069AC"/>
    <w:rsid w:val="002F7071"/>
    <w:rsid w:val="003E3FB8"/>
    <w:rsid w:val="006A7A0D"/>
    <w:rsid w:val="007B35A7"/>
    <w:rsid w:val="0085194F"/>
    <w:rsid w:val="00987B06"/>
    <w:rsid w:val="009F28AC"/>
    <w:rsid w:val="00A6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C112"/>
  <w15:chartTrackingRefBased/>
  <w15:docId w15:val="{35ED9E65-BA3A-4805-849D-43D16A35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3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5A7"/>
    <w:pPr>
      <w:ind w:left="720"/>
      <w:contextualSpacing/>
    </w:pPr>
  </w:style>
  <w:style w:type="character" w:customStyle="1" w:styleId="Heading1Char">
    <w:name w:val="Heading 1 Char"/>
    <w:basedOn w:val="DefaultParagraphFont"/>
    <w:link w:val="Heading1"/>
    <w:uiPriority w:val="9"/>
    <w:rsid w:val="007B35A7"/>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7B35A7"/>
    <w:rPr>
      <w:color w:val="808080"/>
    </w:rPr>
  </w:style>
  <w:style w:type="paragraph" w:styleId="BalloonText">
    <w:name w:val="Balloon Text"/>
    <w:basedOn w:val="Normal"/>
    <w:link w:val="BalloonTextChar"/>
    <w:uiPriority w:val="99"/>
    <w:semiHidden/>
    <w:unhideWhenUsed/>
    <w:rsid w:val="007B3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5A7"/>
    <w:rPr>
      <w:rFonts w:ascii="Segoe UI" w:hAnsi="Segoe UI" w:cs="Segoe UI"/>
      <w:sz w:val="18"/>
      <w:szCs w:val="18"/>
    </w:rPr>
  </w:style>
  <w:style w:type="table" w:styleId="TableGrid">
    <w:name w:val="Table Grid"/>
    <w:basedOn w:val="TableNormal"/>
    <w:uiPriority w:val="39"/>
    <w:rsid w:val="007B3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B35A7"/>
  </w:style>
  <w:style w:type="paragraph" w:styleId="Header">
    <w:name w:val="header"/>
    <w:basedOn w:val="Normal"/>
    <w:link w:val="HeaderChar"/>
    <w:uiPriority w:val="99"/>
    <w:unhideWhenUsed/>
    <w:rsid w:val="007B3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5A7"/>
  </w:style>
  <w:style w:type="paragraph" w:styleId="Footer">
    <w:name w:val="footer"/>
    <w:basedOn w:val="Normal"/>
    <w:link w:val="FooterChar"/>
    <w:uiPriority w:val="99"/>
    <w:unhideWhenUsed/>
    <w:rsid w:val="007B3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A7"/>
  </w:style>
  <w:style w:type="table" w:customStyle="1" w:styleId="PlainTable21">
    <w:name w:val="Plain Table 21"/>
    <w:basedOn w:val="TableNormal"/>
    <w:uiPriority w:val="42"/>
    <w:rsid w:val="007B35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7B35A7"/>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7B35A7"/>
    <w:rPr>
      <w:rFonts w:ascii="Times New Roman" w:hAnsi="Times New Roman" w:cs="Times New Roman"/>
      <w:noProof/>
      <w:sz w:val="24"/>
    </w:rPr>
  </w:style>
  <w:style w:type="paragraph" w:customStyle="1" w:styleId="EndNoteBibliography">
    <w:name w:val="EndNote Bibliography"/>
    <w:basedOn w:val="Normal"/>
    <w:link w:val="EndNoteBibliographyChar"/>
    <w:rsid w:val="007B35A7"/>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7B35A7"/>
    <w:rPr>
      <w:rFonts w:ascii="Times New Roman" w:hAnsi="Times New Roman" w:cs="Times New Roman"/>
      <w:noProof/>
      <w:sz w:val="24"/>
    </w:rPr>
  </w:style>
  <w:style w:type="paragraph" w:styleId="Revision">
    <w:name w:val="Revision"/>
    <w:hidden/>
    <w:uiPriority w:val="99"/>
    <w:semiHidden/>
    <w:rsid w:val="007B35A7"/>
    <w:pPr>
      <w:spacing w:after="0" w:line="240" w:lineRule="auto"/>
    </w:pPr>
  </w:style>
  <w:style w:type="character" w:styleId="Hyperlink">
    <w:name w:val="Hyperlink"/>
    <w:basedOn w:val="DefaultParagraphFont"/>
    <w:uiPriority w:val="99"/>
    <w:unhideWhenUsed/>
    <w:rsid w:val="007B35A7"/>
    <w:rPr>
      <w:color w:val="0563C1" w:themeColor="hyperlink"/>
      <w:u w:val="single"/>
    </w:rPr>
  </w:style>
  <w:style w:type="character" w:styleId="CommentReference">
    <w:name w:val="annotation reference"/>
    <w:basedOn w:val="DefaultParagraphFont"/>
    <w:uiPriority w:val="99"/>
    <w:semiHidden/>
    <w:unhideWhenUsed/>
    <w:rsid w:val="007B35A7"/>
    <w:rPr>
      <w:sz w:val="16"/>
      <w:szCs w:val="16"/>
    </w:rPr>
  </w:style>
  <w:style w:type="paragraph" w:styleId="CommentText">
    <w:name w:val="annotation text"/>
    <w:basedOn w:val="Normal"/>
    <w:link w:val="CommentTextChar"/>
    <w:uiPriority w:val="99"/>
    <w:semiHidden/>
    <w:unhideWhenUsed/>
    <w:rsid w:val="007B35A7"/>
    <w:pPr>
      <w:spacing w:line="240" w:lineRule="auto"/>
    </w:pPr>
    <w:rPr>
      <w:sz w:val="20"/>
      <w:szCs w:val="20"/>
    </w:rPr>
  </w:style>
  <w:style w:type="character" w:customStyle="1" w:styleId="CommentTextChar">
    <w:name w:val="Comment Text Char"/>
    <w:basedOn w:val="DefaultParagraphFont"/>
    <w:link w:val="CommentText"/>
    <w:uiPriority w:val="99"/>
    <w:semiHidden/>
    <w:rsid w:val="007B35A7"/>
    <w:rPr>
      <w:sz w:val="20"/>
      <w:szCs w:val="20"/>
    </w:rPr>
  </w:style>
  <w:style w:type="paragraph" w:styleId="CommentSubject">
    <w:name w:val="annotation subject"/>
    <w:basedOn w:val="CommentText"/>
    <w:next w:val="CommentText"/>
    <w:link w:val="CommentSubjectChar"/>
    <w:uiPriority w:val="99"/>
    <w:semiHidden/>
    <w:unhideWhenUsed/>
    <w:rsid w:val="007B35A7"/>
    <w:rPr>
      <w:b/>
      <w:bCs/>
    </w:rPr>
  </w:style>
  <w:style w:type="character" w:customStyle="1" w:styleId="CommentSubjectChar">
    <w:name w:val="Comment Subject Char"/>
    <w:basedOn w:val="CommentTextChar"/>
    <w:link w:val="CommentSubject"/>
    <w:uiPriority w:val="99"/>
    <w:semiHidden/>
    <w:rsid w:val="007B3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Pittelkow, Cameron M</dc:creator>
  <cp:keywords/>
  <dc:description/>
  <cp:lastModifiedBy>Nafziger, Emerson D</cp:lastModifiedBy>
  <cp:revision>3</cp:revision>
  <dcterms:created xsi:type="dcterms:W3CDTF">2019-02-27T16:13:00Z</dcterms:created>
  <dcterms:modified xsi:type="dcterms:W3CDTF">2019-02-27T16:14:00Z</dcterms:modified>
</cp:coreProperties>
</file>