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F27940" w14:textId="77777777" w:rsidR="009941CC" w:rsidRPr="00282CAF" w:rsidRDefault="009941CC" w:rsidP="009941CC">
      <w:pPr>
        <w:jc w:val="center"/>
        <w:rPr>
          <w:sz w:val="18"/>
          <w:szCs w:val="18"/>
        </w:rPr>
      </w:pPr>
    </w:p>
    <w:p w14:paraId="6A226291" w14:textId="77777777" w:rsidR="009941CC" w:rsidRDefault="009941CC" w:rsidP="009941CC">
      <w:pPr>
        <w:ind w:left="-720" w:right="-940" w:hanging="630"/>
        <w:rPr>
          <w:noProof/>
          <w:lang w:eastAsia="zh-CN"/>
        </w:rPr>
      </w:pPr>
      <w:r>
        <w:rPr>
          <w:noProof/>
          <w:lang w:eastAsia="zh-CN"/>
        </w:rPr>
        <w:t xml:space="preserve">                          </w:t>
      </w:r>
      <w:r>
        <w:rPr>
          <w:noProof/>
          <w:lang w:eastAsia="zh-CN"/>
        </w:rPr>
        <w:drawing>
          <wp:inline distT="0" distB="0" distL="0" distR="0" wp14:anchorId="3DBCB938" wp14:editId="0C1A71FD">
            <wp:extent cx="4348969" cy="3260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Map11-8-2015.e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47955" cy="3259661"/>
                    </a:xfrm>
                    <a:prstGeom prst="rect">
                      <a:avLst/>
                    </a:prstGeom>
                  </pic:spPr>
                </pic:pic>
              </a:graphicData>
            </a:graphic>
          </wp:inline>
        </w:drawing>
      </w:r>
      <w:r>
        <w:rPr>
          <w:noProof/>
          <w:lang w:eastAsia="zh-CN"/>
        </w:rPr>
        <w:drawing>
          <wp:inline distT="0" distB="0" distL="0" distR="0" wp14:anchorId="6D93A5D0" wp14:editId="544D1186">
            <wp:extent cx="3480179" cy="260992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82841" cy="2611921"/>
                    </a:xfrm>
                    <a:prstGeom prst="rect">
                      <a:avLst/>
                    </a:prstGeom>
                  </pic:spPr>
                </pic:pic>
              </a:graphicData>
            </a:graphic>
          </wp:inline>
        </w:drawing>
      </w:r>
      <w:r>
        <w:rPr>
          <w:noProof/>
          <w:lang w:eastAsia="zh-CN"/>
        </w:rPr>
        <w:t xml:space="preserve">                                       </w:t>
      </w:r>
    </w:p>
    <w:p w14:paraId="442C381B" w14:textId="77777777" w:rsidR="009941CC" w:rsidRDefault="009941CC" w:rsidP="009941CC">
      <w:pPr>
        <w:autoSpaceDE w:val="0"/>
        <w:autoSpaceDN w:val="0"/>
        <w:adjustRightInd w:val="0"/>
        <w:spacing w:after="0"/>
        <w:rPr>
          <w:rFonts w:ascii="Times New Roman" w:hAnsi="Times New Roman"/>
          <w:szCs w:val="24"/>
        </w:rPr>
      </w:pPr>
      <w:r w:rsidRPr="00C5381F">
        <w:rPr>
          <w:rFonts w:ascii="Times New Roman" w:hAnsi="Times New Roman"/>
          <w:b/>
          <w:szCs w:val="24"/>
        </w:rPr>
        <w:t>Fig 1</w:t>
      </w:r>
      <w:r>
        <w:rPr>
          <w:rFonts w:ascii="Times New Roman" w:hAnsi="Times New Roman"/>
          <w:szCs w:val="24"/>
        </w:rPr>
        <w:t xml:space="preserve">: Schematic map and setup of the experiment. The wind rose: left-top, experimental site: left-bottom, sampler heights: right. In each experimental period, only the samplers (slide and </w:t>
      </w:r>
      <w:proofErr w:type="spellStart"/>
      <w:r>
        <w:rPr>
          <w:rFonts w:ascii="Times New Roman" w:hAnsi="Times New Roman"/>
          <w:szCs w:val="24"/>
        </w:rPr>
        <w:t>Rotorod</w:t>
      </w:r>
      <w:proofErr w:type="spellEnd"/>
      <w:r>
        <w:rPr>
          <w:rFonts w:ascii="Times New Roman" w:hAnsi="Times New Roman"/>
          <w:szCs w:val="24"/>
        </w:rPr>
        <w:t xml:space="preserve">) along the downwind sampling line (either northeast or southwest direction) were used. Balloon horizontal location and sampler heights on the balloons were adjusted during experiments based on if the seed was detectable at the corresponding sampling heights and location.  </w:t>
      </w:r>
    </w:p>
    <w:p w14:paraId="6F713F12" w14:textId="77777777" w:rsidR="009941CC" w:rsidRDefault="009941CC" w:rsidP="009941CC"/>
    <w:p w14:paraId="668D7884" w14:textId="77777777" w:rsidR="009941CC" w:rsidRPr="00282CAF" w:rsidRDefault="009941CC" w:rsidP="009941CC">
      <w:pPr>
        <w:jc w:val="center"/>
        <w:rPr>
          <w:sz w:val="18"/>
          <w:szCs w:val="18"/>
        </w:rPr>
      </w:pPr>
    </w:p>
    <w:p w14:paraId="5C555E35" w14:textId="77777777" w:rsidR="009941CC" w:rsidRDefault="009941CC" w:rsidP="009941CC">
      <w:pPr>
        <w:jc w:val="both"/>
        <w:rPr>
          <w:sz w:val="18"/>
          <w:szCs w:val="18"/>
        </w:rPr>
      </w:pPr>
    </w:p>
    <w:p w14:paraId="520BF391" w14:textId="77777777" w:rsidR="009941CC" w:rsidRPr="00282CAF" w:rsidRDefault="009941CC" w:rsidP="009941CC">
      <w:pPr>
        <w:jc w:val="center"/>
        <w:rPr>
          <w:sz w:val="18"/>
          <w:szCs w:val="18"/>
        </w:rPr>
      </w:pPr>
    </w:p>
    <w:p w14:paraId="2F8BD320" w14:textId="77777777" w:rsidR="009941CC" w:rsidRPr="00282CAF" w:rsidRDefault="009941CC" w:rsidP="009941CC">
      <w:pPr>
        <w:jc w:val="center"/>
        <w:rPr>
          <w:sz w:val="18"/>
          <w:szCs w:val="18"/>
        </w:rPr>
      </w:pPr>
    </w:p>
    <w:p w14:paraId="222F371D" w14:textId="77777777" w:rsidR="009941CC" w:rsidRPr="00282CAF" w:rsidRDefault="009941CC" w:rsidP="009941CC">
      <w:pPr>
        <w:autoSpaceDE w:val="0"/>
        <w:autoSpaceDN w:val="0"/>
        <w:adjustRightInd w:val="0"/>
        <w:spacing w:after="0"/>
        <w:jc w:val="both"/>
        <w:rPr>
          <w:rFonts w:ascii="Times New Roman" w:hAnsi="Times New Roman"/>
          <w:b/>
          <w:sz w:val="18"/>
          <w:szCs w:val="18"/>
        </w:rPr>
      </w:pPr>
      <w:r>
        <w:rPr>
          <w:rFonts w:ascii="Times New Roman" w:hAnsi="Times New Roman"/>
          <w:b/>
          <w:noProof/>
          <w:sz w:val="18"/>
          <w:szCs w:val="18"/>
          <w:lang w:eastAsia="zh-CN"/>
        </w:rPr>
        <w:lastRenderedPageBreak/>
        <w:drawing>
          <wp:inline distT="0" distB="0" distL="0" distR="0" wp14:anchorId="2BA6305A" wp14:editId="2199AB0A">
            <wp:extent cx="6748780" cy="5172710"/>
            <wp:effectExtent l="0" t="0" r="0" b="8890"/>
            <wp:docPr id="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8780" cy="5172710"/>
                    </a:xfrm>
                    <a:prstGeom prst="rect">
                      <a:avLst/>
                    </a:prstGeom>
                    <a:noFill/>
                    <a:ln>
                      <a:noFill/>
                    </a:ln>
                  </pic:spPr>
                </pic:pic>
              </a:graphicData>
            </a:graphic>
          </wp:inline>
        </w:drawing>
      </w:r>
    </w:p>
    <w:p w14:paraId="086207C4" w14:textId="77777777" w:rsidR="009941CC" w:rsidRPr="00282CAF" w:rsidRDefault="009941CC" w:rsidP="009941CC">
      <w:pPr>
        <w:autoSpaceDE w:val="0"/>
        <w:autoSpaceDN w:val="0"/>
        <w:adjustRightInd w:val="0"/>
        <w:spacing w:after="0"/>
        <w:rPr>
          <w:rFonts w:ascii="Times New Roman" w:hAnsi="Times New Roman"/>
          <w:sz w:val="18"/>
          <w:szCs w:val="18"/>
        </w:rPr>
      </w:pPr>
    </w:p>
    <w:p w14:paraId="33D08E78" w14:textId="77777777" w:rsidR="009941CC" w:rsidRPr="00C5381F" w:rsidRDefault="009941CC" w:rsidP="009941CC">
      <w:pPr>
        <w:autoSpaceDE w:val="0"/>
        <w:autoSpaceDN w:val="0"/>
        <w:adjustRightInd w:val="0"/>
        <w:spacing w:after="0"/>
        <w:rPr>
          <w:rFonts w:ascii="Times New Roman" w:hAnsi="Times New Roman"/>
          <w:sz w:val="24"/>
          <w:szCs w:val="24"/>
        </w:rPr>
      </w:pPr>
      <w:r w:rsidRPr="00C5381F">
        <w:rPr>
          <w:rFonts w:ascii="Times New Roman" w:hAnsi="Times New Roman"/>
          <w:b/>
          <w:sz w:val="24"/>
          <w:szCs w:val="24"/>
        </w:rPr>
        <w:t>Fig 2</w:t>
      </w:r>
      <w:r w:rsidRPr="00C5381F">
        <w:rPr>
          <w:rFonts w:ascii="Times New Roman" w:hAnsi="Times New Roman"/>
          <w:sz w:val="24"/>
          <w:szCs w:val="24"/>
        </w:rPr>
        <w:t>. Seed source strength in experiment.</w:t>
      </w:r>
    </w:p>
    <w:p w14:paraId="62F66822" w14:textId="77777777" w:rsidR="009941CC" w:rsidRPr="00282CAF" w:rsidRDefault="009941CC" w:rsidP="009941CC">
      <w:pPr>
        <w:autoSpaceDE w:val="0"/>
        <w:autoSpaceDN w:val="0"/>
        <w:adjustRightInd w:val="0"/>
        <w:spacing w:after="0"/>
        <w:rPr>
          <w:rFonts w:ascii="Times New Roman" w:hAnsi="Times New Roman"/>
          <w:sz w:val="18"/>
          <w:szCs w:val="18"/>
        </w:rPr>
      </w:pPr>
    </w:p>
    <w:p w14:paraId="2205D8B0" w14:textId="77777777" w:rsidR="009941CC" w:rsidRPr="00282CAF" w:rsidRDefault="009941CC" w:rsidP="009941CC">
      <w:pPr>
        <w:autoSpaceDE w:val="0"/>
        <w:autoSpaceDN w:val="0"/>
        <w:adjustRightInd w:val="0"/>
        <w:spacing w:after="0"/>
        <w:rPr>
          <w:rFonts w:ascii="Times New Roman" w:hAnsi="Times New Roman"/>
          <w:sz w:val="18"/>
          <w:szCs w:val="18"/>
        </w:rPr>
      </w:pPr>
      <w:r>
        <w:rPr>
          <w:rFonts w:ascii="Times New Roman" w:hAnsi="Times New Roman"/>
          <w:noProof/>
          <w:sz w:val="18"/>
          <w:szCs w:val="18"/>
          <w:lang w:eastAsia="zh-CN"/>
        </w:rPr>
        <w:lastRenderedPageBreak/>
        <w:drawing>
          <wp:inline distT="0" distB="0" distL="0" distR="0" wp14:anchorId="1F4356E8" wp14:editId="7569C590">
            <wp:extent cx="7274560" cy="5036185"/>
            <wp:effectExtent l="0" t="0" r="2540" b="0"/>
            <wp:docPr id="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74560" cy="5036185"/>
                    </a:xfrm>
                    <a:prstGeom prst="rect">
                      <a:avLst/>
                    </a:prstGeom>
                    <a:noFill/>
                    <a:ln>
                      <a:noFill/>
                    </a:ln>
                  </pic:spPr>
                </pic:pic>
              </a:graphicData>
            </a:graphic>
          </wp:inline>
        </w:drawing>
      </w:r>
    </w:p>
    <w:p w14:paraId="5556A6D6" w14:textId="77777777" w:rsidR="009941CC" w:rsidRPr="00C5381F" w:rsidRDefault="009941CC" w:rsidP="009941CC">
      <w:pPr>
        <w:autoSpaceDE w:val="0"/>
        <w:autoSpaceDN w:val="0"/>
        <w:adjustRightInd w:val="0"/>
        <w:spacing w:after="0"/>
        <w:rPr>
          <w:rFonts w:ascii="Times New Roman" w:hAnsi="Times New Roman"/>
          <w:sz w:val="24"/>
          <w:szCs w:val="24"/>
        </w:rPr>
      </w:pPr>
      <w:r w:rsidRPr="00C5381F">
        <w:rPr>
          <w:rFonts w:ascii="Times New Roman" w:hAnsi="Times New Roman"/>
          <w:b/>
          <w:sz w:val="24"/>
          <w:szCs w:val="24"/>
        </w:rPr>
        <w:t>Fig 3</w:t>
      </w:r>
      <w:r w:rsidRPr="00C5381F">
        <w:rPr>
          <w:rFonts w:ascii="Times New Roman" w:hAnsi="Times New Roman"/>
          <w:sz w:val="24"/>
          <w:szCs w:val="24"/>
        </w:rPr>
        <w:t>. Diurnal variation of normalized seed source strength (normalized by daily maximum; the diamonds are means and bars are standard deviations). Numbers above the X axis are the number of samples used for the corresponding calculations of mean and standard deviation.</w:t>
      </w:r>
    </w:p>
    <w:p w14:paraId="784B43D8" w14:textId="77777777" w:rsidR="009941CC" w:rsidRPr="00282CAF" w:rsidRDefault="009941CC" w:rsidP="009941CC">
      <w:pPr>
        <w:autoSpaceDE w:val="0"/>
        <w:autoSpaceDN w:val="0"/>
        <w:adjustRightInd w:val="0"/>
        <w:spacing w:after="0"/>
        <w:rPr>
          <w:rFonts w:ascii="Times New Roman" w:hAnsi="Times New Roman"/>
          <w:sz w:val="18"/>
          <w:szCs w:val="18"/>
        </w:rPr>
      </w:pPr>
    </w:p>
    <w:p w14:paraId="7A76A914" w14:textId="77777777" w:rsidR="009941CC" w:rsidRDefault="009941CC" w:rsidP="009941CC">
      <w:pPr>
        <w:autoSpaceDE w:val="0"/>
        <w:autoSpaceDN w:val="0"/>
        <w:adjustRightInd w:val="0"/>
        <w:spacing w:after="0"/>
        <w:rPr>
          <w:rFonts w:ascii="Times New Roman" w:hAnsi="Times New Roman"/>
          <w:sz w:val="18"/>
          <w:szCs w:val="18"/>
        </w:rPr>
      </w:pPr>
    </w:p>
    <w:p w14:paraId="35416EF5" w14:textId="77777777" w:rsidR="009941CC" w:rsidRDefault="009941CC" w:rsidP="009941CC">
      <w:pPr>
        <w:autoSpaceDE w:val="0"/>
        <w:autoSpaceDN w:val="0"/>
        <w:adjustRightInd w:val="0"/>
        <w:spacing w:after="0"/>
        <w:rPr>
          <w:rFonts w:ascii="Times New Roman" w:hAnsi="Times New Roman"/>
          <w:sz w:val="18"/>
          <w:szCs w:val="18"/>
        </w:rPr>
      </w:pPr>
      <w:r>
        <w:rPr>
          <w:rFonts w:ascii="Times New Roman" w:hAnsi="Times New Roman"/>
          <w:noProof/>
          <w:sz w:val="18"/>
          <w:szCs w:val="18"/>
          <w:lang w:eastAsia="zh-CN"/>
        </w:rPr>
        <w:lastRenderedPageBreak/>
        <w:drawing>
          <wp:inline distT="0" distB="0" distL="0" distR="0" wp14:anchorId="75CD29DC" wp14:editId="5ACBC333">
            <wp:extent cx="7143750" cy="4748327"/>
            <wp:effectExtent l="0" t="0" r="0" b="0"/>
            <wp:docPr id="1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52388" cy="4754069"/>
                    </a:xfrm>
                    <a:prstGeom prst="rect">
                      <a:avLst/>
                    </a:prstGeom>
                    <a:noFill/>
                    <a:ln>
                      <a:noFill/>
                    </a:ln>
                  </pic:spPr>
                </pic:pic>
              </a:graphicData>
            </a:graphic>
          </wp:inline>
        </w:drawing>
      </w:r>
    </w:p>
    <w:p w14:paraId="2A4A8F3D" w14:textId="77777777" w:rsidR="009941CC" w:rsidRDefault="009941CC" w:rsidP="009941CC">
      <w:pPr>
        <w:autoSpaceDE w:val="0"/>
        <w:autoSpaceDN w:val="0"/>
        <w:adjustRightInd w:val="0"/>
        <w:spacing w:after="0"/>
        <w:rPr>
          <w:rFonts w:ascii="Times New Roman" w:hAnsi="Times New Roman"/>
          <w:sz w:val="18"/>
          <w:szCs w:val="18"/>
        </w:rPr>
      </w:pPr>
    </w:p>
    <w:p w14:paraId="0965CFA9" w14:textId="77777777" w:rsidR="009941CC" w:rsidRPr="00C5381F" w:rsidRDefault="009941CC" w:rsidP="009941CC">
      <w:pPr>
        <w:autoSpaceDE w:val="0"/>
        <w:autoSpaceDN w:val="0"/>
        <w:adjustRightInd w:val="0"/>
        <w:spacing w:after="0"/>
        <w:rPr>
          <w:rFonts w:ascii="Times New Roman" w:hAnsi="Times New Roman"/>
          <w:sz w:val="24"/>
          <w:szCs w:val="24"/>
        </w:rPr>
      </w:pPr>
      <w:bookmarkStart w:id="0" w:name="_GoBack"/>
      <w:commentRangeStart w:id="1"/>
      <w:r w:rsidRPr="00C5381F">
        <w:rPr>
          <w:rFonts w:ascii="Times New Roman" w:hAnsi="Times New Roman"/>
          <w:b/>
          <w:sz w:val="24"/>
          <w:szCs w:val="24"/>
        </w:rPr>
        <w:t>Fig 4</w:t>
      </w:r>
      <w:r w:rsidRPr="00C5381F">
        <w:rPr>
          <w:rFonts w:ascii="Times New Roman" w:hAnsi="Times New Roman"/>
          <w:sz w:val="24"/>
          <w:szCs w:val="24"/>
        </w:rPr>
        <w:t>. Seed concentration (seeds/m</w:t>
      </w:r>
      <w:r w:rsidRPr="00C5381F">
        <w:rPr>
          <w:rFonts w:ascii="Times New Roman" w:hAnsi="Times New Roman"/>
          <w:sz w:val="24"/>
          <w:szCs w:val="24"/>
          <w:vertAlign w:val="superscript"/>
        </w:rPr>
        <w:t>3</w:t>
      </w:r>
      <w:r w:rsidRPr="00C5381F">
        <w:rPr>
          <w:rFonts w:ascii="Times New Roman" w:hAnsi="Times New Roman"/>
          <w:sz w:val="24"/>
          <w:szCs w:val="24"/>
        </w:rPr>
        <w:t xml:space="preserve">) vs. downwind distance and height. The points at distance =0 m at different heights are the averages of the data measured at the corresponding height at distance =0 m during the whole season (showing the averages because the data were too crowded); other data are the data measured during each experimental period. </w:t>
      </w:r>
      <w:bookmarkEnd w:id="0"/>
      <w:commentRangeEnd w:id="1"/>
      <w:r w:rsidR="00A91773">
        <w:rPr>
          <w:rStyle w:val="CommentReference"/>
        </w:rPr>
        <w:commentReference w:id="1"/>
      </w:r>
    </w:p>
    <w:p w14:paraId="21DC3839" w14:textId="77777777" w:rsidR="009941CC" w:rsidRPr="00282CAF" w:rsidRDefault="009941CC" w:rsidP="009941CC">
      <w:pPr>
        <w:autoSpaceDE w:val="0"/>
        <w:autoSpaceDN w:val="0"/>
        <w:adjustRightInd w:val="0"/>
        <w:spacing w:after="0"/>
        <w:rPr>
          <w:rFonts w:ascii="Times New Roman" w:hAnsi="Times New Roman"/>
          <w:sz w:val="18"/>
          <w:szCs w:val="18"/>
        </w:rPr>
      </w:pPr>
    </w:p>
    <w:p w14:paraId="1865B488" w14:textId="77777777" w:rsidR="009941CC" w:rsidRDefault="009941CC" w:rsidP="009941CC">
      <w:pPr>
        <w:autoSpaceDE w:val="0"/>
        <w:autoSpaceDN w:val="0"/>
        <w:adjustRightInd w:val="0"/>
        <w:spacing w:after="0"/>
        <w:rPr>
          <w:rFonts w:ascii="Times New Roman" w:hAnsi="Times New Roman"/>
          <w:sz w:val="18"/>
          <w:szCs w:val="18"/>
        </w:rPr>
      </w:pPr>
    </w:p>
    <w:p w14:paraId="10CB865F" w14:textId="77777777" w:rsidR="009941CC" w:rsidRDefault="009941CC" w:rsidP="009941CC">
      <w:pPr>
        <w:autoSpaceDE w:val="0"/>
        <w:autoSpaceDN w:val="0"/>
        <w:adjustRightInd w:val="0"/>
        <w:spacing w:after="0"/>
        <w:jc w:val="both"/>
        <w:rPr>
          <w:rFonts w:ascii="Times New Roman" w:hAnsi="Times New Roman"/>
          <w:sz w:val="18"/>
          <w:szCs w:val="18"/>
        </w:rPr>
      </w:pPr>
      <w:r>
        <w:rPr>
          <w:rFonts w:ascii="Times New Roman" w:hAnsi="Times New Roman"/>
          <w:noProof/>
          <w:sz w:val="18"/>
          <w:szCs w:val="18"/>
          <w:lang w:eastAsia="zh-CN"/>
        </w:rPr>
        <w:lastRenderedPageBreak/>
        <w:drawing>
          <wp:inline distT="0" distB="0" distL="0" distR="0" wp14:anchorId="560C531E" wp14:editId="31DD8CB4">
            <wp:extent cx="5404485" cy="4312920"/>
            <wp:effectExtent l="0" t="0" r="0" b="0"/>
            <wp:docPr id="1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4485" cy="4312920"/>
                    </a:xfrm>
                    <a:prstGeom prst="rect">
                      <a:avLst/>
                    </a:prstGeom>
                    <a:noFill/>
                    <a:ln>
                      <a:noFill/>
                    </a:ln>
                  </pic:spPr>
                </pic:pic>
              </a:graphicData>
            </a:graphic>
          </wp:inline>
        </w:drawing>
      </w:r>
    </w:p>
    <w:p w14:paraId="6AEEB07E" w14:textId="77777777" w:rsidR="009941CC" w:rsidRPr="00C5381F" w:rsidRDefault="009941CC" w:rsidP="009941CC">
      <w:pPr>
        <w:autoSpaceDE w:val="0"/>
        <w:autoSpaceDN w:val="0"/>
        <w:adjustRightInd w:val="0"/>
        <w:spacing w:after="0"/>
        <w:rPr>
          <w:rFonts w:ascii="Times New Roman" w:hAnsi="Times New Roman"/>
          <w:sz w:val="24"/>
          <w:szCs w:val="24"/>
        </w:rPr>
      </w:pPr>
      <w:r w:rsidRPr="00C5381F">
        <w:rPr>
          <w:rFonts w:ascii="Times New Roman" w:hAnsi="Times New Roman"/>
          <w:b/>
          <w:sz w:val="24"/>
          <w:szCs w:val="24"/>
        </w:rPr>
        <w:t>Fig 5</w:t>
      </w:r>
      <w:r w:rsidRPr="00C5381F">
        <w:rPr>
          <w:rFonts w:ascii="Times New Roman" w:hAnsi="Times New Roman"/>
          <w:sz w:val="24"/>
          <w:szCs w:val="24"/>
        </w:rPr>
        <w:t xml:space="preserve">. </w:t>
      </w:r>
      <w:r w:rsidRPr="00C5381F">
        <w:rPr>
          <w:rFonts w:ascii="Times New Roman" w:hAnsi="Times New Roman" w:cs="Times New Roman"/>
          <w:sz w:val="24"/>
          <w:szCs w:val="24"/>
          <w:lang w:eastAsia="zh-CN"/>
        </w:rPr>
        <w:t xml:space="preserve">Vertical distribution of normalized seed concentration (normalized by the concentration at 0.35 m height in the source center; </w:t>
      </w:r>
      <w:r w:rsidRPr="00C5381F">
        <w:rPr>
          <w:rFonts w:ascii="Times New Roman" w:hAnsi="Times New Roman"/>
          <w:sz w:val="24"/>
          <w:szCs w:val="24"/>
        </w:rPr>
        <w:t>the diamonds are means and bars are standard deviations</w:t>
      </w:r>
      <w:r w:rsidRPr="00C5381F">
        <w:rPr>
          <w:rFonts w:ascii="Times New Roman" w:hAnsi="Times New Roman" w:cs="Times New Roman"/>
          <w:sz w:val="24"/>
          <w:szCs w:val="24"/>
          <w:lang w:eastAsia="zh-CN"/>
        </w:rPr>
        <w:t>).</w:t>
      </w:r>
    </w:p>
    <w:p w14:paraId="61F5C4A3" w14:textId="77777777" w:rsidR="009941CC" w:rsidRPr="00282CAF" w:rsidRDefault="009941CC" w:rsidP="009941CC">
      <w:pPr>
        <w:autoSpaceDE w:val="0"/>
        <w:autoSpaceDN w:val="0"/>
        <w:adjustRightInd w:val="0"/>
        <w:spacing w:after="0"/>
        <w:rPr>
          <w:rFonts w:ascii="Times New Roman" w:hAnsi="Times New Roman"/>
          <w:sz w:val="18"/>
          <w:szCs w:val="18"/>
        </w:rPr>
      </w:pPr>
    </w:p>
    <w:p w14:paraId="2C858C97" w14:textId="77777777" w:rsidR="009941CC" w:rsidRPr="00282CAF" w:rsidRDefault="009941CC" w:rsidP="009941CC">
      <w:pPr>
        <w:autoSpaceDE w:val="0"/>
        <w:autoSpaceDN w:val="0"/>
        <w:adjustRightInd w:val="0"/>
        <w:spacing w:after="0"/>
        <w:rPr>
          <w:rFonts w:ascii="Times New Roman" w:hAnsi="Times New Roman"/>
          <w:sz w:val="18"/>
          <w:szCs w:val="18"/>
        </w:rPr>
      </w:pPr>
    </w:p>
    <w:p w14:paraId="1A6F3B80" w14:textId="77777777" w:rsidR="009941CC" w:rsidRDefault="009941CC" w:rsidP="009941CC">
      <w:pPr>
        <w:autoSpaceDE w:val="0"/>
        <w:autoSpaceDN w:val="0"/>
        <w:adjustRightInd w:val="0"/>
        <w:spacing w:after="0"/>
        <w:rPr>
          <w:rFonts w:ascii="Times New Roman" w:hAnsi="Times New Roman"/>
          <w:sz w:val="18"/>
          <w:szCs w:val="18"/>
        </w:rPr>
      </w:pPr>
    </w:p>
    <w:p w14:paraId="384A4B48" w14:textId="77777777" w:rsidR="009941CC" w:rsidRDefault="009941CC" w:rsidP="009941CC">
      <w:pPr>
        <w:autoSpaceDE w:val="0"/>
        <w:autoSpaceDN w:val="0"/>
        <w:adjustRightInd w:val="0"/>
        <w:spacing w:after="0"/>
        <w:rPr>
          <w:rFonts w:ascii="Times New Roman" w:hAnsi="Times New Roman"/>
          <w:sz w:val="18"/>
          <w:szCs w:val="18"/>
        </w:rPr>
      </w:pPr>
    </w:p>
    <w:p w14:paraId="1536E253" w14:textId="77777777" w:rsidR="009941CC" w:rsidRDefault="009941CC" w:rsidP="009941CC">
      <w:pPr>
        <w:autoSpaceDE w:val="0"/>
        <w:autoSpaceDN w:val="0"/>
        <w:adjustRightInd w:val="0"/>
        <w:spacing w:after="0"/>
        <w:jc w:val="both"/>
        <w:rPr>
          <w:rFonts w:ascii="Times New Roman" w:hAnsi="Times New Roman"/>
          <w:sz w:val="18"/>
          <w:szCs w:val="18"/>
        </w:rPr>
      </w:pPr>
      <w:r>
        <w:rPr>
          <w:rFonts w:ascii="Times New Roman" w:hAnsi="Times New Roman"/>
          <w:noProof/>
          <w:sz w:val="18"/>
          <w:szCs w:val="18"/>
          <w:lang w:eastAsia="zh-CN"/>
        </w:rPr>
        <w:lastRenderedPageBreak/>
        <w:drawing>
          <wp:inline distT="0" distB="0" distL="0" distR="0" wp14:anchorId="1B6B90F6" wp14:editId="08A4F05B">
            <wp:extent cx="5404485" cy="4312920"/>
            <wp:effectExtent l="0" t="0" r="0" b="0"/>
            <wp:docPr id="1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4485" cy="4312920"/>
                    </a:xfrm>
                    <a:prstGeom prst="rect">
                      <a:avLst/>
                    </a:prstGeom>
                    <a:noFill/>
                    <a:ln>
                      <a:noFill/>
                    </a:ln>
                  </pic:spPr>
                </pic:pic>
              </a:graphicData>
            </a:graphic>
          </wp:inline>
        </w:drawing>
      </w:r>
    </w:p>
    <w:p w14:paraId="75954378" w14:textId="77777777" w:rsidR="009941CC" w:rsidRDefault="009941CC" w:rsidP="009941CC">
      <w:pPr>
        <w:autoSpaceDE w:val="0"/>
        <w:autoSpaceDN w:val="0"/>
        <w:adjustRightInd w:val="0"/>
        <w:spacing w:after="0"/>
        <w:rPr>
          <w:rFonts w:ascii="Times New Roman" w:hAnsi="Times New Roman"/>
          <w:sz w:val="18"/>
          <w:szCs w:val="18"/>
        </w:rPr>
      </w:pPr>
    </w:p>
    <w:p w14:paraId="7A4A5112" w14:textId="77777777" w:rsidR="009941CC" w:rsidRPr="00C5381F" w:rsidRDefault="009941CC" w:rsidP="009941CC">
      <w:pPr>
        <w:autoSpaceDE w:val="0"/>
        <w:autoSpaceDN w:val="0"/>
        <w:adjustRightInd w:val="0"/>
        <w:spacing w:after="0"/>
        <w:rPr>
          <w:rFonts w:ascii="Times New Roman" w:hAnsi="Times New Roman"/>
          <w:sz w:val="24"/>
          <w:szCs w:val="24"/>
        </w:rPr>
      </w:pPr>
      <w:r w:rsidRPr="00C5381F">
        <w:rPr>
          <w:rFonts w:ascii="Times New Roman" w:hAnsi="Times New Roman"/>
          <w:b/>
          <w:sz w:val="24"/>
          <w:szCs w:val="24"/>
        </w:rPr>
        <w:t>Fig 6</w:t>
      </w:r>
      <w:r w:rsidRPr="00C5381F">
        <w:rPr>
          <w:rFonts w:ascii="Times New Roman" w:hAnsi="Times New Roman"/>
          <w:sz w:val="24"/>
          <w:szCs w:val="24"/>
        </w:rPr>
        <w:t>. Normalized seed deposition along the downwind direction (seed deposition was normalized by the source strength; the diamonds are means and bars are standard deviations; red line is the fitted trend line).</w:t>
      </w:r>
    </w:p>
    <w:p w14:paraId="101510C2" w14:textId="77777777" w:rsidR="009941CC" w:rsidRPr="00282CAF" w:rsidRDefault="009941CC" w:rsidP="009941CC">
      <w:pPr>
        <w:autoSpaceDE w:val="0"/>
        <w:autoSpaceDN w:val="0"/>
        <w:adjustRightInd w:val="0"/>
        <w:spacing w:after="0"/>
        <w:rPr>
          <w:rFonts w:ascii="Times New Roman" w:hAnsi="Times New Roman"/>
          <w:sz w:val="18"/>
          <w:szCs w:val="18"/>
        </w:rPr>
      </w:pPr>
    </w:p>
    <w:p w14:paraId="1330A7A3" w14:textId="77777777" w:rsidR="009941CC" w:rsidRPr="00282CAF" w:rsidRDefault="009941CC" w:rsidP="009941CC">
      <w:pPr>
        <w:autoSpaceDE w:val="0"/>
        <w:autoSpaceDN w:val="0"/>
        <w:adjustRightInd w:val="0"/>
        <w:spacing w:after="0"/>
        <w:rPr>
          <w:rFonts w:ascii="Times New Roman" w:hAnsi="Times New Roman"/>
          <w:sz w:val="18"/>
          <w:szCs w:val="18"/>
        </w:rPr>
      </w:pPr>
    </w:p>
    <w:p w14:paraId="4C9BE4CB" w14:textId="77777777" w:rsidR="009941CC" w:rsidRPr="00282CAF" w:rsidRDefault="009941CC" w:rsidP="009941CC">
      <w:pPr>
        <w:jc w:val="both"/>
        <w:rPr>
          <w:sz w:val="18"/>
          <w:szCs w:val="18"/>
        </w:rPr>
      </w:pPr>
    </w:p>
    <w:p w14:paraId="13A50BA7" w14:textId="77777777" w:rsidR="004726BA" w:rsidRDefault="004726BA"/>
    <w:sectPr w:rsidR="004726BA" w:rsidSect="00D73B51">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iu, Jun" w:date="2016-11-30T13:34:00Z" w:initials="LJ">
    <w:p w14:paraId="7D602DD5" w14:textId="77777777" w:rsidR="00A91773" w:rsidRDefault="00A91773">
      <w:pPr>
        <w:pStyle w:val="CommentText"/>
      </w:pPr>
      <w:r>
        <w:rPr>
          <w:rStyle w:val="CommentReference"/>
        </w:rPr>
        <w:annotationRef/>
      </w:r>
      <w:r w:rsidRPr="008C78A4">
        <w:rPr>
          <w:rFonts w:ascii="Calibri" w:eastAsia="Times New Roman" w:hAnsi="Calibri" w:cs="Times New Roman"/>
          <w:color w:val="000000"/>
        </w:rPr>
        <w:t>Figure 4 is difficult to read due to too many overlapping data points near the origin. The authors could consider using logarithmic scales or plotting separately the data from the fixed columns and balloons.</w:t>
      </w:r>
      <w:r w:rsidRPr="008C78A4">
        <w:rPr>
          <w:rFonts w:ascii="Calibri" w:eastAsia="Times New Roman" w:hAnsi="Calibri" w:cs="Times New Roman"/>
          <w:color w:val="000000"/>
        </w:rPr>
        <w:br/>
        <w:t>Figure 5 - The green line (power law fit?) is not explained in the caption. It does not seem to fit well the observations at the lowest levels. Maybe a different dependence should be considered.</w:t>
      </w:r>
      <w:r w:rsidRPr="008C78A4">
        <w:rPr>
          <w:rFonts w:ascii="Calibri" w:eastAsia="Times New Roman" w:hAnsi="Calibri" w:cs="Times New Roman"/>
          <w:color w:val="000000"/>
        </w:rPr>
        <w:br/>
        <w:t>Please correct the table captions - the captions say "Number in the parenthesis is p value", table entries have "*" and "NS".</w:t>
      </w:r>
      <w:r w:rsidRPr="008C78A4">
        <w:rPr>
          <w:rFonts w:ascii="Calibri" w:eastAsia="Times New Roman" w:hAnsi="Calibri" w:cs="Times New Roman"/>
          <w:color w:val="000000"/>
        </w:rP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602D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u, Jun">
    <w15:presenceInfo w15:providerId="AD" w15:userId="S-1-5-21-2509641344-1052565914-3260824488-1752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1CC"/>
    <w:rsid w:val="00001293"/>
    <w:rsid w:val="004726BA"/>
    <w:rsid w:val="004A0B87"/>
    <w:rsid w:val="008431D3"/>
    <w:rsid w:val="00896F32"/>
    <w:rsid w:val="009941CC"/>
    <w:rsid w:val="00A91773"/>
    <w:rsid w:val="00D36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B68E"/>
  <w15:docId w15:val="{37CD0E83-2D1D-4E6D-9C08-8818EA449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1CC"/>
    <w:rPr>
      <w:rFonts w:ascii="Tahoma" w:hAnsi="Tahoma" w:cs="Tahoma"/>
      <w:sz w:val="16"/>
      <w:szCs w:val="16"/>
    </w:rPr>
  </w:style>
  <w:style w:type="character" w:styleId="CommentReference">
    <w:name w:val="annotation reference"/>
    <w:basedOn w:val="DefaultParagraphFont"/>
    <w:uiPriority w:val="99"/>
    <w:semiHidden/>
    <w:unhideWhenUsed/>
    <w:rsid w:val="00A91773"/>
    <w:rPr>
      <w:sz w:val="16"/>
      <w:szCs w:val="16"/>
    </w:rPr>
  </w:style>
  <w:style w:type="paragraph" w:styleId="CommentText">
    <w:name w:val="annotation text"/>
    <w:basedOn w:val="Normal"/>
    <w:link w:val="CommentTextChar"/>
    <w:uiPriority w:val="99"/>
    <w:semiHidden/>
    <w:unhideWhenUsed/>
    <w:rsid w:val="00A91773"/>
    <w:pPr>
      <w:spacing w:line="240" w:lineRule="auto"/>
    </w:pPr>
    <w:rPr>
      <w:sz w:val="20"/>
      <w:szCs w:val="20"/>
    </w:rPr>
  </w:style>
  <w:style w:type="character" w:customStyle="1" w:styleId="CommentTextChar">
    <w:name w:val="Comment Text Char"/>
    <w:basedOn w:val="DefaultParagraphFont"/>
    <w:link w:val="CommentText"/>
    <w:uiPriority w:val="99"/>
    <w:semiHidden/>
    <w:rsid w:val="00A91773"/>
    <w:rPr>
      <w:sz w:val="20"/>
      <w:szCs w:val="20"/>
    </w:rPr>
  </w:style>
  <w:style w:type="paragraph" w:styleId="CommentSubject">
    <w:name w:val="annotation subject"/>
    <w:basedOn w:val="CommentText"/>
    <w:next w:val="CommentText"/>
    <w:link w:val="CommentSubjectChar"/>
    <w:uiPriority w:val="99"/>
    <w:semiHidden/>
    <w:unhideWhenUsed/>
    <w:rsid w:val="00A91773"/>
    <w:rPr>
      <w:b/>
      <w:bCs/>
    </w:rPr>
  </w:style>
  <w:style w:type="character" w:customStyle="1" w:styleId="CommentSubjectChar">
    <w:name w:val="Comment Subject Char"/>
    <w:basedOn w:val="CommentTextChar"/>
    <w:link w:val="CommentSubject"/>
    <w:uiPriority w:val="99"/>
    <w:semiHidden/>
    <w:rsid w:val="00A917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wmf"/><Relationship Id="rId5" Type="http://schemas.openxmlformats.org/officeDocument/2006/relationships/image" Target="media/image2.png"/><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User</dc:creator>
  <cp:lastModifiedBy>Liu, Jun</cp:lastModifiedBy>
  <cp:revision>3</cp:revision>
  <dcterms:created xsi:type="dcterms:W3CDTF">2016-08-28T12:33:00Z</dcterms:created>
  <dcterms:modified xsi:type="dcterms:W3CDTF">2016-11-30T19:35:00Z</dcterms:modified>
</cp:coreProperties>
</file>