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D04" w:rsidRPr="00F44D04" w:rsidRDefault="00F44D04" w:rsidP="00F44D04">
      <w:pPr>
        <w:rPr>
          <w:rFonts w:ascii="Times New Roman" w:eastAsia="Times New Roman" w:hAnsi="Times New Roman" w:cs="Times New Roman"/>
          <w:sz w:val="22"/>
          <w:szCs w:val="22"/>
        </w:rPr>
      </w:pPr>
      <w:r w:rsidRPr="00F44D04">
        <w:rPr>
          <w:rFonts w:ascii="Arial" w:eastAsia="Times New Roman" w:hAnsi="Arial" w:cs="Arial"/>
          <w:b/>
          <w:bCs/>
          <w:color w:val="000000"/>
          <w:sz w:val="22"/>
          <w:szCs w:val="22"/>
        </w:rPr>
        <w:t xml:space="preserve">Criteria for selecting candidates </w:t>
      </w:r>
      <w:r w:rsidRPr="00F44D04">
        <w:rPr>
          <w:rFonts w:ascii="Arial" w:eastAsia="Times New Roman" w:hAnsi="Arial" w:cs="Arial"/>
          <w:color w:val="000000"/>
          <w:sz w:val="22"/>
          <w:szCs w:val="22"/>
        </w:rPr>
        <w:t xml:space="preserve">(script: </w:t>
      </w:r>
      <w:proofErr w:type="spellStart"/>
      <w:r w:rsidRPr="00F44D04">
        <w:rPr>
          <w:rFonts w:ascii="Arial" w:eastAsia="Times New Roman" w:hAnsi="Arial" w:cs="Arial"/>
          <w:color w:val="000000"/>
          <w:sz w:val="22"/>
          <w:szCs w:val="22"/>
        </w:rPr>
        <w:t>interesting_</w:t>
      </w:r>
      <w:proofErr w:type="gramStart"/>
      <w:r w:rsidRPr="00F44D04">
        <w:rPr>
          <w:rFonts w:ascii="Arial" w:eastAsia="Times New Roman" w:hAnsi="Arial" w:cs="Arial"/>
          <w:color w:val="000000"/>
          <w:sz w:val="22"/>
          <w:szCs w:val="22"/>
        </w:rPr>
        <w:t>genes.Rmd</w:t>
      </w:r>
      <w:proofErr w:type="spellEnd"/>
      <w:proofErr w:type="gramEnd"/>
      <w:r w:rsidRPr="00F44D04">
        <w:rPr>
          <w:rFonts w:ascii="Arial" w:eastAsia="Times New Roman" w:hAnsi="Arial" w:cs="Arial"/>
          <w:color w:val="000000"/>
          <w:sz w:val="22"/>
          <w:szCs w:val="22"/>
        </w:rPr>
        <w:t>)</w:t>
      </w:r>
    </w:p>
    <w:p w:rsidR="00F44D04" w:rsidRPr="00F44D04" w:rsidRDefault="00F44D04" w:rsidP="00F44D04">
      <w:pPr>
        <w:rPr>
          <w:rFonts w:ascii="Arial" w:eastAsia="Times New Roman" w:hAnsi="Arial" w:cs="Arial"/>
          <w:b/>
          <w:bCs/>
          <w:i/>
          <w:iCs/>
          <w:color w:val="000000"/>
          <w:sz w:val="22"/>
          <w:szCs w:val="22"/>
        </w:rPr>
      </w:pPr>
    </w:p>
    <w:p w:rsidR="00F44D04" w:rsidRPr="00F44D04" w:rsidRDefault="00F44D04" w:rsidP="00F44D04">
      <w:pPr>
        <w:rPr>
          <w:rFonts w:ascii="Times New Roman" w:eastAsia="Times New Roman" w:hAnsi="Times New Roman" w:cs="Times New Roman"/>
          <w:sz w:val="22"/>
          <w:szCs w:val="22"/>
        </w:rPr>
      </w:pPr>
      <w:r w:rsidRPr="00F44D04">
        <w:rPr>
          <w:rFonts w:ascii="Arial" w:eastAsia="Times New Roman" w:hAnsi="Arial" w:cs="Arial"/>
          <w:b/>
          <w:bCs/>
          <w:i/>
          <w:iCs/>
          <w:color w:val="000000"/>
          <w:sz w:val="22"/>
          <w:szCs w:val="22"/>
        </w:rPr>
        <w:t>IIS QTL interval genes:</w:t>
      </w:r>
      <w:r w:rsidRPr="00F44D04">
        <w:rPr>
          <w:rFonts w:ascii="Arial" w:eastAsia="Times New Roman" w:hAnsi="Arial" w:cs="Arial"/>
          <w:b/>
          <w:bCs/>
          <w:color w:val="000000"/>
          <w:sz w:val="22"/>
          <w:szCs w:val="22"/>
        </w:rPr>
        <w:t xml:space="preserve"> </w:t>
      </w:r>
      <w:r w:rsidRPr="00F44D04">
        <w:rPr>
          <w:rFonts w:ascii="Arial" w:eastAsia="Times New Roman" w:hAnsi="Arial" w:cs="Arial"/>
          <w:color w:val="000000"/>
          <w:sz w:val="22"/>
          <w:szCs w:val="22"/>
        </w:rPr>
        <w:t xml:space="preserve">(from script: </w:t>
      </w:r>
      <w:proofErr w:type="spellStart"/>
      <w:r w:rsidRPr="00F44D04">
        <w:rPr>
          <w:rFonts w:ascii="Arial" w:eastAsia="Times New Roman" w:hAnsi="Arial" w:cs="Arial"/>
          <w:color w:val="000000"/>
          <w:sz w:val="22"/>
          <w:szCs w:val="22"/>
        </w:rPr>
        <w:t>genes_in_QTL.Rmd</w:t>
      </w:r>
      <w:proofErr w:type="spellEnd"/>
      <w:r w:rsidRPr="00F44D04">
        <w:rPr>
          <w:rFonts w:ascii="Arial" w:eastAsia="Times New Roman" w:hAnsi="Arial" w:cs="Arial"/>
          <w:color w:val="000000"/>
          <w:sz w:val="22"/>
          <w:szCs w:val="22"/>
        </w:rPr>
        <w:t>)</w:t>
      </w:r>
    </w:p>
    <w:p w:rsidR="00F44D04" w:rsidRPr="00F44D04" w:rsidRDefault="00F44D04" w:rsidP="00F44D04">
      <w:pPr>
        <w:numPr>
          <w:ilvl w:val="0"/>
          <w:numId w:val="1"/>
        </w:numPr>
        <w:textAlignment w:val="baseline"/>
        <w:rPr>
          <w:rFonts w:ascii="Arial" w:eastAsia="Times New Roman" w:hAnsi="Arial" w:cs="Arial"/>
          <w:color w:val="000000"/>
          <w:sz w:val="22"/>
          <w:szCs w:val="22"/>
        </w:rPr>
      </w:pPr>
      <w:r w:rsidRPr="00F44D04">
        <w:rPr>
          <w:rFonts w:ascii="Arial" w:eastAsia="Times New Roman" w:hAnsi="Arial" w:cs="Arial"/>
          <w:color w:val="000000"/>
          <w:sz w:val="22"/>
          <w:szCs w:val="22"/>
        </w:rPr>
        <w:t xml:space="preserve">215 DEGs identified under BCIs that are in both treatment effect DEGs and interaction effect DEGs (LRT, </w:t>
      </w:r>
      <w:proofErr w:type="spellStart"/>
      <w:r w:rsidRPr="00F44D04">
        <w:rPr>
          <w:rFonts w:ascii="Arial" w:eastAsia="Times New Roman" w:hAnsi="Arial" w:cs="Arial"/>
          <w:color w:val="000000"/>
          <w:sz w:val="22"/>
          <w:szCs w:val="22"/>
        </w:rPr>
        <w:t>qval</w:t>
      </w:r>
      <w:proofErr w:type="spellEnd"/>
      <w:r w:rsidRPr="00F44D04">
        <w:rPr>
          <w:rFonts w:ascii="Arial" w:eastAsia="Times New Roman" w:hAnsi="Arial" w:cs="Arial"/>
          <w:color w:val="000000"/>
          <w:sz w:val="22"/>
          <w:szCs w:val="22"/>
        </w:rPr>
        <w:t xml:space="preserve">&lt;0.05) (all_diffExpr_underQTL.csv). </w:t>
      </w:r>
    </w:p>
    <w:p w:rsidR="00F44D04" w:rsidRPr="00F44D04" w:rsidRDefault="00F44D04" w:rsidP="00F44D04">
      <w:pPr>
        <w:numPr>
          <w:ilvl w:val="0"/>
          <w:numId w:val="1"/>
        </w:numPr>
        <w:textAlignment w:val="baseline"/>
        <w:rPr>
          <w:rFonts w:ascii="Arial" w:eastAsia="Times New Roman" w:hAnsi="Arial" w:cs="Arial"/>
          <w:color w:val="000000"/>
          <w:sz w:val="22"/>
          <w:szCs w:val="22"/>
        </w:rPr>
      </w:pPr>
      <w:r w:rsidRPr="00F44D04">
        <w:rPr>
          <w:rFonts w:ascii="Arial" w:eastAsia="Times New Roman" w:hAnsi="Arial" w:cs="Arial"/>
          <w:color w:val="000000"/>
          <w:sz w:val="22"/>
          <w:szCs w:val="22"/>
        </w:rPr>
        <w:t xml:space="preserve">This set had 139 unique genes (unique_geneList.csv). </w:t>
      </w:r>
    </w:p>
    <w:p w:rsidR="00F44D04" w:rsidRPr="00F44D04" w:rsidRDefault="00F44D04" w:rsidP="00F44D04">
      <w:pPr>
        <w:numPr>
          <w:ilvl w:val="0"/>
          <w:numId w:val="1"/>
        </w:numPr>
        <w:textAlignment w:val="baseline"/>
        <w:rPr>
          <w:rFonts w:ascii="Arial" w:eastAsia="Times New Roman" w:hAnsi="Arial" w:cs="Arial"/>
          <w:color w:val="000000"/>
          <w:sz w:val="22"/>
          <w:szCs w:val="22"/>
        </w:rPr>
      </w:pPr>
      <w:r w:rsidRPr="00F44D04">
        <w:rPr>
          <w:rFonts w:ascii="Arial" w:eastAsia="Times New Roman" w:hAnsi="Arial" w:cs="Arial"/>
          <w:color w:val="000000"/>
          <w:sz w:val="22"/>
          <w:szCs w:val="22"/>
        </w:rPr>
        <w:t xml:space="preserve">12 of these are located within 100 </w:t>
      </w:r>
      <w:proofErr w:type="spellStart"/>
      <w:r w:rsidRPr="00F44D04">
        <w:rPr>
          <w:rFonts w:ascii="Arial" w:eastAsia="Times New Roman" w:hAnsi="Arial" w:cs="Arial"/>
          <w:color w:val="000000"/>
          <w:sz w:val="22"/>
          <w:szCs w:val="22"/>
        </w:rPr>
        <w:t>Kb</w:t>
      </w:r>
      <w:proofErr w:type="spellEnd"/>
      <w:r w:rsidRPr="00F44D04">
        <w:rPr>
          <w:rFonts w:ascii="Arial" w:eastAsia="Times New Roman" w:hAnsi="Arial" w:cs="Arial"/>
          <w:color w:val="000000"/>
          <w:sz w:val="22"/>
          <w:szCs w:val="22"/>
        </w:rPr>
        <w:t xml:space="preserve"> of </w:t>
      </w:r>
      <w:proofErr w:type="spellStart"/>
      <w:r w:rsidRPr="00F44D04">
        <w:rPr>
          <w:rFonts w:ascii="Arial" w:eastAsia="Times New Roman" w:hAnsi="Arial" w:cs="Arial"/>
          <w:color w:val="000000"/>
          <w:sz w:val="22"/>
          <w:szCs w:val="22"/>
        </w:rPr>
        <w:t>eQTL</w:t>
      </w:r>
      <w:proofErr w:type="spellEnd"/>
      <w:r w:rsidRPr="00F44D04">
        <w:rPr>
          <w:rFonts w:ascii="Arial" w:eastAsia="Times New Roman" w:hAnsi="Arial" w:cs="Arial"/>
          <w:color w:val="000000"/>
          <w:sz w:val="22"/>
          <w:szCs w:val="22"/>
        </w:rPr>
        <w:t xml:space="preserve"> peak markers: </w:t>
      </w:r>
      <w:proofErr w:type="spellStart"/>
      <w:r w:rsidRPr="00F44D04">
        <w:rPr>
          <w:rFonts w:ascii="Arial" w:eastAsia="Times New Roman" w:hAnsi="Arial" w:cs="Arial"/>
          <w:color w:val="000000"/>
          <w:sz w:val="22"/>
          <w:szCs w:val="22"/>
        </w:rPr>
        <w:t>Ahcy</w:t>
      </w:r>
      <w:proofErr w:type="spellEnd"/>
      <w:r w:rsidRPr="00F44D04">
        <w:rPr>
          <w:rFonts w:ascii="Arial" w:eastAsia="Times New Roman" w:hAnsi="Arial" w:cs="Arial"/>
          <w:color w:val="000000"/>
          <w:sz w:val="22"/>
          <w:szCs w:val="22"/>
        </w:rPr>
        <w:t xml:space="preserve">, CG40486, Non1, </w:t>
      </w:r>
      <w:proofErr w:type="spellStart"/>
      <w:r w:rsidRPr="00F44D04">
        <w:rPr>
          <w:rFonts w:ascii="Arial" w:eastAsia="Times New Roman" w:hAnsi="Arial" w:cs="Arial"/>
          <w:color w:val="000000"/>
          <w:sz w:val="22"/>
          <w:szCs w:val="22"/>
        </w:rPr>
        <w:t>prel</w:t>
      </w:r>
      <w:proofErr w:type="spellEnd"/>
      <w:r w:rsidRPr="00F44D04">
        <w:rPr>
          <w:rFonts w:ascii="Arial" w:eastAsia="Times New Roman" w:hAnsi="Arial" w:cs="Arial"/>
          <w:color w:val="000000"/>
          <w:sz w:val="22"/>
          <w:szCs w:val="22"/>
        </w:rPr>
        <w:t>, ced-6, CG33774, Wnt2, CG1882, Dgat2, mus205, CG12822, CG10357. Converted coordinates to v6</w:t>
      </w:r>
    </w:p>
    <w:p w:rsidR="00F44D04" w:rsidRPr="00F44D04" w:rsidRDefault="00F44D04" w:rsidP="00F44D04">
      <w:pPr>
        <w:rPr>
          <w:rFonts w:ascii="Times New Roman" w:eastAsia="Times New Roman" w:hAnsi="Times New Roman" w:cs="Times New Roman"/>
          <w:sz w:val="22"/>
          <w:szCs w:val="22"/>
        </w:rPr>
      </w:pPr>
    </w:p>
    <w:p w:rsidR="00F44D04" w:rsidRPr="00F44D04" w:rsidRDefault="00F44D04" w:rsidP="00F44D04">
      <w:pPr>
        <w:rPr>
          <w:rFonts w:ascii="Times New Roman" w:eastAsia="Times New Roman" w:hAnsi="Times New Roman" w:cs="Times New Roman"/>
          <w:sz w:val="22"/>
          <w:szCs w:val="22"/>
        </w:rPr>
      </w:pPr>
      <w:r w:rsidRPr="00F44D04">
        <w:rPr>
          <w:rFonts w:ascii="Arial" w:eastAsia="Times New Roman" w:hAnsi="Arial" w:cs="Arial"/>
          <w:b/>
          <w:bCs/>
          <w:color w:val="000000"/>
          <w:sz w:val="22"/>
          <w:szCs w:val="22"/>
        </w:rPr>
        <w:t>Modules from WGCNA</w:t>
      </w:r>
      <w:r w:rsidRPr="00F44D04">
        <w:rPr>
          <w:rFonts w:ascii="Arial" w:eastAsia="Times New Roman" w:hAnsi="Arial" w:cs="Arial"/>
          <w:color w:val="000000"/>
          <w:sz w:val="22"/>
          <w:szCs w:val="22"/>
        </w:rPr>
        <w:t xml:space="preserve"> (from script: </w:t>
      </w:r>
      <w:proofErr w:type="spellStart"/>
      <w:r w:rsidRPr="00F44D04">
        <w:rPr>
          <w:rFonts w:ascii="Arial" w:eastAsia="Times New Roman" w:hAnsi="Arial" w:cs="Arial"/>
          <w:color w:val="000000"/>
          <w:sz w:val="22"/>
          <w:szCs w:val="22"/>
        </w:rPr>
        <w:t>wgcnaCoex.Rmd</w:t>
      </w:r>
      <w:proofErr w:type="spellEnd"/>
      <w:r w:rsidRPr="00F44D04">
        <w:rPr>
          <w:rFonts w:ascii="Arial" w:eastAsia="Times New Roman" w:hAnsi="Arial" w:cs="Arial"/>
          <w:color w:val="000000"/>
          <w:sz w:val="22"/>
          <w:szCs w:val="22"/>
        </w:rPr>
        <w:t>)</w:t>
      </w:r>
    </w:p>
    <w:p w:rsidR="00F44D04" w:rsidRPr="00F44D04" w:rsidRDefault="00F44D04" w:rsidP="00F44D04">
      <w:pPr>
        <w:numPr>
          <w:ilvl w:val="0"/>
          <w:numId w:val="2"/>
        </w:numPr>
        <w:textAlignment w:val="baseline"/>
        <w:rPr>
          <w:rFonts w:ascii="Arial" w:eastAsia="Times New Roman" w:hAnsi="Arial" w:cs="Arial"/>
          <w:color w:val="000000"/>
          <w:sz w:val="22"/>
          <w:szCs w:val="22"/>
        </w:rPr>
      </w:pPr>
      <w:r w:rsidRPr="00F44D04">
        <w:rPr>
          <w:rFonts w:ascii="Arial" w:eastAsia="Times New Roman" w:hAnsi="Arial" w:cs="Arial"/>
          <w:color w:val="000000"/>
          <w:sz w:val="22"/>
          <w:szCs w:val="22"/>
        </w:rPr>
        <w:t>WGNCA was done on batch-corrected (</w:t>
      </w:r>
      <w:proofErr w:type="spellStart"/>
      <w:r w:rsidRPr="00F44D04">
        <w:rPr>
          <w:rFonts w:ascii="Arial" w:eastAsia="Times New Roman" w:hAnsi="Arial" w:cs="Arial"/>
          <w:color w:val="000000"/>
          <w:sz w:val="22"/>
          <w:szCs w:val="22"/>
        </w:rPr>
        <w:t>limma</w:t>
      </w:r>
      <w:proofErr w:type="spellEnd"/>
      <w:r w:rsidRPr="00F44D04">
        <w:rPr>
          <w:rFonts w:ascii="Arial" w:eastAsia="Times New Roman" w:hAnsi="Arial" w:cs="Arial"/>
          <w:color w:val="000000"/>
          <w:sz w:val="22"/>
          <w:szCs w:val="22"/>
        </w:rPr>
        <w:t xml:space="preserve">) and </w:t>
      </w:r>
      <w:proofErr w:type="spellStart"/>
      <w:r w:rsidRPr="00F44D04">
        <w:rPr>
          <w:rFonts w:ascii="Arial" w:eastAsia="Times New Roman" w:hAnsi="Arial" w:cs="Arial"/>
          <w:color w:val="000000"/>
          <w:sz w:val="22"/>
          <w:szCs w:val="22"/>
        </w:rPr>
        <w:t>rlog</w:t>
      </w:r>
      <w:proofErr w:type="spellEnd"/>
      <w:r w:rsidRPr="00F44D04">
        <w:rPr>
          <w:rFonts w:ascii="Arial" w:eastAsia="Times New Roman" w:hAnsi="Arial" w:cs="Arial"/>
          <w:color w:val="000000"/>
          <w:sz w:val="22"/>
          <w:szCs w:val="22"/>
        </w:rPr>
        <w:t xml:space="preserve"> transformed </w:t>
      </w:r>
      <w:proofErr w:type="spellStart"/>
      <w:r w:rsidRPr="00F44D04">
        <w:rPr>
          <w:rFonts w:ascii="Arial" w:eastAsia="Times New Roman" w:hAnsi="Arial" w:cs="Arial"/>
          <w:color w:val="000000"/>
          <w:sz w:val="22"/>
          <w:szCs w:val="22"/>
        </w:rPr>
        <w:t>exprs</w:t>
      </w:r>
      <w:proofErr w:type="spellEnd"/>
      <w:r w:rsidRPr="00F44D04">
        <w:rPr>
          <w:rFonts w:ascii="Arial" w:eastAsia="Times New Roman" w:hAnsi="Arial" w:cs="Arial"/>
          <w:color w:val="000000"/>
          <w:sz w:val="22"/>
          <w:szCs w:val="22"/>
        </w:rPr>
        <w:t xml:space="preserve"> data (rlogtrt_batchCor.csv). </w:t>
      </w:r>
    </w:p>
    <w:p w:rsidR="00F44D04" w:rsidRPr="00F44D04" w:rsidRDefault="00F44D04" w:rsidP="00F44D04">
      <w:pPr>
        <w:numPr>
          <w:ilvl w:val="0"/>
          <w:numId w:val="2"/>
        </w:numPr>
        <w:textAlignment w:val="baseline"/>
        <w:rPr>
          <w:rFonts w:ascii="Arial" w:eastAsia="Times New Roman" w:hAnsi="Arial" w:cs="Arial"/>
          <w:color w:val="000000"/>
          <w:sz w:val="22"/>
          <w:szCs w:val="22"/>
        </w:rPr>
      </w:pPr>
      <w:r w:rsidRPr="00F44D04">
        <w:rPr>
          <w:rFonts w:ascii="Arial" w:eastAsia="Times New Roman" w:hAnsi="Arial" w:cs="Arial"/>
          <w:color w:val="000000"/>
          <w:sz w:val="22"/>
          <w:szCs w:val="22"/>
        </w:rPr>
        <w:t>Identified 22 modules including grey with 45 genes.</w:t>
      </w:r>
    </w:p>
    <w:p w:rsidR="00F44D04" w:rsidRPr="00F44D04" w:rsidRDefault="00F44D04" w:rsidP="00F44D04">
      <w:pPr>
        <w:rPr>
          <w:rFonts w:ascii="Times New Roman" w:eastAsia="Times New Roman" w:hAnsi="Times New Roman" w:cs="Times New Roman"/>
          <w:sz w:val="22"/>
          <w:szCs w:val="22"/>
        </w:rPr>
      </w:pPr>
    </w:p>
    <w:p w:rsidR="00F44D04" w:rsidRPr="00F44D04" w:rsidRDefault="00F44D04" w:rsidP="00F44D04">
      <w:pPr>
        <w:rPr>
          <w:rFonts w:ascii="Times New Roman" w:eastAsia="Times New Roman" w:hAnsi="Times New Roman" w:cs="Times New Roman"/>
          <w:sz w:val="22"/>
          <w:szCs w:val="22"/>
        </w:rPr>
      </w:pPr>
      <w:r w:rsidRPr="00F44D04">
        <w:rPr>
          <w:rFonts w:ascii="Arial" w:eastAsia="Times New Roman" w:hAnsi="Arial" w:cs="Arial"/>
          <w:b/>
          <w:bCs/>
          <w:color w:val="000000"/>
          <w:sz w:val="22"/>
          <w:szCs w:val="22"/>
        </w:rPr>
        <w:t xml:space="preserve">Genes from GSEA analysis using GAGE </w:t>
      </w:r>
      <w:r w:rsidRPr="00F44D04">
        <w:rPr>
          <w:rFonts w:ascii="Arial" w:eastAsia="Times New Roman" w:hAnsi="Arial" w:cs="Arial"/>
          <w:color w:val="000000"/>
          <w:sz w:val="22"/>
          <w:szCs w:val="22"/>
        </w:rPr>
        <w:t xml:space="preserve">(script: </w:t>
      </w:r>
      <w:proofErr w:type="spellStart"/>
      <w:r w:rsidRPr="00F44D04">
        <w:rPr>
          <w:rFonts w:ascii="Arial" w:eastAsia="Times New Roman" w:hAnsi="Arial" w:cs="Arial"/>
          <w:color w:val="000000"/>
          <w:sz w:val="22"/>
          <w:szCs w:val="22"/>
        </w:rPr>
        <w:t>gsea_</w:t>
      </w:r>
      <w:proofErr w:type="gramStart"/>
      <w:r w:rsidRPr="00F44D04">
        <w:rPr>
          <w:rFonts w:ascii="Arial" w:eastAsia="Times New Roman" w:hAnsi="Arial" w:cs="Arial"/>
          <w:color w:val="000000"/>
          <w:sz w:val="22"/>
          <w:szCs w:val="22"/>
        </w:rPr>
        <w:t>GO.Rmd</w:t>
      </w:r>
      <w:proofErr w:type="spellEnd"/>
      <w:proofErr w:type="gramEnd"/>
      <w:r w:rsidRPr="00F44D04">
        <w:rPr>
          <w:rFonts w:ascii="Arial" w:eastAsia="Times New Roman" w:hAnsi="Arial" w:cs="Arial"/>
          <w:color w:val="000000"/>
          <w:sz w:val="22"/>
          <w:szCs w:val="22"/>
        </w:rPr>
        <w:t>)</w:t>
      </w:r>
    </w:p>
    <w:p w:rsidR="00F44D04" w:rsidRPr="00F44D04" w:rsidRDefault="00F44D04" w:rsidP="00F44D04">
      <w:pPr>
        <w:numPr>
          <w:ilvl w:val="0"/>
          <w:numId w:val="3"/>
        </w:numPr>
        <w:textAlignment w:val="baseline"/>
        <w:rPr>
          <w:rFonts w:ascii="Arial" w:eastAsia="Times New Roman" w:hAnsi="Arial" w:cs="Arial"/>
          <w:color w:val="000000"/>
          <w:sz w:val="22"/>
          <w:szCs w:val="22"/>
        </w:rPr>
      </w:pPr>
      <w:r w:rsidRPr="00F44D04">
        <w:rPr>
          <w:rFonts w:ascii="Arial" w:eastAsia="Times New Roman" w:hAnsi="Arial" w:cs="Arial"/>
          <w:color w:val="000000"/>
          <w:sz w:val="22"/>
          <w:szCs w:val="22"/>
        </w:rPr>
        <w:t xml:space="preserve">Set up KEEG and GO gene sets using </w:t>
      </w:r>
      <w:proofErr w:type="spellStart"/>
      <w:r w:rsidRPr="00F44D04">
        <w:rPr>
          <w:rFonts w:ascii="Arial" w:eastAsia="Times New Roman" w:hAnsi="Arial" w:cs="Arial"/>
          <w:color w:val="000000"/>
          <w:sz w:val="22"/>
          <w:szCs w:val="22"/>
        </w:rPr>
        <w:t>org.Dm.eg.db</w:t>
      </w:r>
      <w:proofErr w:type="spellEnd"/>
      <w:r w:rsidRPr="00F44D04">
        <w:rPr>
          <w:rFonts w:ascii="Arial" w:eastAsia="Times New Roman" w:hAnsi="Arial" w:cs="Arial"/>
          <w:color w:val="000000"/>
          <w:sz w:val="22"/>
          <w:szCs w:val="22"/>
        </w:rPr>
        <w:t xml:space="preserve"> database</w:t>
      </w:r>
    </w:p>
    <w:p w:rsidR="00F44D04" w:rsidRPr="00F44D04" w:rsidRDefault="00F44D04" w:rsidP="00F44D04">
      <w:pPr>
        <w:numPr>
          <w:ilvl w:val="0"/>
          <w:numId w:val="3"/>
        </w:numPr>
        <w:textAlignment w:val="baseline"/>
        <w:rPr>
          <w:rFonts w:ascii="Arial" w:eastAsia="Times New Roman" w:hAnsi="Arial" w:cs="Arial"/>
          <w:color w:val="000000"/>
          <w:sz w:val="22"/>
          <w:szCs w:val="22"/>
        </w:rPr>
      </w:pPr>
      <w:r w:rsidRPr="00F44D04">
        <w:rPr>
          <w:rFonts w:ascii="Arial" w:eastAsia="Times New Roman" w:hAnsi="Arial" w:cs="Arial"/>
          <w:color w:val="000000"/>
          <w:sz w:val="22"/>
          <w:szCs w:val="22"/>
        </w:rPr>
        <w:t>Used treatment DEGs (2475 genes, DEGs_lrt.treatment_0.05.csv)</w:t>
      </w:r>
    </w:p>
    <w:p w:rsidR="00F44D04" w:rsidRPr="00F44D04" w:rsidRDefault="00F44D04" w:rsidP="00F44D04">
      <w:pPr>
        <w:numPr>
          <w:ilvl w:val="0"/>
          <w:numId w:val="3"/>
        </w:numPr>
        <w:textAlignment w:val="baseline"/>
        <w:rPr>
          <w:rFonts w:ascii="Arial" w:eastAsia="Times New Roman" w:hAnsi="Arial" w:cs="Arial"/>
          <w:color w:val="000000"/>
          <w:sz w:val="22"/>
          <w:szCs w:val="22"/>
        </w:rPr>
      </w:pPr>
      <w:r w:rsidRPr="00F44D04">
        <w:rPr>
          <w:rFonts w:ascii="Arial" w:eastAsia="Times New Roman" w:hAnsi="Arial" w:cs="Arial"/>
          <w:color w:val="000000"/>
          <w:sz w:val="22"/>
          <w:szCs w:val="22"/>
        </w:rPr>
        <w:t xml:space="preserve">Converted IDs to </w:t>
      </w:r>
      <w:proofErr w:type="spellStart"/>
      <w:r w:rsidRPr="00F44D04">
        <w:rPr>
          <w:rFonts w:ascii="Arial" w:eastAsia="Times New Roman" w:hAnsi="Arial" w:cs="Arial"/>
          <w:color w:val="000000"/>
          <w:sz w:val="22"/>
          <w:szCs w:val="22"/>
        </w:rPr>
        <w:t>entrez</w:t>
      </w:r>
      <w:proofErr w:type="spellEnd"/>
      <w:r w:rsidRPr="00F44D04">
        <w:rPr>
          <w:rFonts w:ascii="Arial" w:eastAsia="Times New Roman" w:hAnsi="Arial" w:cs="Arial"/>
          <w:color w:val="000000"/>
          <w:sz w:val="22"/>
          <w:szCs w:val="22"/>
        </w:rPr>
        <w:t xml:space="preserve"> and run GAGE on each diet in each tissue</w:t>
      </w:r>
    </w:p>
    <w:p w:rsidR="00F44D04" w:rsidRDefault="00F44D04" w:rsidP="00F44D04">
      <w:pPr>
        <w:numPr>
          <w:ilvl w:val="0"/>
          <w:numId w:val="3"/>
        </w:numPr>
        <w:textAlignment w:val="baseline"/>
        <w:rPr>
          <w:rFonts w:ascii="Arial" w:eastAsia="Times New Roman" w:hAnsi="Arial" w:cs="Arial"/>
          <w:color w:val="000000"/>
          <w:sz w:val="22"/>
          <w:szCs w:val="22"/>
        </w:rPr>
      </w:pPr>
      <w:r w:rsidRPr="00F44D04">
        <w:rPr>
          <w:rFonts w:ascii="Arial" w:eastAsia="Times New Roman" w:hAnsi="Arial" w:cs="Arial"/>
          <w:color w:val="000000"/>
          <w:sz w:val="22"/>
          <w:szCs w:val="22"/>
        </w:rPr>
        <w:t xml:space="preserve">Identified 4 pathways </w:t>
      </w:r>
      <w:proofErr w:type="spellStart"/>
      <w:r w:rsidRPr="00F44D04">
        <w:rPr>
          <w:rFonts w:ascii="Arial" w:eastAsia="Times New Roman" w:hAnsi="Arial" w:cs="Arial"/>
          <w:color w:val="000000"/>
          <w:sz w:val="22"/>
          <w:szCs w:val="22"/>
        </w:rPr>
        <w:t>qval</w:t>
      </w:r>
      <w:proofErr w:type="spellEnd"/>
      <w:r w:rsidRPr="00F44D04">
        <w:rPr>
          <w:rFonts w:ascii="Arial" w:eastAsia="Times New Roman" w:hAnsi="Arial" w:cs="Arial"/>
          <w:color w:val="000000"/>
          <w:sz w:val="22"/>
          <w:szCs w:val="22"/>
        </w:rPr>
        <w:t>&lt;0.05:</w:t>
      </w:r>
    </w:p>
    <w:p w:rsidR="00F44D04" w:rsidRPr="00F44D04" w:rsidRDefault="00F44D04" w:rsidP="00F44D04">
      <w:pPr>
        <w:ind w:left="720"/>
        <w:textAlignment w:val="baseline"/>
        <w:rPr>
          <w:rFonts w:ascii="Arial" w:eastAsia="Times New Roman" w:hAnsi="Arial" w:cs="Arial"/>
          <w:color w:val="000000"/>
          <w:sz w:val="22"/>
          <w:szCs w:val="22"/>
        </w:rPr>
      </w:pPr>
    </w:p>
    <w:p w:rsidR="00F44D04" w:rsidRPr="00F44D04" w:rsidRDefault="00F44D04" w:rsidP="00F44D04">
      <w:pPr>
        <w:rPr>
          <w:rFonts w:ascii="Times New Roman" w:eastAsia="Times New Roman" w:hAnsi="Times New Roman" w:cs="Times New Roman"/>
        </w:rPr>
      </w:pPr>
      <w:r w:rsidRPr="00F44D04">
        <w:rPr>
          <w:rFonts w:ascii="Calibri" w:eastAsia="Times New Roman" w:hAnsi="Calibri" w:cs="Calibri"/>
          <w:color w:val="000000"/>
          <w:sz w:val="20"/>
          <w:szCs w:val="20"/>
        </w:rPr>
        <w:t xml:space="preserve">pathway                         </w:t>
      </w:r>
      <w:proofErr w:type="spellStart"/>
      <w:proofErr w:type="gramStart"/>
      <w:r w:rsidRPr="00F44D04">
        <w:rPr>
          <w:rFonts w:ascii="Calibri" w:eastAsia="Times New Roman" w:hAnsi="Calibri" w:cs="Calibri"/>
          <w:color w:val="000000"/>
          <w:sz w:val="20"/>
          <w:szCs w:val="20"/>
        </w:rPr>
        <w:t>stat.mean</w:t>
      </w:r>
      <w:proofErr w:type="spellEnd"/>
      <w:proofErr w:type="gramEnd"/>
      <w:r w:rsidRPr="00F44D04">
        <w:rPr>
          <w:rFonts w:ascii="Calibri" w:eastAsia="Times New Roman" w:hAnsi="Calibri" w:cs="Calibri"/>
          <w:color w:val="000000"/>
          <w:sz w:val="20"/>
          <w:szCs w:val="20"/>
        </w:rPr>
        <w:t xml:space="preserve">            </w:t>
      </w:r>
      <w:proofErr w:type="spellStart"/>
      <w:r w:rsidRPr="00F44D04">
        <w:rPr>
          <w:rFonts w:ascii="Calibri" w:eastAsia="Times New Roman" w:hAnsi="Calibri" w:cs="Calibri"/>
          <w:color w:val="000000"/>
          <w:sz w:val="20"/>
          <w:szCs w:val="20"/>
        </w:rPr>
        <w:t>q.val</w:t>
      </w:r>
      <w:proofErr w:type="spellEnd"/>
      <w:r w:rsidRPr="00F44D04">
        <w:rPr>
          <w:rFonts w:ascii="Calibri" w:eastAsia="Times New Roman" w:hAnsi="Calibri" w:cs="Calibri"/>
          <w:color w:val="000000"/>
          <w:sz w:val="20"/>
          <w:szCs w:val="20"/>
        </w:rPr>
        <w:t xml:space="preserve">          contrast</w:t>
      </w:r>
    </w:p>
    <w:p w:rsidR="00F44D04" w:rsidRPr="00F44D04" w:rsidRDefault="00F44D04" w:rsidP="00F44D04">
      <w:pPr>
        <w:rPr>
          <w:rFonts w:ascii="Times New Roman" w:eastAsia="Times New Roman" w:hAnsi="Times New Roman" w:cs="Times New Roman"/>
        </w:rPr>
      </w:pPr>
      <w:r w:rsidRPr="00F44D04">
        <w:rPr>
          <w:rFonts w:ascii="Calibri" w:eastAsia="Times New Roman" w:hAnsi="Calibri" w:cs="Calibri"/>
          <w:color w:val="000000"/>
          <w:sz w:val="20"/>
          <w:szCs w:val="20"/>
        </w:rPr>
        <w:t>dme01100 Metabolic pathways                  5.378229     2.939188e-06     FC_DRHS_B</w:t>
      </w:r>
    </w:p>
    <w:p w:rsidR="00F44D04" w:rsidRPr="00F44D04" w:rsidRDefault="00F44D04" w:rsidP="00F44D04">
      <w:pPr>
        <w:rPr>
          <w:rFonts w:ascii="Times New Roman" w:eastAsia="Times New Roman" w:hAnsi="Times New Roman" w:cs="Times New Roman"/>
        </w:rPr>
      </w:pPr>
      <w:r w:rsidRPr="00F44D04">
        <w:rPr>
          <w:rFonts w:ascii="Calibri" w:eastAsia="Times New Roman" w:hAnsi="Calibri" w:cs="Calibri"/>
          <w:color w:val="000000"/>
          <w:sz w:val="20"/>
          <w:szCs w:val="20"/>
        </w:rPr>
        <w:t>dme01200 Carbon metabolism                  3.310645     2.263392e-02     FC_DRHS_B</w:t>
      </w:r>
    </w:p>
    <w:p w:rsidR="00F44D04" w:rsidRPr="00F44D04" w:rsidRDefault="00F44D04" w:rsidP="00F44D04">
      <w:pPr>
        <w:rPr>
          <w:rFonts w:ascii="Times New Roman" w:eastAsia="Times New Roman" w:hAnsi="Times New Roman" w:cs="Times New Roman"/>
        </w:rPr>
      </w:pPr>
      <w:r w:rsidRPr="00F44D04">
        <w:rPr>
          <w:rFonts w:ascii="Calibri" w:eastAsia="Times New Roman" w:hAnsi="Calibri" w:cs="Calibri"/>
          <w:color w:val="000000"/>
          <w:sz w:val="20"/>
          <w:szCs w:val="20"/>
        </w:rPr>
        <w:t>dme00190 Oxidative phosphorylation              2.946144     4.523595e-02     FC_DRHS_B</w:t>
      </w:r>
    </w:p>
    <w:p w:rsidR="00F44D04" w:rsidRDefault="00F44D04" w:rsidP="00F44D04">
      <w:pPr>
        <w:rPr>
          <w:rFonts w:ascii="Calibri" w:eastAsia="Times New Roman" w:hAnsi="Calibri" w:cs="Calibri"/>
          <w:color w:val="000000"/>
          <w:sz w:val="20"/>
          <w:szCs w:val="20"/>
        </w:rPr>
      </w:pPr>
      <w:r w:rsidRPr="00F44D04">
        <w:rPr>
          <w:rFonts w:ascii="Calibri" w:eastAsia="Times New Roman" w:hAnsi="Calibri" w:cs="Calibri"/>
          <w:color w:val="000000"/>
          <w:sz w:val="20"/>
          <w:szCs w:val="20"/>
        </w:rPr>
        <w:t>dme04141 Protein processing in endoplasmic reticulum      2.828623     4.523595e-02     FC_DRHS_B</w:t>
      </w:r>
    </w:p>
    <w:p w:rsidR="00F44D04" w:rsidRPr="00F44D04" w:rsidRDefault="00F44D04" w:rsidP="00F44D04">
      <w:pPr>
        <w:rPr>
          <w:rFonts w:ascii="Times New Roman" w:eastAsia="Times New Roman" w:hAnsi="Times New Roman" w:cs="Times New Roman"/>
        </w:rPr>
      </w:pPr>
    </w:p>
    <w:p w:rsidR="00F44D04" w:rsidRPr="00F44D04" w:rsidRDefault="00F44D04" w:rsidP="00F44D04">
      <w:pPr>
        <w:numPr>
          <w:ilvl w:val="0"/>
          <w:numId w:val="4"/>
        </w:numPr>
        <w:textAlignment w:val="baseline"/>
        <w:rPr>
          <w:rFonts w:ascii="Arial" w:eastAsia="Times New Roman" w:hAnsi="Arial" w:cs="Arial"/>
          <w:color w:val="000000"/>
        </w:rPr>
      </w:pPr>
      <w:r w:rsidRPr="00F44D04">
        <w:rPr>
          <w:rFonts w:ascii="Arial" w:eastAsia="Times New Roman" w:hAnsi="Arial" w:cs="Arial"/>
          <w:color w:val="000000"/>
        </w:rPr>
        <w:t xml:space="preserve">Obtained genes for these pathways from the </w:t>
      </w:r>
      <w:proofErr w:type="spellStart"/>
      <w:r w:rsidRPr="00F44D04">
        <w:rPr>
          <w:rFonts w:ascii="Arial" w:eastAsia="Times New Roman" w:hAnsi="Arial" w:cs="Arial"/>
          <w:color w:val="000000"/>
        </w:rPr>
        <w:t>db</w:t>
      </w:r>
      <w:proofErr w:type="spellEnd"/>
    </w:p>
    <w:p w:rsidR="00F44D04" w:rsidRPr="00F44D04" w:rsidRDefault="00F44D04" w:rsidP="00F44D04">
      <w:pPr>
        <w:numPr>
          <w:ilvl w:val="0"/>
          <w:numId w:val="4"/>
        </w:numPr>
        <w:textAlignment w:val="baseline"/>
        <w:rPr>
          <w:rFonts w:ascii="Arial" w:eastAsia="Times New Roman" w:hAnsi="Arial" w:cs="Arial"/>
          <w:color w:val="000000"/>
        </w:rPr>
      </w:pPr>
      <w:r w:rsidRPr="00F44D04">
        <w:rPr>
          <w:rFonts w:ascii="Arial" w:eastAsia="Times New Roman" w:hAnsi="Arial" w:cs="Arial"/>
          <w:color w:val="000000"/>
        </w:rPr>
        <w:t>Performed GO on same 2475 DEGs</w:t>
      </w:r>
    </w:p>
    <w:p w:rsidR="00F44D04" w:rsidRPr="00F44D04" w:rsidRDefault="00F44D04" w:rsidP="00F44D04">
      <w:pPr>
        <w:numPr>
          <w:ilvl w:val="0"/>
          <w:numId w:val="4"/>
        </w:numPr>
        <w:textAlignment w:val="baseline"/>
        <w:rPr>
          <w:rFonts w:ascii="Arial" w:eastAsia="Times New Roman" w:hAnsi="Arial" w:cs="Arial"/>
          <w:color w:val="000000"/>
        </w:rPr>
      </w:pPr>
      <w:r w:rsidRPr="00F44D04">
        <w:rPr>
          <w:rFonts w:ascii="Arial" w:eastAsia="Times New Roman" w:hAnsi="Arial" w:cs="Arial"/>
          <w:color w:val="000000"/>
        </w:rPr>
        <w:t xml:space="preserve">Identified 43 terms at </w:t>
      </w:r>
      <w:proofErr w:type="spellStart"/>
      <w:r w:rsidRPr="00F44D04">
        <w:rPr>
          <w:rFonts w:ascii="Arial" w:eastAsia="Times New Roman" w:hAnsi="Arial" w:cs="Arial"/>
          <w:color w:val="000000"/>
        </w:rPr>
        <w:t>qva</w:t>
      </w:r>
      <w:proofErr w:type="spellEnd"/>
      <w:r w:rsidRPr="00F44D04">
        <w:rPr>
          <w:rFonts w:ascii="Arial" w:eastAsia="Times New Roman" w:hAnsi="Arial" w:cs="Arial"/>
          <w:color w:val="000000"/>
        </w:rPr>
        <w:t>&lt;0.05, and 4 terms at 0.01:</w:t>
      </w:r>
    </w:p>
    <w:p w:rsidR="00F44D04" w:rsidRPr="00F44D04" w:rsidRDefault="00F44D04" w:rsidP="00F44D04">
      <w:pPr>
        <w:numPr>
          <w:ilvl w:val="1"/>
          <w:numId w:val="4"/>
        </w:numPr>
        <w:textAlignment w:val="baseline"/>
        <w:rPr>
          <w:rFonts w:ascii="Arial" w:eastAsia="Times New Roman" w:hAnsi="Arial" w:cs="Arial"/>
          <w:color w:val="000000"/>
          <w:sz w:val="20"/>
          <w:szCs w:val="20"/>
        </w:rPr>
      </w:pPr>
      <w:r w:rsidRPr="00F44D04">
        <w:rPr>
          <w:rFonts w:ascii="Arial" w:eastAsia="Times New Roman" w:hAnsi="Arial" w:cs="Arial"/>
          <w:color w:val="000000"/>
          <w:sz w:val="20"/>
          <w:szCs w:val="20"/>
        </w:rPr>
        <w:t xml:space="preserve">"GO:0044281 small molecule metabolic process" </w:t>
      </w:r>
    </w:p>
    <w:p w:rsidR="00F44D04" w:rsidRPr="00F44D04" w:rsidRDefault="00F44D04" w:rsidP="00F44D04">
      <w:pPr>
        <w:numPr>
          <w:ilvl w:val="1"/>
          <w:numId w:val="4"/>
        </w:numPr>
        <w:textAlignment w:val="baseline"/>
        <w:rPr>
          <w:rFonts w:ascii="Arial" w:eastAsia="Times New Roman" w:hAnsi="Arial" w:cs="Arial"/>
          <w:color w:val="000000"/>
          <w:sz w:val="20"/>
          <w:szCs w:val="20"/>
        </w:rPr>
      </w:pPr>
      <w:r w:rsidRPr="00F44D04">
        <w:rPr>
          <w:rFonts w:ascii="Arial" w:eastAsia="Times New Roman" w:hAnsi="Arial" w:cs="Arial"/>
          <w:color w:val="000000"/>
          <w:sz w:val="20"/>
          <w:szCs w:val="20"/>
        </w:rPr>
        <w:t>"GO:0007154 cell communication"               </w:t>
      </w:r>
    </w:p>
    <w:p w:rsidR="00F44D04" w:rsidRPr="00F44D04" w:rsidRDefault="00F44D04" w:rsidP="00F44D04">
      <w:pPr>
        <w:numPr>
          <w:ilvl w:val="1"/>
          <w:numId w:val="4"/>
        </w:numPr>
        <w:textAlignment w:val="baseline"/>
        <w:rPr>
          <w:rFonts w:ascii="Arial" w:eastAsia="Times New Roman" w:hAnsi="Arial" w:cs="Arial"/>
          <w:color w:val="000000"/>
          <w:sz w:val="20"/>
          <w:szCs w:val="20"/>
        </w:rPr>
      </w:pPr>
      <w:r w:rsidRPr="00F44D04">
        <w:rPr>
          <w:rFonts w:ascii="Arial" w:eastAsia="Times New Roman" w:hAnsi="Arial" w:cs="Arial"/>
          <w:color w:val="000000"/>
          <w:sz w:val="20"/>
          <w:szCs w:val="20"/>
        </w:rPr>
        <w:t xml:space="preserve">"GO:0023052 signaling" </w:t>
      </w:r>
    </w:p>
    <w:p w:rsidR="00F44D04" w:rsidRDefault="00F44D04" w:rsidP="00F44D04">
      <w:pPr>
        <w:numPr>
          <w:ilvl w:val="1"/>
          <w:numId w:val="4"/>
        </w:numPr>
        <w:textAlignment w:val="baseline"/>
        <w:rPr>
          <w:rFonts w:ascii="Arial" w:eastAsia="Times New Roman" w:hAnsi="Arial" w:cs="Arial"/>
          <w:color w:val="000000"/>
          <w:sz w:val="20"/>
          <w:szCs w:val="20"/>
        </w:rPr>
      </w:pPr>
      <w:r w:rsidRPr="00F44D04">
        <w:rPr>
          <w:rFonts w:ascii="Arial" w:eastAsia="Times New Roman" w:hAnsi="Arial" w:cs="Arial"/>
          <w:color w:val="000000"/>
          <w:sz w:val="20"/>
          <w:szCs w:val="20"/>
        </w:rPr>
        <w:t>GO:0007165 signal transduction"</w:t>
      </w:r>
    </w:p>
    <w:p w:rsidR="00F44D04" w:rsidRPr="00F44D04" w:rsidRDefault="00F44D04" w:rsidP="00F44D04">
      <w:pPr>
        <w:ind w:left="1440"/>
        <w:textAlignment w:val="baseline"/>
        <w:rPr>
          <w:rFonts w:ascii="Arial" w:eastAsia="Times New Roman" w:hAnsi="Arial" w:cs="Arial"/>
          <w:color w:val="000000"/>
          <w:sz w:val="20"/>
          <w:szCs w:val="20"/>
        </w:rPr>
      </w:pPr>
    </w:p>
    <w:p w:rsidR="00F44D04" w:rsidRPr="00F44D04" w:rsidRDefault="00F44D04" w:rsidP="00F44D04">
      <w:pPr>
        <w:numPr>
          <w:ilvl w:val="0"/>
          <w:numId w:val="4"/>
        </w:numPr>
        <w:textAlignment w:val="baseline"/>
        <w:rPr>
          <w:rFonts w:ascii="Arial" w:eastAsia="Times New Roman" w:hAnsi="Arial" w:cs="Arial"/>
          <w:color w:val="000000"/>
          <w:sz w:val="22"/>
          <w:szCs w:val="22"/>
        </w:rPr>
      </w:pPr>
      <w:r w:rsidRPr="00F44D04">
        <w:rPr>
          <w:rFonts w:ascii="Arial" w:eastAsia="Times New Roman" w:hAnsi="Arial" w:cs="Arial"/>
          <w:color w:val="000000"/>
          <w:sz w:val="22"/>
          <w:szCs w:val="22"/>
        </w:rPr>
        <w:t>Fetched genes for these 4 GO terms</w:t>
      </w:r>
    </w:p>
    <w:p w:rsidR="00F44D04" w:rsidRPr="00F44D04" w:rsidRDefault="00F44D04" w:rsidP="00F44D04">
      <w:pPr>
        <w:rPr>
          <w:rFonts w:ascii="Times New Roman" w:eastAsia="Times New Roman" w:hAnsi="Times New Roman" w:cs="Times New Roman"/>
          <w:sz w:val="22"/>
          <w:szCs w:val="22"/>
        </w:rPr>
      </w:pPr>
      <w:r w:rsidRPr="00F44D04">
        <w:rPr>
          <w:rFonts w:ascii="Arial" w:eastAsia="Times New Roman" w:hAnsi="Arial" w:cs="Arial"/>
          <w:color w:val="FF0000"/>
          <w:sz w:val="22"/>
          <w:szCs w:val="22"/>
        </w:rPr>
        <w:t xml:space="preserve">Alternative: select a few </w:t>
      </w:r>
      <w:proofErr w:type="gramStart"/>
      <w:r w:rsidRPr="00F44D04">
        <w:rPr>
          <w:rFonts w:ascii="Arial" w:eastAsia="Times New Roman" w:hAnsi="Arial" w:cs="Arial"/>
          <w:color w:val="FF0000"/>
          <w:sz w:val="22"/>
          <w:szCs w:val="22"/>
        </w:rPr>
        <w:t>based on</w:t>
      </w:r>
      <w:proofErr w:type="gramEnd"/>
      <w:r w:rsidRPr="00F44D04">
        <w:rPr>
          <w:rFonts w:ascii="Arial" w:eastAsia="Times New Roman" w:hAnsi="Arial" w:cs="Arial"/>
          <w:color w:val="FF0000"/>
          <w:sz w:val="22"/>
          <w:szCs w:val="22"/>
        </w:rPr>
        <w:t xml:space="preserve"> biology or use all 43 GO terms</w:t>
      </w:r>
    </w:p>
    <w:p w:rsidR="00F44D04" w:rsidRPr="00F44D04" w:rsidRDefault="00F44D04" w:rsidP="00F44D04">
      <w:pPr>
        <w:rPr>
          <w:rFonts w:ascii="Times New Roman" w:eastAsia="Times New Roman" w:hAnsi="Times New Roman" w:cs="Times New Roman"/>
          <w:sz w:val="22"/>
          <w:szCs w:val="22"/>
        </w:rPr>
      </w:pPr>
    </w:p>
    <w:p w:rsidR="00F44D04" w:rsidRPr="00F44D04" w:rsidRDefault="00F44D04" w:rsidP="00F44D04">
      <w:pPr>
        <w:rPr>
          <w:rFonts w:ascii="Times New Roman" w:eastAsia="Times New Roman" w:hAnsi="Times New Roman" w:cs="Times New Roman"/>
          <w:sz w:val="22"/>
          <w:szCs w:val="22"/>
        </w:rPr>
      </w:pPr>
      <w:r w:rsidRPr="00F44D04">
        <w:rPr>
          <w:rFonts w:ascii="Arial" w:eastAsia="Times New Roman" w:hAnsi="Arial" w:cs="Arial"/>
          <w:b/>
          <w:bCs/>
          <w:color w:val="000000"/>
          <w:sz w:val="22"/>
          <w:szCs w:val="22"/>
        </w:rPr>
        <w:t xml:space="preserve">Genes from known pathways - FB precomputed file </w:t>
      </w:r>
      <w:r w:rsidRPr="00F44D04">
        <w:rPr>
          <w:rFonts w:ascii="Arial" w:eastAsia="Times New Roman" w:hAnsi="Arial" w:cs="Arial"/>
          <w:color w:val="000000"/>
          <w:sz w:val="22"/>
          <w:szCs w:val="22"/>
        </w:rPr>
        <w:t>fbgn_annotation_ID_fb_2019_02.tsv</w:t>
      </w:r>
    </w:p>
    <w:p w:rsidR="00F44D04" w:rsidRPr="00F44D04" w:rsidRDefault="00F44D04" w:rsidP="00F44D04">
      <w:pPr>
        <w:numPr>
          <w:ilvl w:val="0"/>
          <w:numId w:val="5"/>
        </w:numPr>
        <w:textAlignment w:val="baseline"/>
        <w:rPr>
          <w:rFonts w:ascii="Arial" w:eastAsia="Times New Roman" w:hAnsi="Arial" w:cs="Arial"/>
          <w:color w:val="000000"/>
          <w:sz w:val="22"/>
          <w:szCs w:val="22"/>
        </w:rPr>
      </w:pPr>
      <w:r w:rsidRPr="00F44D04">
        <w:rPr>
          <w:rFonts w:ascii="Arial" w:eastAsia="Times New Roman" w:hAnsi="Arial" w:cs="Arial"/>
          <w:color w:val="000000"/>
          <w:sz w:val="22"/>
          <w:szCs w:val="22"/>
        </w:rPr>
        <w:t xml:space="preserve">Fetched 110 genes in the FOXO signaling pathway, and 5 </w:t>
      </w:r>
      <w:proofErr w:type="spellStart"/>
      <w:r w:rsidRPr="00F44D04">
        <w:rPr>
          <w:rFonts w:ascii="Arial" w:eastAsia="Times New Roman" w:hAnsi="Arial" w:cs="Arial"/>
          <w:color w:val="000000"/>
          <w:sz w:val="22"/>
          <w:szCs w:val="22"/>
        </w:rPr>
        <w:t>sirtuin</w:t>
      </w:r>
      <w:proofErr w:type="spellEnd"/>
      <w:r w:rsidRPr="00F44D04">
        <w:rPr>
          <w:rFonts w:ascii="Arial" w:eastAsia="Times New Roman" w:hAnsi="Arial" w:cs="Arial"/>
          <w:color w:val="000000"/>
          <w:sz w:val="22"/>
          <w:szCs w:val="22"/>
        </w:rPr>
        <w:t xml:space="preserve"> genes known in </w:t>
      </w:r>
      <w:r w:rsidRPr="00F44D04">
        <w:rPr>
          <w:rFonts w:ascii="Arial" w:eastAsia="Times New Roman" w:hAnsi="Arial" w:cs="Arial"/>
          <w:i/>
          <w:iCs/>
          <w:color w:val="000000"/>
          <w:sz w:val="22"/>
          <w:szCs w:val="22"/>
        </w:rPr>
        <w:t>D. melanogaster</w:t>
      </w:r>
      <w:r w:rsidRPr="00F44D04">
        <w:rPr>
          <w:rFonts w:ascii="Arial" w:eastAsia="Times New Roman" w:hAnsi="Arial" w:cs="Arial"/>
          <w:color w:val="000000"/>
          <w:sz w:val="22"/>
          <w:szCs w:val="22"/>
        </w:rPr>
        <w:t xml:space="preserve">. </w:t>
      </w:r>
    </w:p>
    <w:p w:rsidR="00F44D04" w:rsidRPr="00F44D04" w:rsidRDefault="00F44D04" w:rsidP="00F44D04">
      <w:pPr>
        <w:numPr>
          <w:ilvl w:val="1"/>
          <w:numId w:val="5"/>
        </w:numPr>
        <w:textAlignment w:val="baseline"/>
        <w:rPr>
          <w:rFonts w:ascii="Arial" w:eastAsia="Times New Roman" w:hAnsi="Arial" w:cs="Arial"/>
          <w:color w:val="000000"/>
          <w:sz w:val="22"/>
          <w:szCs w:val="22"/>
        </w:rPr>
      </w:pPr>
      <w:r w:rsidRPr="00F44D04">
        <w:rPr>
          <w:rFonts w:ascii="Arial" w:eastAsia="Times New Roman" w:hAnsi="Arial" w:cs="Arial"/>
          <w:color w:val="000000"/>
          <w:sz w:val="22"/>
          <w:szCs w:val="22"/>
        </w:rPr>
        <w:t>109 of these found in modules</w:t>
      </w:r>
    </w:p>
    <w:p w:rsidR="00F44D04" w:rsidRPr="00F44D04" w:rsidRDefault="00F44D04" w:rsidP="00F44D04">
      <w:pPr>
        <w:numPr>
          <w:ilvl w:val="1"/>
          <w:numId w:val="5"/>
        </w:numPr>
        <w:textAlignment w:val="baseline"/>
        <w:rPr>
          <w:rFonts w:ascii="Arial" w:eastAsia="Times New Roman" w:hAnsi="Arial" w:cs="Arial"/>
          <w:color w:val="000000"/>
          <w:sz w:val="22"/>
          <w:szCs w:val="22"/>
        </w:rPr>
      </w:pPr>
      <w:r w:rsidRPr="00F44D04">
        <w:rPr>
          <w:rFonts w:ascii="Arial" w:eastAsia="Times New Roman" w:hAnsi="Arial" w:cs="Arial"/>
          <w:color w:val="000000"/>
          <w:sz w:val="22"/>
          <w:szCs w:val="22"/>
        </w:rPr>
        <w:t xml:space="preserve">Identified 16 genes from this list that are DE: (Sirt2, Diap1, </w:t>
      </w:r>
      <w:proofErr w:type="spellStart"/>
      <w:r w:rsidRPr="00F44D04">
        <w:rPr>
          <w:rFonts w:ascii="Arial" w:eastAsia="Times New Roman" w:hAnsi="Arial" w:cs="Arial"/>
          <w:color w:val="000000"/>
          <w:sz w:val="22"/>
          <w:szCs w:val="22"/>
        </w:rPr>
        <w:t>beta'COP</w:t>
      </w:r>
      <w:proofErr w:type="spellEnd"/>
      <w:r w:rsidRPr="00F44D04">
        <w:rPr>
          <w:rFonts w:ascii="Arial" w:eastAsia="Times New Roman" w:hAnsi="Arial" w:cs="Arial"/>
          <w:color w:val="000000"/>
          <w:sz w:val="22"/>
          <w:szCs w:val="22"/>
        </w:rPr>
        <w:t xml:space="preserve">, CG5059, Gycbeta1008, DOR, TBPH, </w:t>
      </w:r>
      <w:proofErr w:type="gramStart"/>
      <w:r w:rsidRPr="00F44D04">
        <w:rPr>
          <w:rFonts w:ascii="Arial" w:eastAsia="Times New Roman" w:hAnsi="Arial" w:cs="Arial"/>
          <w:color w:val="000000"/>
          <w:sz w:val="22"/>
          <w:szCs w:val="22"/>
        </w:rPr>
        <w:t>hid,p</w:t>
      </w:r>
      <w:proofErr w:type="gramEnd"/>
      <w:r w:rsidRPr="00F44D04">
        <w:rPr>
          <w:rFonts w:ascii="Arial" w:eastAsia="Times New Roman" w:hAnsi="Arial" w:cs="Arial"/>
          <w:color w:val="000000"/>
          <w:sz w:val="22"/>
          <w:szCs w:val="22"/>
        </w:rPr>
        <w:t xml:space="preserve">38c, Ilp5, </w:t>
      </w:r>
      <w:proofErr w:type="spellStart"/>
      <w:r w:rsidRPr="00F44D04">
        <w:rPr>
          <w:rFonts w:ascii="Arial" w:eastAsia="Times New Roman" w:hAnsi="Arial" w:cs="Arial"/>
          <w:color w:val="000000"/>
          <w:sz w:val="22"/>
          <w:szCs w:val="22"/>
        </w:rPr>
        <w:t>alphaCOP</w:t>
      </w:r>
      <w:proofErr w:type="spellEnd"/>
      <w:r w:rsidRPr="00F44D04">
        <w:rPr>
          <w:rFonts w:ascii="Arial" w:eastAsia="Times New Roman" w:hAnsi="Arial" w:cs="Arial"/>
          <w:color w:val="000000"/>
          <w:sz w:val="22"/>
          <w:szCs w:val="22"/>
        </w:rPr>
        <w:t xml:space="preserve">, </w:t>
      </w:r>
      <w:proofErr w:type="spellStart"/>
      <w:r w:rsidRPr="00F44D04">
        <w:rPr>
          <w:rFonts w:ascii="Arial" w:eastAsia="Times New Roman" w:hAnsi="Arial" w:cs="Arial"/>
          <w:color w:val="000000"/>
          <w:sz w:val="22"/>
          <w:szCs w:val="22"/>
        </w:rPr>
        <w:t>AMPKalpha</w:t>
      </w:r>
      <w:proofErr w:type="spellEnd"/>
      <w:r w:rsidRPr="00F44D04">
        <w:rPr>
          <w:rFonts w:ascii="Arial" w:eastAsia="Times New Roman" w:hAnsi="Arial" w:cs="Arial"/>
          <w:color w:val="000000"/>
          <w:sz w:val="22"/>
          <w:szCs w:val="22"/>
        </w:rPr>
        <w:t xml:space="preserve">, </w:t>
      </w:r>
      <w:proofErr w:type="spellStart"/>
      <w:r w:rsidRPr="00F44D04">
        <w:rPr>
          <w:rFonts w:ascii="Arial" w:eastAsia="Times New Roman" w:hAnsi="Arial" w:cs="Arial"/>
          <w:color w:val="000000"/>
          <w:sz w:val="22"/>
          <w:szCs w:val="22"/>
        </w:rPr>
        <w:t>Rheb</w:t>
      </w:r>
      <w:proofErr w:type="spellEnd"/>
      <w:r w:rsidRPr="00F44D04">
        <w:rPr>
          <w:rFonts w:ascii="Arial" w:eastAsia="Times New Roman" w:hAnsi="Arial" w:cs="Arial"/>
          <w:color w:val="000000"/>
          <w:sz w:val="22"/>
          <w:szCs w:val="22"/>
        </w:rPr>
        <w:t xml:space="preserve">, Cdk2, arm, Atg1) </w:t>
      </w:r>
      <w:r w:rsidRPr="00F44D04">
        <w:rPr>
          <w:rFonts w:ascii="Arial" w:eastAsia="Times New Roman" w:hAnsi="Arial" w:cs="Arial"/>
          <w:color w:val="FF0000"/>
          <w:sz w:val="22"/>
          <w:szCs w:val="22"/>
        </w:rPr>
        <w:t>Which modules?</w:t>
      </w:r>
    </w:p>
    <w:p w:rsidR="00F44D04" w:rsidRDefault="00F44D04" w:rsidP="00F44D04">
      <w:pPr>
        <w:numPr>
          <w:ilvl w:val="1"/>
          <w:numId w:val="5"/>
        </w:numPr>
        <w:textAlignment w:val="baseline"/>
        <w:rPr>
          <w:rFonts w:ascii="Arial" w:eastAsia="Times New Roman" w:hAnsi="Arial" w:cs="Arial"/>
          <w:color w:val="000000"/>
          <w:sz w:val="22"/>
          <w:szCs w:val="22"/>
        </w:rPr>
      </w:pPr>
      <w:r w:rsidRPr="00F44D04">
        <w:rPr>
          <w:rFonts w:ascii="Arial" w:eastAsia="Times New Roman" w:hAnsi="Arial" w:cs="Arial"/>
          <w:color w:val="000000"/>
          <w:sz w:val="22"/>
          <w:szCs w:val="22"/>
        </w:rPr>
        <w:t>Zero of QTL genes</w:t>
      </w:r>
    </w:p>
    <w:p w:rsidR="00F44D04" w:rsidRPr="00F44D04" w:rsidRDefault="00F44D04" w:rsidP="00F44D04">
      <w:pPr>
        <w:ind w:left="1440"/>
        <w:textAlignment w:val="baseline"/>
        <w:rPr>
          <w:rFonts w:ascii="Arial" w:eastAsia="Times New Roman" w:hAnsi="Arial" w:cs="Arial"/>
          <w:color w:val="000000"/>
          <w:sz w:val="22"/>
          <w:szCs w:val="22"/>
        </w:rPr>
      </w:pPr>
    </w:p>
    <w:p w:rsidR="00F44D04" w:rsidRPr="00F44D04" w:rsidRDefault="00F44D04" w:rsidP="00F44D04">
      <w:pPr>
        <w:numPr>
          <w:ilvl w:val="0"/>
          <w:numId w:val="5"/>
        </w:numPr>
        <w:textAlignment w:val="baseline"/>
        <w:rPr>
          <w:rFonts w:ascii="Arial" w:eastAsia="Times New Roman" w:hAnsi="Arial" w:cs="Arial"/>
          <w:color w:val="000000"/>
          <w:sz w:val="22"/>
          <w:szCs w:val="22"/>
        </w:rPr>
      </w:pPr>
      <w:r w:rsidRPr="00F44D04">
        <w:rPr>
          <w:rFonts w:ascii="Arial" w:eastAsia="Times New Roman" w:hAnsi="Arial" w:cs="Arial"/>
          <w:color w:val="000000"/>
          <w:sz w:val="22"/>
          <w:szCs w:val="22"/>
        </w:rPr>
        <w:t xml:space="preserve">Fetched 52 Toll pathway genes. </w:t>
      </w:r>
    </w:p>
    <w:p w:rsidR="00F44D04" w:rsidRPr="00F44D04" w:rsidRDefault="00F44D04" w:rsidP="00F44D04">
      <w:pPr>
        <w:numPr>
          <w:ilvl w:val="1"/>
          <w:numId w:val="5"/>
        </w:numPr>
        <w:textAlignment w:val="baseline"/>
        <w:rPr>
          <w:rFonts w:ascii="Arial" w:eastAsia="Times New Roman" w:hAnsi="Arial" w:cs="Arial"/>
          <w:color w:val="000000"/>
          <w:sz w:val="22"/>
          <w:szCs w:val="22"/>
        </w:rPr>
      </w:pPr>
      <w:r w:rsidRPr="00F44D04">
        <w:rPr>
          <w:rFonts w:ascii="Arial" w:eastAsia="Times New Roman" w:hAnsi="Arial" w:cs="Arial"/>
          <w:color w:val="000000"/>
          <w:sz w:val="22"/>
          <w:szCs w:val="22"/>
        </w:rPr>
        <w:t xml:space="preserve">49 genes recovered in modules. (List not used further (toll1)). </w:t>
      </w:r>
    </w:p>
    <w:p w:rsidR="00F44D04" w:rsidRPr="00F44D04" w:rsidRDefault="00F44D04" w:rsidP="00F44D04">
      <w:pPr>
        <w:numPr>
          <w:ilvl w:val="1"/>
          <w:numId w:val="5"/>
        </w:numPr>
        <w:textAlignment w:val="baseline"/>
        <w:rPr>
          <w:rFonts w:ascii="Arial" w:eastAsia="Times New Roman" w:hAnsi="Arial" w:cs="Arial"/>
          <w:color w:val="000000"/>
          <w:sz w:val="22"/>
          <w:szCs w:val="22"/>
        </w:rPr>
      </w:pPr>
      <w:r w:rsidRPr="00F44D04">
        <w:rPr>
          <w:rFonts w:ascii="Arial" w:eastAsia="Times New Roman" w:hAnsi="Arial" w:cs="Arial"/>
          <w:color w:val="000000"/>
          <w:sz w:val="22"/>
          <w:szCs w:val="22"/>
        </w:rPr>
        <w:t xml:space="preserve">12 DEGs are Toll pathway genes (toll3: PGRP-SC1a, </w:t>
      </w:r>
      <w:proofErr w:type="spellStart"/>
      <w:r w:rsidRPr="00F44D04">
        <w:rPr>
          <w:rFonts w:ascii="Arial" w:eastAsia="Times New Roman" w:hAnsi="Arial" w:cs="Arial"/>
          <w:color w:val="000000"/>
          <w:sz w:val="22"/>
          <w:szCs w:val="22"/>
        </w:rPr>
        <w:t>spz</w:t>
      </w:r>
      <w:proofErr w:type="spellEnd"/>
      <w:r w:rsidRPr="00F44D04">
        <w:rPr>
          <w:rFonts w:ascii="Arial" w:eastAsia="Times New Roman" w:hAnsi="Arial" w:cs="Arial"/>
          <w:color w:val="000000"/>
          <w:sz w:val="22"/>
          <w:szCs w:val="22"/>
        </w:rPr>
        <w:t xml:space="preserve">, Gprk2, tub, </w:t>
      </w:r>
      <w:proofErr w:type="spellStart"/>
      <w:r w:rsidRPr="00F44D04">
        <w:rPr>
          <w:rFonts w:ascii="Arial" w:eastAsia="Times New Roman" w:hAnsi="Arial" w:cs="Arial"/>
          <w:color w:val="000000"/>
          <w:sz w:val="22"/>
          <w:szCs w:val="22"/>
        </w:rPr>
        <w:t>dgrn</w:t>
      </w:r>
      <w:proofErr w:type="spellEnd"/>
      <w:r w:rsidRPr="00F44D04">
        <w:rPr>
          <w:rFonts w:ascii="Arial" w:eastAsia="Times New Roman" w:hAnsi="Arial" w:cs="Arial"/>
          <w:color w:val="000000"/>
          <w:sz w:val="22"/>
          <w:szCs w:val="22"/>
        </w:rPr>
        <w:t xml:space="preserve">, grass, </w:t>
      </w:r>
      <w:proofErr w:type="spellStart"/>
      <w:r w:rsidRPr="00F44D04">
        <w:rPr>
          <w:rFonts w:ascii="Arial" w:eastAsia="Times New Roman" w:hAnsi="Arial" w:cs="Arial"/>
          <w:color w:val="000000"/>
          <w:sz w:val="22"/>
          <w:szCs w:val="22"/>
        </w:rPr>
        <w:t>wek</w:t>
      </w:r>
      <w:proofErr w:type="spellEnd"/>
      <w:r w:rsidRPr="00F44D04">
        <w:rPr>
          <w:rFonts w:ascii="Arial" w:eastAsia="Times New Roman" w:hAnsi="Arial" w:cs="Arial"/>
          <w:color w:val="000000"/>
          <w:sz w:val="22"/>
          <w:szCs w:val="22"/>
        </w:rPr>
        <w:t xml:space="preserve">, Spn88Ea, </w:t>
      </w:r>
      <w:proofErr w:type="spellStart"/>
      <w:r w:rsidRPr="00F44D04">
        <w:rPr>
          <w:rFonts w:ascii="Arial" w:eastAsia="Times New Roman" w:hAnsi="Arial" w:cs="Arial"/>
          <w:color w:val="000000"/>
          <w:sz w:val="22"/>
          <w:szCs w:val="22"/>
        </w:rPr>
        <w:t>senju</w:t>
      </w:r>
      <w:proofErr w:type="spellEnd"/>
      <w:r w:rsidRPr="00F44D04">
        <w:rPr>
          <w:rFonts w:ascii="Arial" w:eastAsia="Times New Roman" w:hAnsi="Arial" w:cs="Arial"/>
          <w:color w:val="000000"/>
          <w:sz w:val="22"/>
          <w:szCs w:val="22"/>
        </w:rPr>
        <w:t xml:space="preserve">, spirit, </w:t>
      </w:r>
      <w:proofErr w:type="spellStart"/>
      <w:r w:rsidRPr="00F44D04">
        <w:rPr>
          <w:rFonts w:ascii="Arial" w:eastAsia="Times New Roman" w:hAnsi="Arial" w:cs="Arial"/>
          <w:color w:val="000000"/>
          <w:sz w:val="22"/>
          <w:szCs w:val="22"/>
        </w:rPr>
        <w:t>Hrs</w:t>
      </w:r>
      <w:proofErr w:type="spellEnd"/>
      <w:r w:rsidRPr="00F44D04">
        <w:rPr>
          <w:rFonts w:ascii="Arial" w:eastAsia="Times New Roman" w:hAnsi="Arial" w:cs="Arial"/>
          <w:color w:val="000000"/>
          <w:sz w:val="22"/>
          <w:szCs w:val="22"/>
        </w:rPr>
        <w:t xml:space="preserve">, Herc4). </w:t>
      </w:r>
      <w:r w:rsidRPr="00F44D04">
        <w:rPr>
          <w:rFonts w:ascii="Arial" w:eastAsia="Times New Roman" w:hAnsi="Arial" w:cs="Arial"/>
          <w:color w:val="FF0000"/>
          <w:sz w:val="22"/>
          <w:szCs w:val="22"/>
        </w:rPr>
        <w:t>Which modules?</w:t>
      </w:r>
    </w:p>
    <w:p w:rsidR="00F44D04" w:rsidRPr="00F44D04" w:rsidRDefault="00F44D04" w:rsidP="00F44D04">
      <w:pPr>
        <w:numPr>
          <w:ilvl w:val="0"/>
          <w:numId w:val="5"/>
        </w:numPr>
        <w:textAlignment w:val="baseline"/>
        <w:rPr>
          <w:rFonts w:ascii="Arial" w:eastAsia="Times New Roman" w:hAnsi="Arial" w:cs="Arial"/>
          <w:color w:val="000000"/>
          <w:sz w:val="22"/>
          <w:szCs w:val="22"/>
        </w:rPr>
      </w:pPr>
      <w:r w:rsidRPr="00F44D04">
        <w:rPr>
          <w:rFonts w:ascii="Arial" w:eastAsia="Times New Roman" w:hAnsi="Arial" w:cs="Arial"/>
          <w:color w:val="000000"/>
          <w:sz w:val="22"/>
          <w:szCs w:val="22"/>
        </w:rPr>
        <w:t xml:space="preserve">Fetched 55 IIS pathway genes. </w:t>
      </w:r>
    </w:p>
    <w:p w:rsidR="00F44D04" w:rsidRPr="00F44D04" w:rsidRDefault="00F44D04" w:rsidP="00F44D04">
      <w:pPr>
        <w:numPr>
          <w:ilvl w:val="1"/>
          <w:numId w:val="5"/>
        </w:numPr>
        <w:textAlignment w:val="baseline"/>
        <w:rPr>
          <w:rFonts w:ascii="Arial" w:eastAsia="Times New Roman" w:hAnsi="Arial" w:cs="Arial"/>
          <w:color w:val="000000"/>
          <w:sz w:val="22"/>
          <w:szCs w:val="22"/>
        </w:rPr>
      </w:pPr>
      <w:r w:rsidRPr="00F44D04">
        <w:rPr>
          <w:rFonts w:ascii="Arial" w:eastAsia="Times New Roman" w:hAnsi="Arial" w:cs="Arial"/>
          <w:color w:val="000000"/>
          <w:sz w:val="22"/>
          <w:szCs w:val="22"/>
        </w:rPr>
        <w:t>55 recovered in modules</w:t>
      </w:r>
    </w:p>
    <w:p w:rsidR="00F44D04" w:rsidRPr="00F44D04" w:rsidRDefault="00F44D04" w:rsidP="00F44D04">
      <w:pPr>
        <w:numPr>
          <w:ilvl w:val="1"/>
          <w:numId w:val="5"/>
        </w:numPr>
        <w:textAlignment w:val="baseline"/>
        <w:rPr>
          <w:rFonts w:ascii="Arial" w:eastAsia="Times New Roman" w:hAnsi="Arial" w:cs="Arial"/>
          <w:color w:val="000000"/>
          <w:sz w:val="22"/>
          <w:szCs w:val="22"/>
        </w:rPr>
      </w:pPr>
      <w:r w:rsidRPr="00F44D04">
        <w:rPr>
          <w:rFonts w:ascii="Arial" w:eastAsia="Times New Roman" w:hAnsi="Arial" w:cs="Arial"/>
          <w:color w:val="000000"/>
          <w:sz w:val="22"/>
          <w:szCs w:val="22"/>
        </w:rPr>
        <w:t>Zero among QTL genes</w:t>
      </w:r>
    </w:p>
    <w:p w:rsidR="00F44D04" w:rsidRPr="00F44D04" w:rsidRDefault="00F44D04" w:rsidP="00F44D04">
      <w:pPr>
        <w:numPr>
          <w:ilvl w:val="1"/>
          <w:numId w:val="5"/>
        </w:numPr>
        <w:textAlignment w:val="baseline"/>
        <w:rPr>
          <w:rFonts w:ascii="Arial" w:eastAsia="Times New Roman" w:hAnsi="Arial" w:cs="Arial"/>
          <w:color w:val="000000"/>
          <w:sz w:val="22"/>
          <w:szCs w:val="22"/>
        </w:rPr>
      </w:pPr>
      <w:r w:rsidRPr="00F44D04">
        <w:rPr>
          <w:rFonts w:ascii="Arial" w:eastAsia="Times New Roman" w:hAnsi="Arial" w:cs="Arial"/>
          <w:color w:val="000000"/>
          <w:sz w:val="22"/>
          <w:szCs w:val="22"/>
        </w:rPr>
        <w:t xml:space="preserve">6 DEGs are IIS pathway genes (iis3: Ilp5, </w:t>
      </w:r>
      <w:proofErr w:type="spellStart"/>
      <w:r w:rsidRPr="00F44D04">
        <w:rPr>
          <w:rFonts w:ascii="Arial" w:eastAsia="Times New Roman" w:hAnsi="Arial" w:cs="Arial"/>
          <w:color w:val="000000"/>
          <w:sz w:val="22"/>
          <w:szCs w:val="22"/>
        </w:rPr>
        <w:t>tgo</w:t>
      </w:r>
      <w:proofErr w:type="spellEnd"/>
      <w:r w:rsidRPr="00F44D04">
        <w:rPr>
          <w:rFonts w:ascii="Arial" w:eastAsia="Times New Roman" w:hAnsi="Arial" w:cs="Arial"/>
          <w:color w:val="000000"/>
          <w:sz w:val="22"/>
          <w:szCs w:val="22"/>
        </w:rPr>
        <w:t xml:space="preserve">, </w:t>
      </w:r>
      <w:proofErr w:type="spellStart"/>
      <w:r w:rsidRPr="00F44D04">
        <w:rPr>
          <w:rFonts w:ascii="Arial" w:eastAsia="Times New Roman" w:hAnsi="Arial" w:cs="Arial"/>
          <w:color w:val="000000"/>
          <w:sz w:val="22"/>
          <w:szCs w:val="22"/>
        </w:rPr>
        <w:t>Rheb</w:t>
      </w:r>
      <w:proofErr w:type="spellEnd"/>
      <w:r w:rsidRPr="00F44D04">
        <w:rPr>
          <w:rFonts w:ascii="Arial" w:eastAsia="Times New Roman" w:hAnsi="Arial" w:cs="Arial"/>
          <w:color w:val="000000"/>
          <w:sz w:val="22"/>
          <w:szCs w:val="22"/>
        </w:rPr>
        <w:t xml:space="preserve">, </w:t>
      </w:r>
      <w:proofErr w:type="spellStart"/>
      <w:r w:rsidRPr="00F44D04">
        <w:rPr>
          <w:rFonts w:ascii="Arial" w:eastAsia="Times New Roman" w:hAnsi="Arial" w:cs="Arial"/>
          <w:color w:val="000000"/>
          <w:sz w:val="22"/>
          <w:szCs w:val="22"/>
        </w:rPr>
        <w:t>slmb</w:t>
      </w:r>
      <w:proofErr w:type="spellEnd"/>
      <w:r w:rsidRPr="00F44D04">
        <w:rPr>
          <w:rFonts w:ascii="Arial" w:eastAsia="Times New Roman" w:hAnsi="Arial" w:cs="Arial"/>
          <w:color w:val="000000"/>
          <w:sz w:val="22"/>
          <w:szCs w:val="22"/>
        </w:rPr>
        <w:t xml:space="preserve">, </w:t>
      </w:r>
      <w:proofErr w:type="spellStart"/>
      <w:r w:rsidRPr="00F44D04">
        <w:rPr>
          <w:rFonts w:ascii="Arial" w:eastAsia="Times New Roman" w:hAnsi="Arial" w:cs="Arial"/>
          <w:color w:val="000000"/>
          <w:sz w:val="22"/>
          <w:szCs w:val="22"/>
        </w:rPr>
        <w:t>Myc</w:t>
      </w:r>
      <w:proofErr w:type="spellEnd"/>
      <w:r w:rsidRPr="00F44D04">
        <w:rPr>
          <w:rFonts w:ascii="Arial" w:eastAsia="Times New Roman" w:hAnsi="Arial" w:cs="Arial"/>
          <w:color w:val="000000"/>
          <w:sz w:val="22"/>
          <w:szCs w:val="22"/>
        </w:rPr>
        <w:t xml:space="preserve">, lin-28). </w:t>
      </w:r>
      <w:r w:rsidRPr="00F44D04">
        <w:rPr>
          <w:rFonts w:ascii="Arial" w:eastAsia="Times New Roman" w:hAnsi="Arial" w:cs="Arial"/>
          <w:color w:val="FF0000"/>
          <w:sz w:val="22"/>
          <w:szCs w:val="22"/>
        </w:rPr>
        <w:t>Which modules?</w:t>
      </w:r>
    </w:p>
    <w:p w:rsidR="00F44D04" w:rsidRPr="00F44D04" w:rsidRDefault="00F44D04" w:rsidP="00F44D04">
      <w:pPr>
        <w:rPr>
          <w:rFonts w:ascii="Times New Roman" w:eastAsia="Times New Roman" w:hAnsi="Times New Roman" w:cs="Times New Roman"/>
          <w:sz w:val="22"/>
          <w:szCs w:val="22"/>
        </w:rPr>
      </w:pPr>
      <w:r w:rsidRPr="00F44D04">
        <w:rPr>
          <w:rFonts w:ascii="Arial" w:eastAsia="Times New Roman" w:hAnsi="Arial" w:cs="Arial"/>
          <w:b/>
          <w:bCs/>
          <w:color w:val="000000"/>
          <w:sz w:val="22"/>
          <w:szCs w:val="22"/>
        </w:rPr>
        <w:t>16 FOXO, 12 Toll, 6 IIS DEGs, i.e. 32 unique genes considered candidates</w:t>
      </w:r>
    </w:p>
    <w:p w:rsidR="00691DDE" w:rsidRDefault="00CD641F"/>
    <w:p w:rsidR="00F44D04" w:rsidRDefault="00F44D04"/>
    <w:p w:rsidR="00F44D04" w:rsidRDefault="00F44D04"/>
    <w:p w:rsidR="00F44D04" w:rsidRDefault="00F44D04"/>
    <w:p w:rsidR="00F44D04" w:rsidRDefault="00F44D04">
      <w:r>
        <w:lastRenderedPageBreak/>
        <w:t xml:space="preserve">Gene summaries – </w:t>
      </w:r>
      <w:proofErr w:type="spellStart"/>
      <w:r>
        <w:t>FlyBase</w:t>
      </w:r>
      <w:proofErr w:type="spellEnd"/>
    </w:p>
    <w:p w:rsidR="00F44D04" w:rsidRDefault="00F44D04"/>
    <w:p w:rsidR="00FC0F34" w:rsidRDefault="00FC0F34">
      <w:r>
        <w:t>lin-28</w:t>
      </w:r>
    </w:p>
    <w:p w:rsidR="00FC0F34" w:rsidRPr="00FC0F34" w:rsidRDefault="00FC0F34">
      <w:pPr>
        <w:rPr>
          <w:rFonts w:ascii="Times New Roman" w:eastAsia="Times New Roman" w:hAnsi="Times New Roman" w:cs="Times New Roman"/>
        </w:rPr>
      </w:pPr>
      <w:r w:rsidRPr="00FC0F34">
        <w:rPr>
          <w:rFonts w:ascii="Times New Roman" w:eastAsia="Times New Roman" w:hAnsi="Times New Roman" w:cs="Times New Roman"/>
        </w:rPr>
        <w:t xml:space="preserve">The gene lin-28 is referred to in </w:t>
      </w:r>
      <w:proofErr w:type="spellStart"/>
      <w:r w:rsidRPr="00FC0F34">
        <w:rPr>
          <w:rFonts w:ascii="Times New Roman" w:eastAsia="Times New Roman" w:hAnsi="Times New Roman" w:cs="Times New Roman"/>
        </w:rPr>
        <w:t>FlyBase</w:t>
      </w:r>
      <w:proofErr w:type="spellEnd"/>
      <w:r w:rsidRPr="00FC0F34">
        <w:rPr>
          <w:rFonts w:ascii="Times New Roman" w:eastAsia="Times New Roman" w:hAnsi="Times New Roman" w:cs="Times New Roman"/>
        </w:rPr>
        <w:t xml:space="preserve"> by the symbol </w:t>
      </w:r>
      <w:proofErr w:type="spellStart"/>
      <w:r w:rsidRPr="00FC0F34">
        <w:rPr>
          <w:rFonts w:ascii="Times New Roman" w:eastAsia="Times New Roman" w:hAnsi="Times New Roman" w:cs="Times New Roman"/>
        </w:rPr>
        <w:t>Dmel</w:t>
      </w:r>
      <w:proofErr w:type="spellEnd"/>
      <w:r w:rsidRPr="00FC0F34">
        <w:rPr>
          <w:rFonts w:ascii="Times New Roman" w:eastAsia="Times New Roman" w:hAnsi="Times New Roman" w:cs="Times New Roman"/>
        </w:rPr>
        <w:t>\lin-28 (CG17334, FBgn0035626). It is a SO</w:t>
      </w:r>
      <w:proofErr w:type="gramStart"/>
      <w:r w:rsidRPr="00FC0F34">
        <w:rPr>
          <w:rFonts w:ascii="Times New Roman" w:eastAsia="Times New Roman" w:hAnsi="Times New Roman" w:cs="Times New Roman"/>
        </w:rPr>
        <w:t>0000010:protein</w:t>
      </w:r>
      <w:proofErr w:type="gramEnd"/>
      <w:r w:rsidRPr="00FC0F34">
        <w:rPr>
          <w:rFonts w:ascii="Times New Roman" w:eastAsia="Times New Roman" w:hAnsi="Times New Roman" w:cs="Times New Roman"/>
        </w:rPr>
        <w:t>_coding_gene from Drosophila melanogaster. It has one annotated transcript and one polypeptide. Gene sequence location is 3</w:t>
      </w:r>
      <w:proofErr w:type="gramStart"/>
      <w:r w:rsidRPr="00FC0F34">
        <w:rPr>
          <w:rFonts w:ascii="Times New Roman" w:eastAsia="Times New Roman" w:hAnsi="Times New Roman" w:cs="Times New Roman"/>
        </w:rPr>
        <w:t>L:5654681..</w:t>
      </w:r>
      <w:proofErr w:type="gramEnd"/>
      <w:r w:rsidRPr="00FC0F34">
        <w:rPr>
          <w:rFonts w:ascii="Times New Roman" w:eastAsia="Times New Roman" w:hAnsi="Times New Roman" w:cs="Times New Roman"/>
        </w:rPr>
        <w:t xml:space="preserve">5657384. It has the cytological map location 64E1. Protein features are: Cold shock domain; Cold-shock protein, DNA-binding; Nucleic acid-binding, OB-fold; Zinc finger, CCHC-type; Zinc finger, CCHC-type superfamily. Its molecular function is described by: zinc ion binding; mRNA binding. It is involved in the biological process described with: </w:t>
      </w:r>
      <w:r w:rsidRPr="00FC0F34">
        <w:rPr>
          <w:rFonts w:ascii="Times New Roman" w:eastAsia="Times New Roman" w:hAnsi="Times New Roman" w:cs="Times New Roman"/>
          <w:highlight w:val="yellow"/>
        </w:rPr>
        <w:t>positive regulation of insulin receptor signaling pathway</w:t>
      </w:r>
      <w:r w:rsidRPr="00FC0F34">
        <w:rPr>
          <w:rFonts w:ascii="Times New Roman" w:eastAsia="Times New Roman" w:hAnsi="Times New Roman" w:cs="Times New Roman"/>
        </w:rPr>
        <w:t xml:space="preserve">; </w:t>
      </w:r>
      <w:r w:rsidRPr="00FC0F34">
        <w:rPr>
          <w:rFonts w:ascii="Times New Roman" w:eastAsia="Times New Roman" w:hAnsi="Times New Roman" w:cs="Times New Roman"/>
          <w:highlight w:val="yellow"/>
        </w:rPr>
        <w:t>oogenesis</w:t>
      </w:r>
      <w:r w:rsidRPr="00FC0F34">
        <w:rPr>
          <w:rFonts w:ascii="Times New Roman" w:eastAsia="Times New Roman" w:hAnsi="Times New Roman" w:cs="Times New Roman"/>
        </w:rPr>
        <w:t xml:space="preserve">; symmetric stem cell division; negative regulation of pre-miRNA processing; positive regulation of stem cell proliferation. 22 alleles are reported. The phenotypes of these alleles manifest in: abdominal temporary </w:t>
      </w:r>
      <w:proofErr w:type="spellStart"/>
      <w:r w:rsidRPr="00FC0F34">
        <w:rPr>
          <w:rFonts w:ascii="Times New Roman" w:eastAsia="Times New Roman" w:hAnsi="Times New Roman" w:cs="Times New Roman"/>
        </w:rPr>
        <w:t>eclosion</w:t>
      </w:r>
      <w:proofErr w:type="spellEnd"/>
      <w:r w:rsidRPr="00FC0F34">
        <w:rPr>
          <w:rFonts w:ascii="Times New Roman" w:eastAsia="Times New Roman" w:hAnsi="Times New Roman" w:cs="Times New Roman"/>
        </w:rPr>
        <w:t xml:space="preserve"> muscle DA; female germline stem cell; male abdominal 5 muscle; nurse cell; egg chamber; eye; intestinal stem cell of posterior adult midgut epithelium; intestinal stem cell; abdominal dorsal muscle. The phenotypic classes of alleles include: phenotype; increased mortality; visible; increased mortality during development. Summary of </w:t>
      </w:r>
      <w:proofErr w:type="spellStart"/>
      <w:r w:rsidRPr="00FC0F34">
        <w:rPr>
          <w:rFonts w:ascii="Times New Roman" w:eastAsia="Times New Roman" w:hAnsi="Times New Roman" w:cs="Times New Roman"/>
        </w:rPr>
        <w:t>modENCODE</w:t>
      </w:r>
      <w:proofErr w:type="spellEnd"/>
      <w:r w:rsidRPr="00FC0F34">
        <w:rPr>
          <w:rFonts w:ascii="Times New Roman" w:eastAsia="Times New Roman" w:hAnsi="Times New Roman" w:cs="Times New Roman"/>
        </w:rPr>
        <w:t xml:space="preserve"> Temporal Expression Profile: Temporal profile ranges from a peak of high expression to a trough of extremely low expression. Peak expression observed within </w:t>
      </w:r>
      <w:proofErr w:type="gramStart"/>
      <w:r w:rsidRPr="00FC0F34">
        <w:rPr>
          <w:rFonts w:ascii="Times New Roman" w:eastAsia="Times New Roman" w:hAnsi="Times New Roman" w:cs="Times New Roman"/>
        </w:rPr>
        <w:t>06-18 hour</w:t>
      </w:r>
      <w:proofErr w:type="gramEnd"/>
      <w:r w:rsidRPr="00FC0F34">
        <w:rPr>
          <w:rFonts w:ascii="Times New Roman" w:eastAsia="Times New Roman" w:hAnsi="Times New Roman" w:cs="Times New Roman"/>
        </w:rPr>
        <w:t xml:space="preserve"> embryonic stages.</w:t>
      </w:r>
    </w:p>
    <w:p w:rsidR="00FC0F34" w:rsidRPr="00FC0F34" w:rsidRDefault="00FC0F34" w:rsidP="00FC0F34">
      <w:pPr>
        <w:rPr>
          <w:rFonts w:ascii="Times New Roman" w:eastAsia="Times New Roman" w:hAnsi="Times New Roman" w:cs="Times New Roman"/>
        </w:rPr>
      </w:pPr>
      <w:proofErr w:type="spellStart"/>
      <w:r w:rsidRPr="00FC0F34">
        <w:rPr>
          <w:rFonts w:ascii="Times New Roman" w:eastAsia="Times New Roman" w:hAnsi="Times New Roman" w:cs="Times New Roman"/>
        </w:rPr>
        <w:t>Stratoulias</w:t>
      </w:r>
      <w:proofErr w:type="spellEnd"/>
      <w:r w:rsidRPr="00FC0F34">
        <w:rPr>
          <w:rFonts w:ascii="Times New Roman" w:eastAsia="Times New Roman" w:hAnsi="Times New Roman" w:cs="Times New Roman"/>
        </w:rPr>
        <w:t xml:space="preserve"> et al., 2014, </w:t>
      </w:r>
      <w:proofErr w:type="spellStart"/>
      <w:r w:rsidRPr="00FC0F34">
        <w:rPr>
          <w:rFonts w:ascii="Times New Roman" w:eastAsia="Times New Roman" w:hAnsi="Times New Roman" w:cs="Times New Roman"/>
        </w:rPr>
        <w:t>PLoS</w:t>
      </w:r>
      <w:proofErr w:type="spellEnd"/>
      <w:r w:rsidRPr="00FC0F34">
        <w:rPr>
          <w:rFonts w:ascii="Times New Roman" w:eastAsia="Times New Roman" w:hAnsi="Times New Roman" w:cs="Times New Roman"/>
        </w:rPr>
        <w:t xml:space="preserve"> ONE 9(6): e101141</w:t>
      </w:r>
    </w:p>
    <w:p w:rsidR="00FC0F34" w:rsidRPr="00FC0F34" w:rsidRDefault="00FC0F34" w:rsidP="00FC0F34">
      <w:pPr>
        <w:rPr>
          <w:rFonts w:ascii="Times New Roman" w:eastAsia="Times New Roman" w:hAnsi="Times New Roman" w:cs="Times New Roman"/>
        </w:rPr>
      </w:pPr>
      <w:r w:rsidRPr="00FC0F34">
        <w:rPr>
          <w:rFonts w:ascii="Times New Roman" w:eastAsia="Times New Roman" w:hAnsi="Times New Roman" w:cs="Times New Roman"/>
        </w:rPr>
        <w:t>Lin-28 Regulates Oogenesis and Muscle Formation in Drosophila melanogaster.</w:t>
      </w:r>
    </w:p>
    <w:p w:rsidR="00FC0F34" w:rsidRDefault="00FC0F34"/>
    <w:p w:rsidR="00FC0F34" w:rsidRPr="00FC0F34" w:rsidRDefault="00FC0F34" w:rsidP="00FC0F34">
      <w:pPr>
        <w:rPr>
          <w:rFonts w:ascii="Times New Roman" w:eastAsia="Times New Roman" w:hAnsi="Times New Roman" w:cs="Times New Roman"/>
        </w:rPr>
      </w:pPr>
      <w:r w:rsidRPr="00FC0F34">
        <w:rPr>
          <w:rFonts w:ascii="Times New Roman" w:eastAsia="Times New Roman" w:hAnsi="Times New Roman" w:cs="Times New Roman"/>
        </w:rPr>
        <w:t xml:space="preserve">Stem cells switch between asymmetric and symmetric division to expand in number as tissues grow during development and in response to environmental changes. The stem cell intrinsic proteins controlling this switch are largely unknown, but one candidate is the Lin-28 pluripotency factor. A conserved RNA-binding protein that is downregulated in most animals as they develop from embryos to adults, Lin-28 persists in populations of adult stem cells. Its function in these cells has not been previously characterized. Here, we report that </w:t>
      </w:r>
      <w:r w:rsidRPr="00FC0F34">
        <w:rPr>
          <w:rFonts w:ascii="Times New Roman" w:eastAsia="Times New Roman" w:hAnsi="Times New Roman" w:cs="Times New Roman"/>
          <w:highlight w:val="yellow"/>
        </w:rPr>
        <w:t>Lin-28 is highly enriched in adult intestinal stem cells in the Drosophila intestine</w:t>
      </w:r>
      <w:r w:rsidRPr="00FC0F34">
        <w:rPr>
          <w:rFonts w:ascii="Times New Roman" w:eastAsia="Times New Roman" w:hAnsi="Times New Roman" w:cs="Times New Roman"/>
        </w:rPr>
        <w:t xml:space="preserve">. lin-28 null mutants are homozygous viable but display defects in this population of cells, which fail to undergo a characteristic food-triggered expansion in number and have reduced rates of symmetric division as well as </w:t>
      </w:r>
      <w:r w:rsidRPr="00FC0F34">
        <w:rPr>
          <w:rFonts w:ascii="Times New Roman" w:eastAsia="Times New Roman" w:hAnsi="Times New Roman" w:cs="Times New Roman"/>
          <w:highlight w:val="yellow"/>
        </w:rPr>
        <w:t>reduced insulin signaling</w:t>
      </w:r>
      <w:r w:rsidRPr="00FC0F34">
        <w:rPr>
          <w:rFonts w:ascii="Times New Roman" w:eastAsia="Times New Roman" w:hAnsi="Times New Roman" w:cs="Times New Roman"/>
        </w:rPr>
        <w:t>. Immunoprecipitation of Lin-28-bound mRNAs identified Insulin-like Receptor (</w:t>
      </w:r>
      <w:proofErr w:type="spellStart"/>
      <w:r w:rsidRPr="00FC0F34">
        <w:rPr>
          <w:rFonts w:ascii="Times New Roman" w:eastAsia="Times New Roman" w:hAnsi="Times New Roman" w:cs="Times New Roman"/>
        </w:rPr>
        <w:t>InR</w:t>
      </w:r>
      <w:proofErr w:type="spellEnd"/>
      <w:r w:rsidRPr="00FC0F34">
        <w:rPr>
          <w:rFonts w:ascii="Times New Roman" w:eastAsia="Times New Roman" w:hAnsi="Times New Roman" w:cs="Times New Roman"/>
        </w:rPr>
        <w:t xml:space="preserve">), forced expression of which completely rescues lin-28-associated defects in intestinal stem cell number and division pattern. Furthermore, this stem cell activity of lin-28 is independent of one well-known lin-28 target, the microRNA let-7, which has limited expression in the intestinal epithelium. </w:t>
      </w:r>
      <w:r w:rsidRPr="00FC0F34">
        <w:rPr>
          <w:rFonts w:ascii="Times New Roman" w:eastAsia="Times New Roman" w:hAnsi="Times New Roman" w:cs="Times New Roman"/>
          <w:highlight w:val="yellow"/>
        </w:rPr>
        <w:t>These results identify Lin-28 as a stem cell intrinsic factor that boosts insulin signaling in intestinal progenitor cells and promotes their symmetric division in response to nutrients</w:t>
      </w:r>
      <w:r w:rsidRPr="00FC0F34">
        <w:rPr>
          <w:rFonts w:ascii="Times New Roman" w:eastAsia="Times New Roman" w:hAnsi="Times New Roman" w:cs="Times New Roman"/>
        </w:rPr>
        <w:t>, defining a mechanism through which Lin-28 controls the adult stem cell division patterns that underlie tissue homeostasis and regeneration.</w:t>
      </w:r>
    </w:p>
    <w:p w:rsidR="00FC0F34" w:rsidRPr="00FC0F34" w:rsidRDefault="00FC0F34" w:rsidP="00FC0F34">
      <w:pPr>
        <w:rPr>
          <w:rFonts w:ascii="Times New Roman" w:eastAsia="Times New Roman" w:hAnsi="Times New Roman" w:cs="Times New Roman"/>
        </w:rPr>
      </w:pPr>
      <w:r w:rsidRPr="00FC0F34">
        <w:rPr>
          <w:rFonts w:ascii="Times New Roman" w:eastAsia="Times New Roman" w:hAnsi="Times New Roman" w:cs="Times New Roman"/>
        </w:rPr>
        <w:t xml:space="preserve">Chen, C.H., </w:t>
      </w:r>
      <w:proofErr w:type="spellStart"/>
      <w:r w:rsidRPr="00FC0F34">
        <w:rPr>
          <w:rFonts w:ascii="Times New Roman" w:eastAsia="Times New Roman" w:hAnsi="Times New Roman" w:cs="Times New Roman"/>
        </w:rPr>
        <w:t>Luhur</w:t>
      </w:r>
      <w:proofErr w:type="spellEnd"/>
      <w:r w:rsidRPr="00FC0F34">
        <w:rPr>
          <w:rFonts w:ascii="Times New Roman" w:eastAsia="Times New Roman" w:hAnsi="Times New Roman" w:cs="Times New Roman"/>
        </w:rPr>
        <w:t xml:space="preserve">, A., </w:t>
      </w:r>
      <w:proofErr w:type="spellStart"/>
      <w:r w:rsidRPr="00FC0F34">
        <w:rPr>
          <w:rFonts w:ascii="Times New Roman" w:eastAsia="Times New Roman" w:hAnsi="Times New Roman" w:cs="Times New Roman"/>
        </w:rPr>
        <w:t>Sokol</w:t>
      </w:r>
      <w:proofErr w:type="spellEnd"/>
      <w:r w:rsidRPr="00FC0F34">
        <w:rPr>
          <w:rFonts w:ascii="Times New Roman" w:eastAsia="Times New Roman" w:hAnsi="Times New Roman" w:cs="Times New Roman"/>
        </w:rPr>
        <w:t>, N. (2015). Lin-28 promotes symmetric stem cell division and drives adaptive growth in the adult Drosophila intestine. </w:t>
      </w:r>
      <w:hyperlink r:id="rId5" w:history="1">
        <w:r w:rsidRPr="00FC0F34">
          <w:rPr>
            <w:rFonts w:ascii="Times New Roman" w:eastAsia="Times New Roman" w:hAnsi="Times New Roman" w:cs="Times New Roman"/>
            <w:color w:val="0000FF"/>
            <w:u w:val="single"/>
          </w:rPr>
          <w:t xml:space="preserve"> Development 142(20): 3478--3487</w:t>
        </w:r>
      </w:hyperlink>
    </w:p>
    <w:p w:rsidR="00FC0F34" w:rsidRDefault="00FC0F34"/>
    <w:p w:rsidR="00FE6D99" w:rsidRDefault="00FE6D99">
      <w:proofErr w:type="spellStart"/>
      <w:r>
        <w:t>Myc</w:t>
      </w:r>
      <w:proofErr w:type="spellEnd"/>
    </w:p>
    <w:p w:rsidR="00FE6D99" w:rsidRPr="00FE6D99" w:rsidRDefault="00FE6D99" w:rsidP="00FE6D99">
      <w:pPr>
        <w:rPr>
          <w:rFonts w:ascii="Times New Roman" w:eastAsia="Times New Roman" w:hAnsi="Times New Roman" w:cs="Times New Roman"/>
        </w:rPr>
      </w:pPr>
      <w:r w:rsidRPr="00FE6D99">
        <w:rPr>
          <w:rFonts w:ascii="Times New Roman" w:eastAsia="Times New Roman" w:hAnsi="Times New Roman" w:cs="Times New Roman"/>
        </w:rPr>
        <w:t xml:space="preserve">Genetic studies in Drosophila melanogaster reveal an important role for </w:t>
      </w:r>
      <w:proofErr w:type="spellStart"/>
      <w:r w:rsidRPr="00FE6D99">
        <w:rPr>
          <w:rFonts w:ascii="Times New Roman" w:eastAsia="Times New Roman" w:hAnsi="Times New Roman" w:cs="Times New Roman"/>
        </w:rPr>
        <w:t>Myc</w:t>
      </w:r>
      <w:proofErr w:type="spellEnd"/>
      <w:r w:rsidRPr="00FE6D99">
        <w:rPr>
          <w:rFonts w:ascii="Times New Roman" w:eastAsia="Times New Roman" w:hAnsi="Times New Roman" w:cs="Times New Roman"/>
        </w:rPr>
        <w:t xml:space="preserve"> in controlling growth. Similar studies have also shown how components of the insulin and target of rapamycin (TOR) pathways are key regulators of growth. Despite a few suggestions that </w:t>
      </w:r>
      <w:proofErr w:type="spellStart"/>
      <w:r w:rsidRPr="00FE6D99">
        <w:rPr>
          <w:rFonts w:ascii="Times New Roman" w:eastAsia="Times New Roman" w:hAnsi="Times New Roman" w:cs="Times New Roman"/>
        </w:rPr>
        <w:t>Myc</w:t>
      </w:r>
      <w:proofErr w:type="spellEnd"/>
      <w:r w:rsidRPr="00FE6D99">
        <w:rPr>
          <w:rFonts w:ascii="Times New Roman" w:eastAsia="Times New Roman" w:hAnsi="Times New Roman" w:cs="Times New Roman"/>
        </w:rPr>
        <w:t xml:space="preserve"> transcriptional activity lies downstream of these pathways, a molecular mechanism linking these signaling pathways to </w:t>
      </w:r>
      <w:proofErr w:type="spellStart"/>
      <w:r w:rsidRPr="00FE6D99">
        <w:rPr>
          <w:rFonts w:ascii="Times New Roman" w:eastAsia="Times New Roman" w:hAnsi="Times New Roman" w:cs="Times New Roman"/>
        </w:rPr>
        <w:t>Myc</w:t>
      </w:r>
      <w:proofErr w:type="spellEnd"/>
      <w:r w:rsidRPr="00FE6D99">
        <w:rPr>
          <w:rFonts w:ascii="Times New Roman" w:eastAsia="Times New Roman" w:hAnsi="Times New Roman" w:cs="Times New Roman"/>
        </w:rPr>
        <w:t xml:space="preserve"> has not been clearly described. Using biochemical and genetic approaches we tried to identify novel mechanisms that control </w:t>
      </w:r>
      <w:proofErr w:type="spellStart"/>
      <w:r w:rsidRPr="00FE6D99">
        <w:rPr>
          <w:rFonts w:ascii="Times New Roman" w:eastAsia="Times New Roman" w:hAnsi="Times New Roman" w:cs="Times New Roman"/>
        </w:rPr>
        <w:t>Myc</w:t>
      </w:r>
      <w:proofErr w:type="spellEnd"/>
      <w:r w:rsidRPr="00FE6D99">
        <w:rPr>
          <w:rFonts w:ascii="Times New Roman" w:eastAsia="Times New Roman" w:hAnsi="Times New Roman" w:cs="Times New Roman"/>
        </w:rPr>
        <w:t xml:space="preserve"> activity upon activation of insulin and TOR signaling </w:t>
      </w:r>
      <w:proofErr w:type="spellStart"/>
      <w:r w:rsidRPr="00FE6D99">
        <w:rPr>
          <w:rFonts w:ascii="Times New Roman" w:eastAsia="Times New Roman" w:hAnsi="Times New Roman" w:cs="Times New Roman"/>
        </w:rPr>
        <w:t>pathways.Our</w:t>
      </w:r>
      <w:proofErr w:type="spellEnd"/>
      <w:r w:rsidRPr="00FE6D99">
        <w:rPr>
          <w:rFonts w:ascii="Times New Roman" w:eastAsia="Times New Roman" w:hAnsi="Times New Roman" w:cs="Times New Roman"/>
        </w:rPr>
        <w:t xml:space="preserve"> biochemical studies show that insulin induces </w:t>
      </w:r>
      <w:proofErr w:type="spellStart"/>
      <w:r w:rsidRPr="00FE6D99">
        <w:rPr>
          <w:rFonts w:ascii="Times New Roman" w:eastAsia="Times New Roman" w:hAnsi="Times New Roman" w:cs="Times New Roman"/>
        </w:rPr>
        <w:t>Myc</w:t>
      </w:r>
      <w:proofErr w:type="spellEnd"/>
      <w:r w:rsidRPr="00FE6D99">
        <w:rPr>
          <w:rFonts w:ascii="Times New Roman" w:eastAsia="Times New Roman" w:hAnsi="Times New Roman" w:cs="Times New Roman"/>
        </w:rPr>
        <w:t xml:space="preserve"> protein accumulation in Drosophila S2 cells, which correlates with a decrease in the activity of glycogen synthase kinase 3-beta (GSK3β ) a kinase that is responsible for </w:t>
      </w:r>
      <w:proofErr w:type="spellStart"/>
      <w:r w:rsidRPr="00FE6D99">
        <w:rPr>
          <w:rFonts w:ascii="Times New Roman" w:eastAsia="Times New Roman" w:hAnsi="Times New Roman" w:cs="Times New Roman"/>
        </w:rPr>
        <w:t>Myc</w:t>
      </w:r>
      <w:proofErr w:type="spellEnd"/>
      <w:r w:rsidRPr="00FE6D99">
        <w:rPr>
          <w:rFonts w:ascii="Times New Roman" w:eastAsia="Times New Roman" w:hAnsi="Times New Roman" w:cs="Times New Roman"/>
        </w:rPr>
        <w:t xml:space="preserve"> protein degradation. Induction of </w:t>
      </w:r>
      <w:proofErr w:type="spellStart"/>
      <w:r w:rsidRPr="00FE6D99">
        <w:rPr>
          <w:rFonts w:ascii="Times New Roman" w:eastAsia="Times New Roman" w:hAnsi="Times New Roman" w:cs="Times New Roman"/>
        </w:rPr>
        <w:t>Myc</w:t>
      </w:r>
      <w:proofErr w:type="spellEnd"/>
      <w:r w:rsidRPr="00FE6D99">
        <w:rPr>
          <w:rFonts w:ascii="Times New Roman" w:eastAsia="Times New Roman" w:hAnsi="Times New Roman" w:cs="Times New Roman"/>
        </w:rPr>
        <w:t xml:space="preserve"> by insulin is inhibited by the presence of the TOR inhibitor rapamycin, suggesting that insulin-induced </w:t>
      </w:r>
      <w:proofErr w:type="spellStart"/>
      <w:r w:rsidRPr="00FE6D99">
        <w:rPr>
          <w:rFonts w:ascii="Times New Roman" w:eastAsia="Times New Roman" w:hAnsi="Times New Roman" w:cs="Times New Roman"/>
        </w:rPr>
        <w:t>Myc</w:t>
      </w:r>
      <w:proofErr w:type="spellEnd"/>
      <w:r w:rsidRPr="00FE6D99">
        <w:rPr>
          <w:rFonts w:ascii="Times New Roman" w:eastAsia="Times New Roman" w:hAnsi="Times New Roman" w:cs="Times New Roman"/>
        </w:rPr>
        <w:t xml:space="preserve"> protein accumulation depends on the activation of TOR complex 1. Treatment with amino acids that directly activate the TOR pathway results in </w:t>
      </w:r>
      <w:proofErr w:type="spellStart"/>
      <w:r w:rsidRPr="00FE6D99">
        <w:rPr>
          <w:rFonts w:ascii="Times New Roman" w:eastAsia="Times New Roman" w:hAnsi="Times New Roman" w:cs="Times New Roman"/>
        </w:rPr>
        <w:t>Myc</w:t>
      </w:r>
      <w:proofErr w:type="spellEnd"/>
      <w:r w:rsidRPr="00FE6D99">
        <w:rPr>
          <w:rFonts w:ascii="Times New Roman" w:eastAsia="Times New Roman" w:hAnsi="Times New Roman" w:cs="Times New Roman"/>
        </w:rPr>
        <w:t xml:space="preserve"> protein accumulation, which also depends on the ability of S6K kinase to inhibit GSK3β activity. </w:t>
      </w:r>
      <w:proofErr w:type="spellStart"/>
      <w:r w:rsidRPr="00FE6D99">
        <w:rPr>
          <w:rFonts w:ascii="Times New Roman" w:eastAsia="Times New Roman" w:hAnsi="Times New Roman" w:cs="Times New Roman"/>
          <w:highlight w:val="yellow"/>
        </w:rPr>
        <w:t>Myc</w:t>
      </w:r>
      <w:proofErr w:type="spellEnd"/>
      <w:r w:rsidRPr="00FE6D99">
        <w:rPr>
          <w:rFonts w:ascii="Times New Roman" w:eastAsia="Times New Roman" w:hAnsi="Times New Roman" w:cs="Times New Roman"/>
          <w:highlight w:val="yellow"/>
        </w:rPr>
        <w:t xml:space="preserve"> upregulation by insulin and TOR pathways is a mechanism conserved in cells </w:t>
      </w:r>
      <w:r w:rsidRPr="00FE6D99">
        <w:rPr>
          <w:rFonts w:ascii="Times New Roman" w:eastAsia="Times New Roman" w:hAnsi="Times New Roman" w:cs="Times New Roman"/>
          <w:highlight w:val="yellow"/>
        </w:rPr>
        <w:lastRenderedPageBreak/>
        <w:t xml:space="preserve">from the wing imaginal disc, where expression of Dp110 and </w:t>
      </w:r>
      <w:proofErr w:type="spellStart"/>
      <w:r w:rsidRPr="00FE6D99">
        <w:rPr>
          <w:rFonts w:ascii="Times New Roman" w:eastAsia="Times New Roman" w:hAnsi="Times New Roman" w:cs="Times New Roman"/>
          <w:highlight w:val="yellow"/>
        </w:rPr>
        <w:t>Rheb</w:t>
      </w:r>
      <w:proofErr w:type="spellEnd"/>
      <w:r w:rsidRPr="00FE6D99">
        <w:rPr>
          <w:rFonts w:ascii="Times New Roman" w:eastAsia="Times New Roman" w:hAnsi="Times New Roman" w:cs="Times New Roman"/>
          <w:highlight w:val="yellow"/>
        </w:rPr>
        <w:t xml:space="preserve"> also induces </w:t>
      </w:r>
      <w:proofErr w:type="spellStart"/>
      <w:r w:rsidRPr="00FE6D99">
        <w:rPr>
          <w:rFonts w:ascii="Times New Roman" w:eastAsia="Times New Roman" w:hAnsi="Times New Roman" w:cs="Times New Roman"/>
          <w:highlight w:val="yellow"/>
        </w:rPr>
        <w:t>Myc</w:t>
      </w:r>
      <w:proofErr w:type="spellEnd"/>
      <w:r w:rsidRPr="00FE6D99">
        <w:rPr>
          <w:rFonts w:ascii="Times New Roman" w:eastAsia="Times New Roman" w:hAnsi="Times New Roman" w:cs="Times New Roman"/>
          <w:highlight w:val="yellow"/>
        </w:rPr>
        <w:t xml:space="preserve"> protein accumulation, while inhibition of insulin and TOR pathways result in the opposite effect</w:t>
      </w:r>
      <w:r w:rsidRPr="00FE6D99">
        <w:rPr>
          <w:rFonts w:ascii="Times New Roman" w:eastAsia="Times New Roman" w:hAnsi="Times New Roman" w:cs="Times New Roman"/>
        </w:rPr>
        <w:t xml:space="preserve">. Our functional analysis, aimed at quantifying the relative contribution of </w:t>
      </w:r>
      <w:proofErr w:type="spellStart"/>
      <w:r w:rsidRPr="00FE6D99">
        <w:rPr>
          <w:rFonts w:ascii="Times New Roman" w:eastAsia="Times New Roman" w:hAnsi="Times New Roman" w:cs="Times New Roman"/>
        </w:rPr>
        <w:t>Myc</w:t>
      </w:r>
      <w:proofErr w:type="spellEnd"/>
      <w:r w:rsidRPr="00FE6D99">
        <w:rPr>
          <w:rFonts w:ascii="Times New Roman" w:eastAsia="Times New Roman" w:hAnsi="Times New Roman" w:cs="Times New Roman"/>
        </w:rPr>
        <w:t xml:space="preserve"> to ommatidial growth downstream of insulin and TOR pathways, revealed that </w:t>
      </w:r>
      <w:proofErr w:type="spellStart"/>
      <w:r w:rsidRPr="00FE6D99">
        <w:rPr>
          <w:rFonts w:ascii="Times New Roman" w:eastAsia="Times New Roman" w:hAnsi="Times New Roman" w:cs="Times New Roman"/>
        </w:rPr>
        <w:t>Myc</w:t>
      </w:r>
      <w:proofErr w:type="spellEnd"/>
      <w:r w:rsidRPr="00FE6D99">
        <w:rPr>
          <w:rFonts w:ascii="Times New Roman" w:eastAsia="Times New Roman" w:hAnsi="Times New Roman" w:cs="Times New Roman"/>
        </w:rPr>
        <w:t xml:space="preserve"> activity is necessary to sustain the proliferation of cells from the ommatidia upon Dp110 expression, while its contribution downstream of TOR is significant to control the size of the ommatidia.</w:t>
      </w:r>
      <w:r>
        <w:rPr>
          <w:rFonts w:ascii="Times New Roman" w:eastAsia="Times New Roman" w:hAnsi="Times New Roman" w:cs="Times New Roman"/>
        </w:rPr>
        <w:t xml:space="preserve"> </w:t>
      </w:r>
      <w:r w:rsidRPr="00FE6D99">
        <w:rPr>
          <w:rFonts w:ascii="Times New Roman" w:eastAsia="Times New Roman" w:hAnsi="Times New Roman" w:cs="Times New Roman"/>
        </w:rPr>
        <w:t xml:space="preserve">Our </w:t>
      </w:r>
      <w:r w:rsidRPr="00FE6D99">
        <w:rPr>
          <w:rFonts w:ascii="Times New Roman" w:eastAsia="Times New Roman" w:hAnsi="Times New Roman" w:cs="Times New Roman"/>
          <w:highlight w:val="yellow"/>
        </w:rPr>
        <w:t xml:space="preserve">study presents novel evidence that </w:t>
      </w:r>
      <w:proofErr w:type="spellStart"/>
      <w:r w:rsidRPr="00FE6D99">
        <w:rPr>
          <w:rFonts w:ascii="Times New Roman" w:eastAsia="Times New Roman" w:hAnsi="Times New Roman" w:cs="Times New Roman"/>
          <w:highlight w:val="yellow"/>
        </w:rPr>
        <w:t>Myc</w:t>
      </w:r>
      <w:proofErr w:type="spellEnd"/>
      <w:r w:rsidRPr="00FE6D99">
        <w:rPr>
          <w:rFonts w:ascii="Times New Roman" w:eastAsia="Times New Roman" w:hAnsi="Times New Roman" w:cs="Times New Roman"/>
          <w:highlight w:val="yellow"/>
        </w:rPr>
        <w:t xml:space="preserve"> activity acts downstream of insulin and TOR pathways to control growth in Drosophila</w:t>
      </w:r>
      <w:r w:rsidRPr="00FE6D99">
        <w:rPr>
          <w:rFonts w:ascii="Times New Roman" w:eastAsia="Times New Roman" w:hAnsi="Times New Roman" w:cs="Times New Roman"/>
        </w:rPr>
        <w:t xml:space="preserve">. At the biochemical level we found that both these pathways converge at GSK3β to control </w:t>
      </w:r>
      <w:proofErr w:type="spellStart"/>
      <w:r w:rsidRPr="00FE6D99">
        <w:rPr>
          <w:rFonts w:ascii="Times New Roman" w:eastAsia="Times New Roman" w:hAnsi="Times New Roman" w:cs="Times New Roman"/>
        </w:rPr>
        <w:t>Myc</w:t>
      </w:r>
      <w:proofErr w:type="spellEnd"/>
      <w:r w:rsidRPr="00FE6D99">
        <w:rPr>
          <w:rFonts w:ascii="Times New Roman" w:eastAsia="Times New Roman" w:hAnsi="Times New Roman" w:cs="Times New Roman"/>
        </w:rPr>
        <w:t xml:space="preserve"> protein stability, while our genetic analysis shows that insulin and TOR pathways have different requirements for </w:t>
      </w:r>
      <w:proofErr w:type="spellStart"/>
      <w:r w:rsidRPr="00FE6D99">
        <w:rPr>
          <w:rFonts w:ascii="Times New Roman" w:eastAsia="Times New Roman" w:hAnsi="Times New Roman" w:cs="Times New Roman"/>
        </w:rPr>
        <w:t>Myc</w:t>
      </w:r>
      <w:proofErr w:type="spellEnd"/>
      <w:r w:rsidRPr="00FE6D99">
        <w:rPr>
          <w:rFonts w:ascii="Times New Roman" w:eastAsia="Times New Roman" w:hAnsi="Times New Roman" w:cs="Times New Roman"/>
        </w:rPr>
        <w:t xml:space="preserve"> activity during development of the eye, suggesting that </w:t>
      </w:r>
      <w:proofErr w:type="spellStart"/>
      <w:r w:rsidRPr="00FE6D99">
        <w:rPr>
          <w:rFonts w:ascii="Times New Roman" w:eastAsia="Times New Roman" w:hAnsi="Times New Roman" w:cs="Times New Roman"/>
        </w:rPr>
        <w:t>Myc</w:t>
      </w:r>
      <w:proofErr w:type="spellEnd"/>
      <w:r w:rsidRPr="00FE6D99">
        <w:rPr>
          <w:rFonts w:ascii="Times New Roman" w:eastAsia="Times New Roman" w:hAnsi="Times New Roman" w:cs="Times New Roman"/>
        </w:rPr>
        <w:t xml:space="preserve"> might be differentially induced by these pathways during growth or proliferation of cells that make up the ommatidia.</w:t>
      </w:r>
    </w:p>
    <w:p w:rsidR="00FE6D99" w:rsidRPr="00FE6D99" w:rsidRDefault="00FE6D99" w:rsidP="00FE6D99">
      <w:pPr>
        <w:rPr>
          <w:rFonts w:ascii="Times New Roman" w:eastAsia="Times New Roman" w:hAnsi="Times New Roman" w:cs="Times New Roman"/>
        </w:rPr>
      </w:pPr>
      <w:proofErr w:type="spellStart"/>
      <w:r w:rsidRPr="00FE6D99">
        <w:rPr>
          <w:rFonts w:ascii="Times New Roman" w:eastAsia="Times New Roman" w:hAnsi="Times New Roman" w:cs="Times New Roman"/>
        </w:rPr>
        <w:t>Parisi</w:t>
      </w:r>
      <w:proofErr w:type="spellEnd"/>
      <w:r w:rsidRPr="00FE6D99">
        <w:rPr>
          <w:rFonts w:ascii="Times New Roman" w:eastAsia="Times New Roman" w:hAnsi="Times New Roman" w:cs="Times New Roman"/>
        </w:rPr>
        <w:t xml:space="preserve">, F., Riccardo, S., Daniel, M., </w:t>
      </w:r>
      <w:proofErr w:type="spellStart"/>
      <w:r w:rsidRPr="00FE6D99">
        <w:rPr>
          <w:rFonts w:ascii="Times New Roman" w:eastAsia="Times New Roman" w:hAnsi="Times New Roman" w:cs="Times New Roman"/>
        </w:rPr>
        <w:t>Saqcena</w:t>
      </w:r>
      <w:proofErr w:type="spellEnd"/>
      <w:r w:rsidRPr="00FE6D99">
        <w:rPr>
          <w:rFonts w:ascii="Times New Roman" w:eastAsia="Times New Roman" w:hAnsi="Times New Roman" w:cs="Times New Roman"/>
        </w:rPr>
        <w:t xml:space="preserve">, M., Kundu, N., </w:t>
      </w:r>
      <w:proofErr w:type="spellStart"/>
      <w:r w:rsidRPr="00FE6D99">
        <w:rPr>
          <w:rFonts w:ascii="Times New Roman" w:eastAsia="Times New Roman" w:hAnsi="Times New Roman" w:cs="Times New Roman"/>
        </w:rPr>
        <w:t>Pession</w:t>
      </w:r>
      <w:proofErr w:type="spellEnd"/>
      <w:r w:rsidRPr="00FE6D99">
        <w:rPr>
          <w:rFonts w:ascii="Times New Roman" w:eastAsia="Times New Roman" w:hAnsi="Times New Roman" w:cs="Times New Roman"/>
        </w:rPr>
        <w:t xml:space="preserve">, A., </w:t>
      </w:r>
      <w:proofErr w:type="spellStart"/>
      <w:r w:rsidRPr="00FE6D99">
        <w:rPr>
          <w:rFonts w:ascii="Times New Roman" w:eastAsia="Times New Roman" w:hAnsi="Times New Roman" w:cs="Times New Roman"/>
        </w:rPr>
        <w:t>Grifoni</w:t>
      </w:r>
      <w:proofErr w:type="spellEnd"/>
      <w:r w:rsidRPr="00FE6D99">
        <w:rPr>
          <w:rFonts w:ascii="Times New Roman" w:eastAsia="Times New Roman" w:hAnsi="Times New Roman" w:cs="Times New Roman"/>
        </w:rPr>
        <w:t xml:space="preserve">, D., Stocker, H., Tabak, E., </w:t>
      </w:r>
      <w:proofErr w:type="spellStart"/>
      <w:r w:rsidRPr="00FE6D99">
        <w:rPr>
          <w:rFonts w:ascii="Times New Roman" w:eastAsia="Times New Roman" w:hAnsi="Times New Roman" w:cs="Times New Roman"/>
        </w:rPr>
        <w:t>Bellosta</w:t>
      </w:r>
      <w:proofErr w:type="spellEnd"/>
      <w:r w:rsidRPr="00FE6D99">
        <w:rPr>
          <w:rFonts w:ascii="Times New Roman" w:eastAsia="Times New Roman" w:hAnsi="Times New Roman" w:cs="Times New Roman"/>
        </w:rPr>
        <w:t xml:space="preserve">, P. (2011). Drosophila insulin and target of rapamycin (TOR) pathways regulate GSK3 beta activity to control </w:t>
      </w:r>
      <w:proofErr w:type="spellStart"/>
      <w:r w:rsidRPr="00FE6D99">
        <w:rPr>
          <w:rFonts w:ascii="Times New Roman" w:eastAsia="Times New Roman" w:hAnsi="Times New Roman" w:cs="Times New Roman"/>
        </w:rPr>
        <w:t>Myc</w:t>
      </w:r>
      <w:proofErr w:type="spellEnd"/>
      <w:r w:rsidRPr="00FE6D99">
        <w:rPr>
          <w:rFonts w:ascii="Times New Roman" w:eastAsia="Times New Roman" w:hAnsi="Times New Roman" w:cs="Times New Roman"/>
        </w:rPr>
        <w:t xml:space="preserve"> stability and determine </w:t>
      </w:r>
      <w:proofErr w:type="spellStart"/>
      <w:r w:rsidRPr="00FE6D99">
        <w:rPr>
          <w:rFonts w:ascii="Times New Roman" w:eastAsia="Times New Roman" w:hAnsi="Times New Roman" w:cs="Times New Roman"/>
        </w:rPr>
        <w:t>Myc</w:t>
      </w:r>
      <w:proofErr w:type="spellEnd"/>
      <w:r w:rsidRPr="00FE6D99">
        <w:rPr>
          <w:rFonts w:ascii="Times New Roman" w:eastAsia="Times New Roman" w:hAnsi="Times New Roman" w:cs="Times New Roman"/>
        </w:rPr>
        <w:t xml:space="preserve"> expression in vivo. </w:t>
      </w:r>
      <w:hyperlink r:id="rId6" w:history="1">
        <w:r w:rsidRPr="00FE6D99">
          <w:rPr>
            <w:rFonts w:ascii="Times New Roman" w:eastAsia="Times New Roman" w:hAnsi="Times New Roman" w:cs="Times New Roman"/>
            <w:color w:val="0000FF"/>
            <w:u w:val="single"/>
          </w:rPr>
          <w:t xml:space="preserve"> BMC Biol. 9(): 65.</w:t>
        </w:r>
      </w:hyperlink>
    </w:p>
    <w:p w:rsidR="00FE6D99" w:rsidRDefault="00FE6D99"/>
    <w:p w:rsidR="000D0267" w:rsidRPr="000D0267" w:rsidRDefault="000D0267" w:rsidP="000D0267">
      <w:pPr>
        <w:rPr>
          <w:rFonts w:ascii="Times New Roman" w:eastAsia="Times New Roman" w:hAnsi="Times New Roman" w:cs="Times New Roman"/>
        </w:rPr>
      </w:pPr>
      <w:r w:rsidRPr="000D0267">
        <w:rPr>
          <w:rFonts w:ascii="Times New Roman" w:eastAsia="Times New Roman" w:hAnsi="Times New Roman" w:cs="Times New Roman"/>
        </w:rPr>
        <w:t xml:space="preserve">Drosophila </w:t>
      </w:r>
      <w:proofErr w:type="spellStart"/>
      <w:r w:rsidRPr="000D0267">
        <w:rPr>
          <w:rFonts w:ascii="Times New Roman" w:eastAsia="Times New Roman" w:hAnsi="Times New Roman" w:cs="Times New Roman"/>
        </w:rPr>
        <w:t>dMyc</w:t>
      </w:r>
      <w:proofErr w:type="spellEnd"/>
      <w:r w:rsidRPr="000D0267">
        <w:rPr>
          <w:rFonts w:ascii="Times New Roman" w:eastAsia="Times New Roman" w:hAnsi="Times New Roman" w:cs="Times New Roman"/>
        </w:rPr>
        <w:t xml:space="preserve"> (</w:t>
      </w:r>
      <w:proofErr w:type="spellStart"/>
      <w:r w:rsidRPr="000D0267">
        <w:rPr>
          <w:rFonts w:ascii="Times New Roman" w:eastAsia="Times New Roman" w:hAnsi="Times New Roman" w:cs="Times New Roman"/>
        </w:rPr>
        <w:t>dMyc</w:t>
      </w:r>
      <w:proofErr w:type="spellEnd"/>
      <w:r w:rsidRPr="000D0267">
        <w:rPr>
          <w:rFonts w:ascii="Times New Roman" w:eastAsia="Times New Roman" w:hAnsi="Times New Roman" w:cs="Times New Roman"/>
        </w:rPr>
        <w:t>) is known for its role in cell-autonomous regulation of growth. Here we address its role in the fat body (FB), a metabolic tissue that functions as a sensor of circulating nutrients to control the release of Drosophila Insulin-like peptides (</w:t>
      </w:r>
      <w:proofErr w:type="spellStart"/>
      <w:r w:rsidRPr="000D0267">
        <w:rPr>
          <w:rFonts w:ascii="Times New Roman" w:eastAsia="Times New Roman" w:hAnsi="Times New Roman" w:cs="Times New Roman"/>
        </w:rPr>
        <w:t>Dilps</w:t>
      </w:r>
      <w:proofErr w:type="spellEnd"/>
      <w:r w:rsidRPr="000D0267">
        <w:rPr>
          <w:rFonts w:ascii="Times New Roman" w:eastAsia="Times New Roman" w:hAnsi="Times New Roman" w:cs="Times New Roman"/>
        </w:rPr>
        <w:t xml:space="preserve">) from the brain influencing growth and development. Our results show that </w:t>
      </w:r>
      <w:r w:rsidRPr="000D0267">
        <w:rPr>
          <w:rFonts w:ascii="Times New Roman" w:eastAsia="Times New Roman" w:hAnsi="Times New Roman" w:cs="Times New Roman"/>
          <w:highlight w:val="yellow"/>
        </w:rPr>
        <w:t xml:space="preserve">expression of </w:t>
      </w:r>
      <w:proofErr w:type="spellStart"/>
      <w:r w:rsidRPr="000D0267">
        <w:rPr>
          <w:rFonts w:ascii="Times New Roman" w:eastAsia="Times New Roman" w:hAnsi="Times New Roman" w:cs="Times New Roman"/>
          <w:highlight w:val="yellow"/>
        </w:rPr>
        <w:t>dMyc</w:t>
      </w:r>
      <w:proofErr w:type="spellEnd"/>
      <w:r w:rsidRPr="000D0267">
        <w:rPr>
          <w:rFonts w:ascii="Times New Roman" w:eastAsia="Times New Roman" w:hAnsi="Times New Roman" w:cs="Times New Roman"/>
          <w:highlight w:val="yellow"/>
        </w:rPr>
        <w:t xml:space="preserve"> in the FB affects development and animal size</w:t>
      </w:r>
      <w:r w:rsidRPr="000D0267">
        <w:rPr>
          <w:rFonts w:ascii="Times New Roman" w:eastAsia="Times New Roman" w:hAnsi="Times New Roman" w:cs="Times New Roman"/>
        </w:rPr>
        <w:t xml:space="preserve">. </w:t>
      </w:r>
      <w:r w:rsidRPr="000D0267">
        <w:rPr>
          <w:rFonts w:ascii="Times New Roman" w:eastAsia="Times New Roman" w:hAnsi="Times New Roman" w:cs="Times New Roman"/>
          <w:highlight w:val="yellow"/>
        </w:rPr>
        <w:t xml:space="preserve">Expression of </w:t>
      </w:r>
      <w:proofErr w:type="spellStart"/>
      <w:r w:rsidRPr="000D0267">
        <w:rPr>
          <w:rFonts w:ascii="Times New Roman" w:eastAsia="Times New Roman" w:hAnsi="Times New Roman" w:cs="Times New Roman"/>
          <w:highlight w:val="yellow"/>
        </w:rPr>
        <w:t>dMyc</w:t>
      </w:r>
      <w:proofErr w:type="spellEnd"/>
      <w:r w:rsidRPr="000D0267">
        <w:rPr>
          <w:rFonts w:ascii="Times New Roman" w:eastAsia="Times New Roman" w:hAnsi="Times New Roman" w:cs="Times New Roman"/>
          <w:highlight w:val="yellow"/>
        </w:rPr>
        <w:t xml:space="preserve">, but not of </w:t>
      </w:r>
      <w:proofErr w:type="spellStart"/>
      <w:r w:rsidRPr="000D0267">
        <w:rPr>
          <w:rFonts w:ascii="Times New Roman" w:eastAsia="Times New Roman" w:hAnsi="Times New Roman" w:cs="Times New Roman"/>
          <w:highlight w:val="yellow"/>
        </w:rPr>
        <w:t>CycD</w:t>
      </w:r>
      <w:proofErr w:type="spellEnd"/>
      <w:r w:rsidRPr="000D0267">
        <w:rPr>
          <w:rFonts w:ascii="Times New Roman" w:eastAsia="Times New Roman" w:hAnsi="Times New Roman" w:cs="Times New Roman"/>
          <w:highlight w:val="yellow"/>
        </w:rPr>
        <w:t xml:space="preserve">/cdk4 or </w:t>
      </w:r>
      <w:proofErr w:type="spellStart"/>
      <w:r w:rsidRPr="000D0267">
        <w:rPr>
          <w:rFonts w:ascii="Times New Roman" w:eastAsia="Times New Roman" w:hAnsi="Times New Roman" w:cs="Times New Roman"/>
          <w:highlight w:val="yellow"/>
        </w:rPr>
        <w:t>Rheb</w:t>
      </w:r>
      <w:proofErr w:type="spellEnd"/>
      <w:r w:rsidRPr="000D0267">
        <w:rPr>
          <w:rFonts w:ascii="Times New Roman" w:eastAsia="Times New Roman" w:hAnsi="Times New Roman" w:cs="Times New Roman"/>
          <w:highlight w:val="yellow"/>
        </w:rPr>
        <w:t xml:space="preserve">, in the FB diminishes the ability to retain Drosophila Insulin-like peptide-2 (DILP2) in the brain during starvation, suggesting that expression of </w:t>
      </w:r>
      <w:proofErr w:type="spellStart"/>
      <w:r w:rsidRPr="000D0267">
        <w:rPr>
          <w:rFonts w:ascii="Times New Roman" w:eastAsia="Times New Roman" w:hAnsi="Times New Roman" w:cs="Times New Roman"/>
          <w:highlight w:val="yellow"/>
        </w:rPr>
        <w:t>dMyc</w:t>
      </w:r>
      <w:proofErr w:type="spellEnd"/>
      <w:r w:rsidRPr="000D0267">
        <w:rPr>
          <w:rFonts w:ascii="Times New Roman" w:eastAsia="Times New Roman" w:hAnsi="Times New Roman" w:cs="Times New Roman"/>
          <w:highlight w:val="yellow"/>
        </w:rPr>
        <w:t xml:space="preserve"> mimics the signal that remotely controls the release of </w:t>
      </w:r>
      <w:proofErr w:type="spellStart"/>
      <w:r w:rsidRPr="000D0267">
        <w:rPr>
          <w:rFonts w:ascii="Times New Roman" w:eastAsia="Times New Roman" w:hAnsi="Times New Roman" w:cs="Times New Roman"/>
          <w:highlight w:val="yellow"/>
        </w:rPr>
        <w:t>Dilps</w:t>
      </w:r>
      <w:proofErr w:type="spellEnd"/>
      <w:r w:rsidRPr="000D0267">
        <w:rPr>
          <w:rFonts w:ascii="Times New Roman" w:eastAsia="Times New Roman" w:hAnsi="Times New Roman" w:cs="Times New Roman"/>
          <w:highlight w:val="yellow"/>
        </w:rPr>
        <w:t xml:space="preserve"> into the hemolymph</w:t>
      </w:r>
      <w:r w:rsidRPr="000D0267">
        <w:rPr>
          <w:rFonts w:ascii="Times New Roman" w:eastAsia="Times New Roman" w:hAnsi="Times New Roman" w:cs="Times New Roman"/>
        </w:rPr>
        <w:t xml:space="preserve">. </w:t>
      </w:r>
      <w:proofErr w:type="spellStart"/>
      <w:r w:rsidRPr="000D0267">
        <w:rPr>
          <w:rFonts w:ascii="Times New Roman" w:eastAsia="Times New Roman" w:hAnsi="Times New Roman" w:cs="Times New Roman"/>
          <w:highlight w:val="cyan"/>
        </w:rPr>
        <w:t>dMyc</w:t>
      </w:r>
      <w:proofErr w:type="spellEnd"/>
      <w:r w:rsidRPr="000D0267">
        <w:rPr>
          <w:rFonts w:ascii="Times New Roman" w:eastAsia="Times New Roman" w:hAnsi="Times New Roman" w:cs="Times New Roman"/>
          <w:highlight w:val="cyan"/>
        </w:rPr>
        <w:t xml:space="preserve"> also affects glucose metabolism and increases the transcription of Glucose-transporter-1 mRNA, and of Hexokinase and Pyruvate-Kinase mRNAs, key regulators of glycolysis.</w:t>
      </w:r>
      <w:r w:rsidRPr="000D0267">
        <w:rPr>
          <w:rFonts w:ascii="Times New Roman" w:eastAsia="Times New Roman" w:hAnsi="Times New Roman" w:cs="Times New Roman"/>
        </w:rPr>
        <w:t xml:space="preserve"> </w:t>
      </w:r>
      <w:r w:rsidRPr="000D0267">
        <w:rPr>
          <w:rFonts w:ascii="Times New Roman" w:eastAsia="Times New Roman" w:hAnsi="Times New Roman" w:cs="Times New Roman"/>
          <w:highlight w:val="cyan"/>
        </w:rPr>
        <w:t xml:space="preserve">These animals are able to counteract the increased levels of circulating </w:t>
      </w:r>
      <w:proofErr w:type="spellStart"/>
      <w:r w:rsidRPr="000D0267">
        <w:rPr>
          <w:rFonts w:ascii="Times New Roman" w:eastAsia="Times New Roman" w:hAnsi="Times New Roman" w:cs="Times New Roman"/>
          <w:highlight w:val="cyan"/>
        </w:rPr>
        <w:t>trehalose</w:t>
      </w:r>
      <w:proofErr w:type="spellEnd"/>
      <w:r w:rsidRPr="000D0267">
        <w:rPr>
          <w:rFonts w:ascii="Times New Roman" w:eastAsia="Times New Roman" w:hAnsi="Times New Roman" w:cs="Times New Roman"/>
          <w:highlight w:val="cyan"/>
        </w:rPr>
        <w:t xml:space="preserve"> induced by a high sugar diet leading to the conclusion that </w:t>
      </w:r>
      <w:proofErr w:type="spellStart"/>
      <w:r w:rsidRPr="000D0267">
        <w:rPr>
          <w:rFonts w:ascii="Times New Roman" w:eastAsia="Times New Roman" w:hAnsi="Times New Roman" w:cs="Times New Roman"/>
          <w:highlight w:val="cyan"/>
        </w:rPr>
        <w:t>dMyc</w:t>
      </w:r>
      <w:proofErr w:type="spellEnd"/>
      <w:r w:rsidRPr="000D0267">
        <w:rPr>
          <w:rFonts w:ascii="Times New Roman" w:eastAsia="Times New Roman" w:hAnsi="Times New Roman" w:cs="Times New Roman"/>
          <w:highlight w:val="cyan"/>
        </w:rPr>
        <w:t xml:space="preserve"> activity in the FB promotes glucose disposal</w:t>
      </w:r>
      <w:r w:rsidRPr="000D0267">
        <w:rPr>
          <w:rFonts w:ascii="Times New Roman" w:eastAsia="Times New Roman" w:hAnsi="Times New Roman" w:cs="Times New Roman"/>
        </w:rPr>
        <w:t xml:space="preserve">. </w:t>
      </w:r>
      <w:proofErr w:type="spellStart"/>
      <w:r w:rsidRPr="000D0267">
        <w:rPr>
          <w:rFonts w:ascii="Times New Roman" w:eastAsia="Times New Roman" w:hAnsi="Times New Roman" w:cs="Times New Roman"/>
        </w:rPr>
        <w:t>dMyc</w:t>
      </w:r>
      <w:proofErr w:type="spellEnd"/>
      <w:r w:rsidRPr="000D0267">
        <w:rPr>
          <w:rFonts w:ascii="Times New Roman" w:eastAsia="Times New Roman" w:hAnsi="Times New Roman" w:cs="Times New Roman"/>
        </w:rPr>
        <w:t xml:space="preserve"> expression induces cell autonomous accumulation of triglycerides, which correlates with increased levels of Fatty Acid Synthase and Acetyl CoA Carboxylase mRNAs, enzymes responsible for lipid synthesis. We also found the expression of </w:t>
      </w:r>
      <w:proofErr w:type="spellStart"/>
      <w:r w:rsidRPr="000D0267">
        <w:rPr>
          <w:rFonts w:ascii="Times New Roman" w:eastAsia="Times New Roman" w:hAnsi="Times New Roman" w:cs="Times New Roman"/>
        </w:rPr>
        <w:t>Stearoyl</w:t>
      </w:r>
      <w:proofErr w:type="spellEnd"/>
      <w:r w:rsidRPr="000D0267">
        <w:rPr>
          <w:rFonts w:ascii="Times New Roman" w:eastAsia="Times New Roman" w:hAnsi="Times New Roman" w:cs="Times New Roman"/>
        </w:rPr>
        <w:t xml:space="preserve">-CoA desaturase, Desat1 mRNA significantly higher in FB overexpressing </w:t>
      </w:r>
      <w:proofErr w:type="spellStart"/>
      <w:r w:rsidRPr="000D0267">
        <w:rPr>
          <w:rFonts w:ascii="Times New Roman" w:eastAsia="Times New Roman" w:hAnsi="Times New Roman" w:cs="Times New Roman"/>
        </w:rPr>
        <w:t>dMyc</w:t>
      </w:r>
      <w:proofErr w:type="spellEnd"/>
      <w:r w:rsidRPr="000D0267">
        <w:rPr>
          <w:rFonts w:ascii="Times New Roman" w:eastAsia="Times New Roman" w:hAnsi="Times New Roman" w:cs="Times New Roman"/>
        </w:rPr>
        <w:t xml:space="preserve">. Desat1 is an enzyme that is necessary for </w:t>
      </w:r>
      <w:proofErr w:type="spellStart"/>
      <w:r w:rsidRPr="000D0267">
        <w:rPr>
          <w:rFonts w:ascii="Times New Roman" w:eastAsia="Times New Roman" w:hAnsi="Times New Roman" w:cs="Times New Roman"/>
        </w:rPr>
        <w:t>monosaturation</w:t>
      </w:r>
      <w:proofErr w:type="spellEnd"/>
      <w:r w:rsidRPr="000D0267">
        <w:rPr>
          <w:rFonts w:ascii="Times New Roman" w:eastAsia="Times New Roman" w:hAnsi="Times New Roman" w:cs="Times New Roman"/>
        </w:rPr>
        <w:t xml:space="preserve"> and production of fatty acids, and its reduction affects </w:t>
      </w:r>
      <w:proofErr w:type="spellStart"/>
      <w:r w:rsidRPr="000D0267">
        <w:rPr>
          <w:rFonts w:ascii="Times New Roman" w:eastAsia="Times New Roman" w:hAnsi="Times New Roman" w:cs="Times New Roman"/>
        </w:rPr>
        <w:t>dMyc's</w:t>
      </w:r>
      <w:proofErr w:type="spellEnd"/>
      <w:r w:rsidRPr="000D0267">
        <w:rPr>
          <w:rFonts w:ascii="Times New Roman" w:eastAsia="Times New Roman" w:hAnsi="Times New Roman" w:cs="Times New Roman"/>
        </w:rPr>
        <w:t xml:space="preserve"> ability to induce fat storage and resistance to animal survival. In conclusion, here we present novel evidences for </w:t>
      </w:r>
      <w:proofErr w:type="spellStart"/>
      <w:r w:rsidRPr="000D0267">
        <w:rPr>
          <w:rFonts w:ascii="Times New Roman" w:eastAsia="Times New Roman" w:hAnsi="Times New Roman" w:cs="Times New Roman"/>
        </w:rPr>
        <w:t>dMyc</w:t>
      </w:r>
      <w:proofErr w:type="spellEnd"/>
      <w:r w:rsidRPr="000D0267">
        <w:rPr>
          <w:rFonts w:ascii="Times New Roman" w:eastAsia="Times New Roman" w:hAnsi="Times New Roman" w:cs="Times New Roman"/>
        </w:rPr>
        <w:t xml:space="preserve"> function in the Drosophila FB in controlling systemic growth. We discovered that </w:t>
      </w:r>
      <w:proofErr w:type="spellStart"/>
      <w:r w:rsidRPr="000D0267">
        <w:rPr>
          <w:rFonts w:ascii="Times New Roman" w:eastAsia="Times New Roman" w:hAnsi="Times New Roman" w:cs="Times New Roman"/>
        </w:rPr>
        <w:t>dMyc</w:t>
      </w:r>
      <w:proofErr w:type="spellEnd"/>
      <w:r w:rsidRPr="000D0267">
        <w:rPr>
          <w:rFonts w:ascii="Times New Roman" w:eastAsia="Times New Roman" w:hAnsi="Times New Roman" w:cs="Times New Roman"/>
        </w:rPr>
        <w:t xml:space="preserve"> expression triggers cell autonomous mechanisms that control glucose and lipid metabolism to favor the storage of nutrients (lipids and sugars). In addition, the regulation of Desat1 controls the synthesis of triglycerides in FB and this may affect the humoral signal that controls DILP2 release in the brain.</w:t>
      </w:r>
    </w:p>
    <w:p w:rsidR="000D0267" w:rsidRPr="000D0267" w:rsidRDefault="000D0267" w:rsidP="000D0267">
      <w:pPr>
        <w:rPr>
          <w:rFonts w:ascii="Times New Roman" w:eastAsia="Times New Roman" w:hAnsi="Times New Roman" w:cs="Times New Roman"/>
        </w:rPr>
      </w:pPr>
      <w:proofErr w:type="spellStart"/>
      <w:r w:rsidRPr="000D0267">
        <w:rPr>
          <w:rFonts w:ascii="Times New Roman" w:eastAsia="Times New Roman" w:hAnsi="Times New Roman" w:cs="Times New Roman"/>
        </w:rPr>
        <w:t>Parisi</w:t>
      </w:r>
      <w:proofErr w:type="spellEnd"/>
      <w:r w:rsidRPr="000D0267">
        <w:rPr>
          <w:rFonts w:ascii="Times New Roman" w:eastAsia="Times New Roman" w:hAnsi="Times New Roman" w:cs="Times New Roman"/>
        </w:rPr>
        <w:t xml:space="preserve">, F., Riccardo, S., Zola, S., Lora, C., </w:t>
      </w:r>
      <w:proofErr w:type="spellStart"/>
      <w:r w:rsidRPr="000D0267">
        <w:rPr>
          <w:rFonts w:ascii="Times New Roman" w:eastAsia="Times New Roman" w:hAnsi="Times New Roman" w:cs="Times New Roman"/>
        </w:rPr>
        <w:t>Grifoni</w:t>
      </w:r>
      <w:proofErr w:type="spellEnd"/>
      <w:r w:rsidRPr="000D0267">
        <w:rPr>
          <w:rFonts w:ascii="Times New Roman" w:eastAsia="Times New Roman" w:hAnsi="Times New Roman" w:cs="Times New Roman"/>
        </w:rPr>
        <w:t xml:space="preserve">, D., Brown, L.M., </w:t>
      </w:r>
      <w:proofErr w:type="spellStart"/>
      <w:r w:rsidRPr="000D0267">
        <w:rPr>
          <w:rFonts w:ascii="Times New Roman" w:eastAsia="Times New Roman" w:hAnsi="Times New Roman" w:cs="Times New Roman"/>
        </w:rPr>
        <w:t>Bellosta</w:t>
      </w:r>
      <w:proofErr w:type="spellEnd"/>
      <w:r w:rsidRPr="000D0267">
        <w:rPr>
          <w:rFonts w:ascii="Times New Roman" w:eastAsia="Times New Roman" w:hAnsi="Times New Roman" w:cs="Times New Roman"/>
        </w:rPr>
        <w:t xml:space="preserve">, P. (2013). </w:t>
      </w:r>
      <w:proofErr w:type="spellStart"/>
      <w:r w:rsidRPr="000D0267">
        <w:rPr>
          <w:rFonts w:ascii="Times New Roman" w:eastAsia="Times New Roman" w:hAnsi="Times New Roman" w:cs="Times New Roman"/>
        </w:rPr>
        <w:t>dMyc</w:t>
      </w:r>
      <w:proofErr w:type="spellEnd"/>
      <w:r w:rsidRPr="000D0267">
        <w:rPr>
          <w:rFonts w:ascii="Times New Roman" w:eastAsia="Times New Roman" w:hAnsi="Times New Roman" w:cs="Times New Roman"/>
        </w:rPr>
        <w:t xml:space="preserve"> expression in the fat body affects DILP2 release and increases the expression of the fat desaturase Desat1 resulting in organismal growth. </w:t>
      </w:r>
      <w:hyperlink r:id="rId7" w:history="1">
        <w:r w:rsidRPr="000D0267">
          <w:rPr>
            <w:rFonts w:ascii="Times New Roman" w:eastAsia="Times New Roman" w:hAnsi="Times New Roman" w:cs="Times New Roman"/>
            <w:color w:val="0000FF"/>
            <w:u w:val="single"/>
          </w:rPr>
          <w:t xml:space="preserve"> Dev. Biol. 379(1): 64--75.</w:t>
        </w:r>
      </w:hyperlink>
    </w:p>
    <w:p w:rsidR="000D0267" w:rsidRDefault="000D0267"/>
    <w:p w:rsidR="00BD33E7" w:rsidRDefault="00BD33E7">
      <w:proofErr w:type="spellStart"/>
      <w:r>
        <w:t>Tgo</w:t>
      </w:r>
      <w:proofErr w:type="spellEnd"/>
    </w:p>
    <w:p w:rsidR="00BD33E7" w:rsidRPr="00BD33E7" w:rsidRDefault="00BD33E7" w:rsidP="00BD33E7">
      <w:pPr>
        <w:rPr>
          <w:rFonts w:ascii="Times New Roman" w:eastAsia="Times New Roman" w:hAnsi="Times New Roman" w:cs="Times New Roman"/>
        </w:rPr>
      </w:pPr>
      <w:r w:rsidRPr="00BD33E7">
        <w:rPr>
          <w:rFonts w:ascii="Times New Roman" w:eastAsia="Times New Roman" w:hAnsi="Times New Roman" w:cs="Times New Roman"/>
        </w:rPr>
        <w:t xml:space="preserve">The gene tango is referred to in </w:t>
      </w:r>
      <w:proofErr w:type="spellStart"/>
      <w:r w:rsidRPr="00BD33E7">
        <w:rPr>
          <w:rFonts w:ascii="Times New Roman" w:eastAsia="Times New Roman" w:hAnsi="Times New Roman" w:cs="Times New Roman"/>
        </w:rPr>
        <w:t>FlyBase</w:t>
      </w:r>
      <w:proofErr w:type="spellEnd"/>
      <w:r w:rsidRPr="00BD33E7">
        <w:rPr>
          <w:rFonts w:ascii="Times New Roman" w:eastAsia="Times New Roman" w:hAnsi="Times New Roman" w:cs="Times New Roman"/>
        </w:rPr>
        <w:t xml:space="preserve"> by the symbol </w:t>
      </w:r>
      <w:proofErr w:type="spellStart"/>
      <w:r w:rsidRPr="00BD33E7">
        <w:rPr>
          <w:rFonts w:ascii="Times New Roman" w:eastAsia="Times New Roman" w:hAnsi="Times New Roman" w:cs="Times New Roman"/>
        </w:rPr>
        <w:t>Dmel</w:t>
      </w:r>
      <w:proofErr w:type="spellEnd"/>
      <w:r w:rsidRPr="00BD33E7">
        <w:rPr>
          <w:rFonts w:ascii="Times New Roman" w:eastAsia="Times New Roman" w:hAnsi="Times New Roman" w:cs="Times New Roman"/>
        </w:rPr>
        <w:t>\</w:t>
      </w:r>
      <w:proofErr w:type="spellStart"/>
      <w:r w:rsidRPr="00BD33E7">
        <w:rPr>
          <w:rFonts w:ascii="Times New Roman" w:eastAsia="Times New Roman" w:hAnsi="Times New Roman" w:cs="Times New Roman"/>
        </w:rPr>
        <w:t>tgo</w:t>
      </w:r>
      <w:proofErr w:type="spellEnd"/>
      <w:r w:rsidRPr="00BD33E7">
        <w:rPr>
          <w:rFonts w:ascii="Times New Roman" w:eastAsia="Times New Roman" w:hAnsi="Times New Roman" w:cs="Times New Roman"/>
        </w:rPr>
        <w:t xml:space="preserve"> (CG11987, FBgn0264075). It is a SO</w:t>
      </w:r>
      <w:proofErr w:type="gramStart"/>
      <w:r w:rsidRPr="00BD33E7">
        <w:rPr>
          <w:rFonts w:ascii="Times New Roman" w:eastAsia="Times New Roman" w:hAnsi="Times New Roman" w:cs="Times New Roman"/>
        </w:rPr>
        <w:t>0000010:protein</w:t>
      </w:r>
      <w:proofErr w:type="gramEnd"/>
      <w:r w:rsidRPr="00BD33E7">
        <w:rPr>
          <w:rFonts w:ascii="Times New Roman" w:eastAsia="Times New Roman" w:hAnsi="Times New Roman" w:cs="Times New Roman"/>
        </w:rPr>
        <w:t>_coding_gene from Drosophila melanogaster. It has 2 annotated transcripts and 2 polypeptides (1 unique). Gene sequence location is 3</w:t>
      </w:r>
      <w:proofErr w:type="gramStart"/>
      <w:r w:rsidRPr="00BD33E7">
        <w:rPr>
          <w:rFonts w:ascii="Times New Roman" w:eastAsia="Times New Roman" w:hAnsi="Times New Roman" w:cs="Times New Roman"/>
        </w:rPr>
        <w:t>R:9016773..</w:t>
      </w:r>
      <w:proofErr w:type="gramEnd"/>
      <w:r w:rsidRPr="00BD33E7">
        <w:rPr>
          <w:rFonts w:ascii="Times New Roman" w:eastAsia="Times New Roman" w:hAnsi="Times New Roman" w:cs="Times New Roman"/>
        </w:rPr>
        <w:t xml:space="preserve">9020022. It has the cytological map location 85C2. Protein features are: Helix-loop-helix DNA-binding domain superfamily; </w:t>
      </w:r>
      <w:proofErr w:type="spellStart"/>
      <w:r w:rsidRPr="00BD33E7">
        <w:rPr>
          <w:rFonts w:ascii="Times New Roman" w:eastAsia="Times New Roman" w:hAnsi="Times New Roman" w:cs="Times New Roman"/>
        </w:rPr>
        <w:t>Myc</w:t>
      </w:r>
      <w:proofErr w:type="spellEnd"/>
      <w:r w:rsidRPr="00BD33E7">
        <w:rPr>
          <w:rFonts w:ascii="Times New Roman" w:eastAsia="Times New Roman" w:hAnsi="Times New Roman" w:cs="Times New Roman"/>
        </w:rPr>
        <w:t>-type, basic helix-loop-helix (</w:t>
      </w:r>
      <w:proofErr w:type="spellStart"/>
      <w:r w:rsidRPr="00BD33E7">
        <w:rPr>
          <w:rFonts w:ascii="Times New Roman" w:eastAsia="Times New Roman" w:hAnsi="Times New Roman" w:cs="Times New Roman"/>
        </w:rPr>
        <w:t>bHLH</w:t>
      </w:r>
      <w:proofErr w:type="spellEnd"/>
      <w:r w:rsidRPr="00BD33E7">
        <w:rPr>
          <w:rFonts w:ascii="Times New Roman" w:eastAsia="Times New Roman" w:hAnsi="Times New Roman" w:cs="Times New Roman"/>
        </w:rPr>
        <w:t xml:space="preserve">) domain; Nuclear translocator; PAS domain; PAS domain superfamily; PAS fold. Its molecular function is described by: myosin binding; sequence-specific DNA binding; protein heterodimerization activity; DNA-binding transcription activator activity, RNA polymerase II-specific; DNA-binding transcription factor activity, RNA polymerase II-specific; DNA-binding transcription factor activity. It is involved in the biological process described with 14 unique terms, many of which group under: central nervous system development; limb development; </w:t>
      </w:r>
      <w:r w:rsidRPr="00BD33E7">
        <w:rPr>
          <w:rFonts w:ascii="Times New Roman" w:eastAsia="Times New Roman" w:hAnsi="Times New Roman" w:cs="Times New Roman"/>
          <w:highlight w:val="yellow"/>
        </w:rPr>
        <w:t>positive regulation of cellular metabolic process</w:t>
      </w:r>
      <w:r w:rsidRPr="00BD33E7">
        <w:rPr>
          <w:rFonts w:ascii="Times New Roman" w:eastAsia="Times New Roman" w:hAnsi="Times New Roman" w:cs="Times New Roman"/>
        </w:rPr>
        <w:t xml:space="preserve">; regulation of anatomical structure morphogenesis; response to decreased oxygen levels; transmembrane receptor protein tyrosine kinase signaling pathway; post-embryonic animal organ morphogenesis; photoreceptor cell differentiation; multicellular organismal reproductive process; </w:t>
      </w:r>
      <w:r w:rsidRPr="00BD33E7">
        <w:rPr>
          <w:rFonts w:ascii="Times New Roman" w:eastAsia="Times New Roman" w:hAnsi="Times New Roman" w:cs="Times New Roman"/>
          <w:highlight w:val="yellow"/>
        </w:rPr>
        <w:t>negative regulation of cellular metabolic process</w:t>
      </w:r>
      <w:r w:rsidRPr="00BD33E7">
        <w:rPr>
          <w:rFonts w:ascii="Times New Roman" w:eastAsia="Times New Roman" w:hAnsi="Times New Roman" w:cs="Times New Roman"/>
        </w:rPr>
        <w:t xml:space="preserve">; brain development. 32 </w:t>
      </w:r>
      <w:r w:rsidRPr="00BD33E7">
        <w:rPr>
          <w:rFonts w:ascii="Times New Roman" w:eastAsia="Times New Roman" w:hAnsi="Times New Roman" w:cs="Times New Roman"/>
        </w:rPr>
        <w:lastRenderedPageBreak/>
        <w:t xml:space="preserve">alleles are reported. The phenotypes of these alleles manifest in: somatic precursor cell; plasma membrane bounded cell projection; larval outer optic anlage; female organism; adult gut; cell; perineurium; chaeta; maxillary palpus; cell part; tarsal segment 3; epithelium; adult </w:t>
      </w:r>
      <w:proofErr w:type="spellStart"/>
      <w:r w:rsidRPr="00BD33E7">
        <w:rPr>
          <w:rFonts w:ascii="Times New Roman" w:eastAsia="Times New Roman" w:hAnsi="Times New Roman" w:cs="Times New Roman"/>
        </w:rPr>
        <w:t>gnathal</w:t>
      </w:r>
      <w:proofErr w:type="spellEnd"/>
      <w:r w:rsidRPr="00BD33E7">
        <w:rPr>
          <w:rFonts w:ascii="Times New Roman" w:eastAsia="Times New Roman" w:hAnsi="Times New Roman" w:cs="Times New Roman"/>
        </w:rPr>
        <w:t xml:space="preserve"> segment. The phenotypic classes of alleles include: increased mortality; neuroanatomy defective; phenotype; lethal; cell migration defective; visible; short lived.</w:t>
      </w:r>
    </w:p>
    <w:p w:rsidR="00BD33E7" w:rsidRPr="00BD33E7" w:rsidRDefault="00BD33E7" w:rsidP="00BD33E7">
      <w:pPr>
        <w:rPr>
          <w:rFonts w:ascii="Times New Roman" w:eastAsia="Times New Roman" w:hAnsi="Times New Roman" w:cs="Times New Roman"/>
        </w:rPr>
      </w:pPr>
      <w:proofErr w:type="spellStart"/>
      <w:r w:rsidRPr="00BD33E7">
        <w:rPr>
          <w:rFonts w:ascii="Times New Roman" w:eastAsia="Times New Roman" w:hAnsi="Times New Roman" w:cs="Times New Roman"/>
        </w:rPr>
        <w:t>Doronkin</w:t>
      </w:r>
      <w:proofErr w:type="spellEnd"/>
      <w:r w:rsidRPr="00BD33E7">
        <w:rPr>
          <w:rFonts w:ascii="Times New Roman" w:eastAsia="Times New Roman" w:hAnsi="Times New Roman" w:cs="Times New Roman"/>
        </w:rPr>
        <w:t xml:space="preserve">, S., </w:t>
      </w:r>
      <w:proofErr w:type="spellStart"/>
      <w:r w:rsidRPr="00BD33E7">
        <w:rPr>
          <w:rFonts w:ascii="Times New Roman" w:eastAsia="Times New Roman" w:hAnsi="Times New Roman" w:cs="Times New Roman"/>
        </w:rPr>
        <w:t>Djagaeva</w:t>
      </w:r>
      <w:proofErr w:type="spellEnd"/>
      <w:r w:rsidRPr="00BD33E7">
        <w:rPr>
          <w:rFonts w:ascii="Times New Roman" w:eastAsia="Times New Roman" w:hAnsi="Times New Roman" w:cs="Times New Roman"/>
        </w:rPr>
        <w:t>, I., Nagle, M.E., Reiter, L.T., Seagroves, T.N. (2010). Dose-dependent modulation of HIF-1alpha/</w:t>
      </w:r>
      <w:proofErr w:type="spellStart"/>
      <w:r w:rsidRPr="00BD33E7">
        <w:rPr>
          <w:rFonts w:ascii="Times New Roman" w:eastAsia="Times New Roman" w:hAnsi="Times New Roman" w:cs="Times New Roman"/>
        </w:rPr>
        <w:t>sima</w:t>
      </w:r>
      <w:proofErr w:type="spellEnd"/>
      <w:r w:rsidRPr="00BD33E7">
        <w:rPr>
          <w:rFonts w:ascii="Times New Roman" w:eastAsia="Times New Roman" w:hAnsi="Times New Roman" w:cs="Times New Roman"/>
        </w:rPr>
        <w:t xml:space="preserve"> controls the rate of cell migration and invasion in Drosophila ovary border cells. </w:t>
      </w:r>
      <w:hyperlink r:id="rId8" w:history="1">
        <w:r w:rsidRPr="00BD33E7">
          <w:rPr>
            <w:rFonts w:ascii="Times New Roman" w:eastAsia="Times New Roman" w:hAnsi="Times New Roman" w:cs="Times New Roman"/>
            <w:color w:val="0000FF"/>
            <w:u w:val="single"/>
          </w:rPr>
          <w:t xml:space="preserve"> Oncogene 29(8): 1123--1134.</w:t>
        </w:r>
      </w:hyperlink>
    </w:p>
    <w:p w:rsidR="00BD33E7" w:rsidRPr="00BD33E7" w:rsidRDefault="00BD33E7" w:rsidP="00BD33E7">
      <w:pPr>
        <w:rPr>
          <w:rFonts w:ascii="Times New Roman" w:eastAsia="Times New Roman" w:hAnsi="Times New Roman" w:cs="Times New Roman"/>
        </w:rPr>
      </w:pPr>
      <w:proofErr w:type="spellStart"/>
      <w:r w:rsidRPr="00BD33E7">
        <w:rPr>
          <w:rFonts w:ascii="Times New Roman" w:eastAsia="Times New Roman" w:hAnsi="Times New Roman" w:cs="Times New Roman"/>
        </w:rPr>
        <w:t>Dekanty</w:t>
      </w:r>
      <w:proofErr w:type="spellEnd"/>
      <w:r w:rsidRPr="00BD33E7">
        <w:rPr>
          <w:rFonts w:ascii="Times New Roman" w:eastAsia="Times New Roman" w:hAnsi="Times New Roman" w:cs="Times New Roman"/>
        </w:rPr>
        <w:t xml:space="preserve">, A., </w:t>
      </w:r>
      <w:proofErr w:type="spellStart"/>
      <w:r w:rsidRPr="00BD33E7">
        <w:rPr>
          <w:rFonts w:ascii="Times New Roman" w:eastAsia="Times New Roman" w:hAnsi="Times New Roman" w:cs="Times New Roman"/>
        </w:rPr>
        <w:t>Lavista</w:t>
      </w:r>
      <w:proofErr w:type="spellEnd"/>
      <w:r w:rsidRPr="00BD33E7">
        <w:rPr>
          <w:rFonts w:ascii="Times New Roman" w:eastAsia="Times New Roman" w:hAnsi="Times New Roman" w:cs="Times New Roman"/>
        </w:rPr>
        <w:t xml:space="preserve">-Llanos, S., </w:t>
      </w:r>
      <w:proofErr w:type="spellStart"/>
      <w:r w:rsidRPr="00BD33E7">
        <w:rPr>
          <w:rFonts w:ascii="Times New Roman" w:eastAsia="Times New Roman" w:hAnsi="Times New Roman" w:cs="Times New Roman"/>
        </w:rPr>
        <w:t>Irisarri</w:t>
      </w:r>
      <w:proofErr w:type="spellEnd"/>
      <w:r w:rsidRPr="00BD33E7">
        <w:rPr>
          <w:rFonts w:ascii="Times New Roman" w:eastAsia="Times New Roman" w:hAnsi="Times New Roman" w:cs="Times New Roman"/>
        </w:rPr>
        <w:t xml:space="preserve">, M., Oldham, S., </w:t>
      </w:r>
      <w:proofErr w:type="spellStart"/>
      <w:r w:rsidRPr="00BD33E7">
        <w:rPr>
          <w:rFonts w:ascii="Times New Roman" w:eastAsia="Times New Roman" w:hAnsi="Times New Roman" w:cs="Times New Roman"/>
        </w:rPr>
        <w:t>Wappner</w:t>
      </w:r>
      <w:proofErr w:type="spellEnd"/>
      <w:r w:rsidRPr="00BD33E7">
        <w:rPr>
          <w:rFonts w:ascii="Times New Roman" w:eastAsia="Times New Roman" w:hAnsi="Times New Roman" w:cs="Times New Roman"/>
        </w:rPr>
        <w:t>, P. (2005). The insulin-PI3K/TOR pathway induces a HIF-dependent transcriptional response in Drosophila by promoting nuclear localization of HIF-alpha/</w:t>
      </w:r>
      <w:proofErr w:type="spellStart"/>
      <w:r w:rsidRPr="00BD33E7">
        <w:rPr>
          <w:rFonts w:ascii="Times New Roman" w:eastAsia="Times New Roman" w:hAnsi="Times New Roman" w:cs="Times New Roman"/>
        </w:rPr>
        <w:t>Sima</w:t>
      </w:r>
      <w:proofErr w:type="spellEnd"/>
      <w:r w:rsidRPr="00BD33E7">
        <w:rPr>
          <w:rFonts w:ascii="Times New Roman" w:eastAsia="Times New Roman" w:hAnsi="Times New Roman" w:cs="Times New Roman"/>
        </w:rPr>
        <w:t>. </w:t>
      </w:r>
      <w:hyperlink r:id="rId9" w:history="1">
        <w:r w:rsidRPr="00BD33E7">
          <w:rPr>
            <w:rFonts w:ascii="Times New Roman" w:eastAsia="Times New Roman" w:hAnsi="Times New Roman" w:cs="Times New Roman"/>
            <w:color w:val="0000FF"/>
            <w:u w:val="single"/>
          </w:rPr>
          <w:t xml:space="preserve"> J. Cell Sci. 118(23): 5431--5441.</w:t>
        </w:r>
      </w:hyperlink>
    </w:p>
    <w:p w:rsidR="00BD33E7" w:rsidRDefault="00BD33E7">
      <w:bookmarkStart w:id="0" w:name="_GoBack"/>
      <w:bookmarkEnd w:id="0"/>
    </w:p>
    <w:sectPr w:rsidR="00BD33E7" w:rsidSect="00F44D0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A34D4"/>
    <w:multiLevelType w:val="multilevel"/>
    <w:tmpl w:val="BD482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E254D"/>
    <w:multiLevelType w:val="multilevel"/>
    <w:tmpl w:val="6D28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3F62A7"/>
    <w:multiLevelType w:val="multilevel"/>
    <w:tmpl w:val="D150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CB7157"/>
    <w:multiLevelType w:val="multilevel"/>
    <w:tmpl w:val="ED0C9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A252DF"/>
    <w:multiLevelType w:val="multilevel"/>
    <w:tmpl w:val="019C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D04"/>
    <w:rsid w:val="000D0267"/>
    <w:rsid w:val="00705395"/>
    <w:rsid w:val="008C31C3"/>
    <w:rsid w:val="009E296D"/>
    <w:rsid w:val="00B72B64"/>
    <w:rsid w:val="00BD33E7"/>
    <w:rsid w:val="00CD641F"/>
    <w:rsid w:val="00DB2CA7"/>
    <w:rsid w:val="00E63A56"/>
    <w:rsid w:val="00F44D04"/>
    <w:rsid w:val="00FC0F34"/>
    <w:rsid w:val="00FE6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C8E48B"/>
  <w14:defaultImageDpi w14:val="32767"/>
  <w15:chartTrackingRefBased/>
  <w15:docId w15:val="{5ECC6FC8-7740-7840-AA60-0923D91A5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4D0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C0F34"/>
    <w:rPr>
      <w:color w:val="0000FF"/>
      <w:u w:val="single"/>
    </w:rPr>
  </w:style>
  <w:style w:type="character" w:customStyle="1" w:styleId="italics">
    <w:name w:val="italics"/>
    <w:basedOn w:val="DefaultParagraphFont"/>
    <w:rsid w:val="00FC0F34"/>
  </w:style>
  <w:style w:type="character" w:customStyle="1" w:styleId="bold">
    <w:name w:val="bold"/>
    <w:basedOn w:val="DefaultParagraphFont"/>
    <w:rsid w:val="00FC0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570649">
      <w:bodyDiv w:val="1"/>
      <w:marLeft w:val="0"/>
      <w:marRight w:val="0"/>
      <w:marTop w:val="0"/>
      <w:marBottom w:val="0"/>
      <w:divBdr>
        <w:top w:val="none" w:sz="0" w:space="0" w:color="auto"/>
        <w:left w:val="none" w:sz="0" w:space="0" w:color="auto"/>
        <w:bottom w:val="none" w:sz="0" w:space="0" w:color="auto"/>
        <w:right w:val="none" w:sz="0" w:space="0" w:color="auto"/>
      </w:divBdr>
    </w:div>
    <w:div w:id="385908725">
      <w:bodyDiv w:val="1"/>
      <w:marLeft w:val="0"/>
      <w:marRight w:val="0"/>
      <w:marTop w:val="0"/>
      <w:marBottom w:val="0"/>
      <w:divBdr>
        <w:top w:val="none" w:sz="0" w:space="0" w:color="auto"/>
        <w:left w:val="none" w:sz="0" w:space="0" w:color="auto"/>
        <w:bottom w:val="none" w:sz="0" w:space="0" w:color="auto"/>
        <w:right w:val="none" w:sz="0" w:space="0" w:color="auto"/>
      </w:divBdr>
    </w:div>
    <w:div w:id="569509727">
      <w:bodyDiv w:val="1"/>
      <w:marLeft w:val="0"/>
      <w:marRight w:val="0"/>
      <w:marTop w:val="0"/>
      <w:marBottom w:val="0"/>
      <w:divBdr>
        <w:top w:val="none" w:sz="0" w:space="0" w:color="auto"/>
        <w:left w:val="none" w:sz="0" w:space="0" w:color="auto"/>
        <w:bottom w:val="none" w:sz="0" w:space="0" w:color="auto"/>
        <w:right w:val="none" w:sz="0" w:space="0" w:color="auto"/>
      </w:divBdr>
    </w:div>
    <w:div w:id="585387192">
      <w:bodyDiv w:val="1"/>
      <w:marLeft w:val="0"/>
      <w:marRight w:val="0"/>
      <w:marTop w:val="0"/>
      <w:marBottom w:val="0"/>
      <w:divBdr>
        <w:top w:val="none" w:sz="0" w:space="0" w:color="auto"/>
        <w:left w:val="none" w:sz="0" w:space="0" w:color="auto"/>
        <w:bottom w:val="none" w:sz="0" w:space="0" w:color="auto"/>
        <w:right w:val="none" w:sz="0" w:space="0" w:color="auto"/>
      </w:divBdr>
    </w:div>
    <w:div w:id="604776565">
      <w:bodyDiv w:val="1"/>
      <w:marLeft w:val="0"/>
      <w:marRight w:val="0"/>
      <w:marTop w:val="0"/>
      <w:marBottom w:val="0"/>
      <w:divBdr>
        <w:top w:val="none" w:sz="0" w:space="0" w:color="auto"/>
        <w:left w:val="none" w:sz="0" w:space="0" w:color="auto"/>
        <w:bottom w:val="none" w:sz="0" w:space="0" w:color="auto"/>
        <w:right w:val="none" w:sz="0" w:space="0" w:color="auto"/>
      </w:divBdr>
      <w:divsChild>
        <w:div w:id="1143235341">
          <w:marLeft w:val="0"/>
          <w:marRight w:val="0"/>
          <w:marTop w:val="0"/>
          <w:marBottom w:val="0"/>
          <w:divBdr>
            <w:top w:val="none" w:sz="0" w:space="0" w:color="auto"/>
            <w:left w:val="none" w:sz="0" w:space="0" w:color="auto"/>
            <w:bottom w:val="none" w:sz="0" w:space="0" w:color="auto"/>
            <w:right w:val="none" w:sz="0" w:space="0" w:color="auto"/>
          </w:divBdr>
        </w:div>
        <w:div w:id="311832887">
          <w:marLeft w:val="0"/>
          <w:marRight w:val="0"/>
          <w:marTop w:val="0"/>
          <w:marBottom w:val="0"/>
          <w:divBdr>
            <w:top w:val="none" w:sz="0" w:space="0" w:color="auto"/>
            <w:left w:val="none" w:sz="0" w:space="0" w:color="auto"/>
            <w:bottom w:val="none" w:sz="0" w:space="0" w:color="auto"/>
            <w:right w:val="none" w:sz="0" w:space="0" w:color="auto"/>
          </w:divBdr>
        </w:div>
      </w:divsChild>
    </w:div>
    <w:div w:id="1331133252">
      <w:bodyDiv w:val="1"/>
      <w:marLeft w:val="0"/>
      <w:marRight w:val="0"/>
      <w:marTop w:val="0"/>
      <w:marBottom w:val="0"/>
      <w:divBdr>
        <w:top w:val="none" w:sz="0" w:space="0" w:color="auto"/>
        <w:left w:val="none" w:sz="0" w:space="0" w:color="auto"/>
        <w:bottom w:val="none" w:sz="0" w:space="0" w:color="auto"/>
        <w:right w:val="none" w:sz="0" w:space="0" w:color="auto"/>
      </w:divBdr>
    </w:div>
    <w:div w:id="1445882252">
      <w:bodyDiv w:val="1"/>
      <w:marLeft w:val="0"/>
      <w:marRight w:val="0"/>
      <w:marTop w:val="0"/>
      <w:marBottom w:val="0"/>
      <w:divBdr>
        <w:top w:val="none" w:sz="0" w:space="0" w:color="auto"/>
        <w:left w:val="none" w:sz="0" w:space="0" w:color="auto"/>
        <w:bottom w:val="none" w:sz="0" w:space="0" w:color="auto"/>
        <w:right w:val="none" w:sz="0" w:space="0" w:color="auto"/>
      </w:divBdr>
    </w:div>
    <w:div w:id="1504971153">
      <w:bodyDiv w:val="1"/>
      <w:marLeft w:val="0"/>
      <w:marRight w:val="0"/>
      <w:marTop w:val="0"/>
      <w:marBottom w:val="0"/>
      <w:divBdr>
        <w:top w:val="none" w:sz="0" w:space="0" w:color="auto"/>
        <w:left w:val="none" w:sz="0" w:space="0" w:color="auto"/>
        <w:bottom w:val="none" w:sz="0" w:space="0" w:color="auto"/>
        <w:right w:val="none" w:sz="0" w:space="0" w:color="auto"/>
      </w:divBdr>
    </w:div>
    <w:div w:id="1576628631">
      <w:bodyDiv w:val="1"/>
      <w:marLeft w:val="0"/>
      <w:marRight w:val="0"/>
      <w:marTop w:val="0"/>
      <w:marBottom w:val="0"/>
      <w:divBdr>
        <w:top w:val="none" w:sz="0" w:space="0" w:color="auto"/>
        <w:left w:val="none" w:sz="0" w:space="0" w:color="auto"/>
        <w:bottom w:val="none" w:sz="0" w:space="0" w:color="auto"/>
        <w:right w:val="none" w:sz="0" w:space="0" w:color="auto"/>
      </w:divBdr>
    </w:div>
    <w:div w:id="1580096026">
      <w:bodyDiv w:val="1"/>
      <w:marLeft w:val="0"/>
      <w:marRight w:val="0"/>
      <w:marTop w:val="0"/>
      <w:marBottom w:val="0"/>
      <w:divBdr>
        <w:top w:val="none" w:sz="0" w:space="0" w:color="auto"/>
        <w:left w:val="none" w:sz="0" w:space="0" w:color="auto"/>
        <w:bottom w:val="none" w:sz="0" w:space="0" w:color="auto"/>
        <w:right w:val="none" w:sz="0" w:space="0" w:color="auto"/>
      </w:divBdr>
    </w:div>
    <w:div w:id="1586768424">
      <w:bodyDiv w:val="1"/>
      <w:marLeft w:val="0"/>
      <w:marRight w:val="0"/>
      <w:marTop w:val="0"/>
      <w:marBottom w:val="0"/>
      <w:divBdr>
        <w:top w:val="none" w:sz="0" w:space="0" w:color="auto"/>
        <w:left w:val="none" w:sz="0" w:space="0" w:color="auto"/>
        <w:bottom w:val="none" w:sz="0" w:space="0" w:color="auto"/>
        <w:right w:val="none" w:sz="0" w:space="0" w:color="auto"/>
      </w:divBdr>
    </w:div>
    <w:div w:id="1643733445">
      <w:bodyDiv w:val="1"/>
      <w:marLeft w:val="0"/>
      <w:marRight w:val="0"/>
      <w:marTop w:val="0"/>
      <w:marBottom w:val="0"/>
      <w:divBdr>
        <w:top w:val="none" w:sz="0" w:space="0" w:color="auto"/>
        <w:left w:val="none" w:sz="0" w:space="0" w:color="auto"/>
        <w:bottom w:val="none" w:sz="0" w:space="0" w:color="auto"/>
        <w:right w:val="none" w:sz="0" w:space="0" w:color="auto"/>
      </w:divBdr>
    </w:div>
    <w:div w:id="183641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38/onc.2009.407" TargetMode="External"/><Relationship Id="rId3" Type="http://schemas.openxmlformats.org/officeDocument/2006/relationships/settings" Target="settings.xml"/><Relationship Id="rId7" Type="http://schemas.openxmlformats.org/officeDocument/2006/relationships/hyperlink" Target="http://dx.doi.org/10.1016/j.ydbio.2013.04.0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x.doi.org/10.1186/1741-7007-9-65" TargetMode="External"/><Relationship Id="rId11" Type="http://schemas.openxmlformats.org/officeDocument/2006/relationships/theme" Target="theme/theme1.xml"/><Relationship Id="rId5" Type="http://schemas.openxmlformats.org/officeDocument/2006/relationships/hyperlink" Target="http://dx.doi.org/10.1242/dev.12795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x.doi.org/10.1242/jcs.026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2019</Words>
  <Characters>11512</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Enoch Ng'oma</dc:creator>
  <cp:keywords/>
  <dc:description/>
  <cp:lastModifiedBy>Enoch Ng'oma</cp:lastModifiedBy>
  <cp:revision>1</cp:revision>
  <cp:lastPrinted>2019-05-08T17:14:00Z</cp:lastPrinted>
  <dcterms:created xsi:type="dcterms:W3CDTF">2019-05-08T17:10:00Z</dcterms:created>
  <dcterms:modified xsi:type="dcterms:W3CDTF">2019-05-21T18:22:00Z</dcterms:modified>
</cp:coreProperties>
</file>