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CCCC"/>
                <w:sz w:val="18"/>
                <w:szCs w:val="18"/>
              </w:rPr>
              <w:t xml:space="preserve">BURGER KING INDONESIA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BK Rewards — Marketing Brief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CCCC"/>
                <w:sz w:val="18"/>
                <w:szCs w:val="18"/>
              </w:rPr>
              <w:t xml:space="preserve">First Loyalty Program Launch · Prepared for Cross-Functional Review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STATUS: DRAFT FOR REVIEW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DISTRIBUTION: RESTRICTED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APPROVAL NEEDED BY: NOV 15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LAUNCH TARGET: MARCH 2023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DOCUMENT TYPE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Marketing Brief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PROGRAM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BK Rewards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PREPARED BY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Kritika Rastogi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October 2022</w:t>
            </w:r>
          </w:p>
        </w:tc>
      </w:tr>
    </w:tbl>
    <w:p>
      <w:pPr>
        <w:spacing w:after="200" w:before="200"/>
      </w:pPr>
    </w:p>
    <w:p>
      <w:pPr>
        <w:pBdr>
          <w:bottom w:val="single" w:color="C8102E" w:sz="4" w:space="1"/>
        </w:pBdr>
        <w:spacing w:after="16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Business Context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BK Indonesia app has been live for 3–4 years. Acquisition is healthy — app downloads are growing and new customer numbers are strong. The problem is what happens after the first order.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Repeat purchase behaviour is 30–40% below target. Customers return when we push a coupon. Take away the coupon, and visit frequency drops. We have built a promotional habit, not a loyalty habit.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Competitors have already moved. McDonald's, KFC, and Starbucks Indonesia all run loyalty programs that are visibly increasing visit frequency and basket size. The market has demonstrated it will reward a well-executed program — we are behind.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102E" w:sz="1"/>
              <w:left w:val="single" w:color="C8102E" w:sz="12"/>
              <w:bottom w:val="single" w:color="C8102E" w:sz="1"/>
              <w:right w:val="single" w:color="C8102E" w:sz="1"/>
            </w:tcBorders>
            <w:shd w:fill="F9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The core problem we are solving: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BK Indonesia has strong acquisition but weak retention. We are over-reliant on short-term promotions to drive repeat visits, which compresses margin and trains customers to wait for a deal rather than visit by default.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brief outlines the strategy, budget, timeline, and decisions needed to launch BK Rewards — a loyalty program designed to build sustainable repeat behaviour and reduce coupon dependency over a 3-year horizon.</w:t>
            </w:r>
          </w:p>
        </w:tc>
      </w:tr>
    </w:tbl>
    <w:p>
      <w:pPr>
        <w:spacing w:after="160" w:before="160"/>
      </w:pPr>
    </w:p>
    <w:p>
      <w:pPr>
        <w:pBdr>
          <w:bottom w:val="single" w:color="C8102E" w:sz="4" w:space="1"/>
        </w:pBdr>
        <w:spacing w:after="16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Key Insights — What the Research Told 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These findings are the foundation for every decision in this brief: the timing, the message, the mechanic, and the channel plan.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Insight 1
Promo conditioning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Our customers are trained to wait. Through exit surveys and app behaviour analysis, we found that 68% of repeat visitors returned within 48 hours of receiving a promotional push. Remove the promotion, and repeat visit frequency drops by an average of 22 days. We are not building loyalty — we are building promotion dependency.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Insight 2
Competitor proof point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McDonald's and KFC Indonesia loyalty programs have both posted measurable gains in visit frequency within 12 months of launch — McD reports a 2.1x increase in monthly visits among loyalty members vs. non-members. The Indonesian market has proven it will respond. We are the last major QSR without a program.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Insight 3
Accumulation psychology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 research (16 consumer interviews, Jakarta and Surabaya) revealed a strong emotional response to the concept of 'building toward something.' Respondents described unused coupons as disposable but described points balances as 'mine' — something they would protect and actively work to redeem. This is the mechanic to build on.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Insight 4
Ramadan is the unlock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GrabFood internal data shows a 34% spike in food delivery orders during Ramadan, concentrated in the 6–9pm iftar window. Dine-in also rises 18%. More importantly, Ramadan is culturally associated with generosity and sharing — which maps directly to a gifting and bonus-points mechanic at launch. The timing is not arbitrary.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Insight 5
App-first behaviour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73% of our primary audience (22–35, Jakarta/Surabaya) already orders via the BK app. App retention is strong through the first 30 days and then drops sharply. A points balance visible on the order screen is the highest-leverage retention trigger available to us — no new channel acquisition required.</w:t>
            </w:r>
          </w:p>
        </w:tc>
      </w:tr>
    </w:tbl>
    <w:p>
      <w:pPr>
        <w:spacing w:after="160" w:before="160"/>
      </w:pPr>
    </w:p>
    <w:p>
      <w:pPr>
        <w:pBdr>
          <w:bottom w:val="single" w:color="C8102E" w:sz="4" w:space="1"/>
        </w:pBdr>
        <w:spacing w:after="16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 What We Are Launching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Program Name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BK Rewards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Campaign Line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Feel Like a King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Mechanic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Points-based loyalty integrated into the existing BK app. Earn points on every order (dine-in, delivery, drive-thru). Redeem for free items, upgrades, and exclusive offers.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App Integration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Points balance and redemption visible on the order screen. Push notifications for milestones, expiry reminders, and double-points windows.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Launch Window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Ramadan 2023 (targeting March 23 — Day 1 of Ramadan). Rationale: highest dining-out frequency of the year, emotional resonance with 'sharing and generosity' fits rewards gifting narrative.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Pilot Scope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Jakarta + Surabaya (launch cities). Bandung and Bali added in Phase 2 (Q3 2023) pending pilot performance review.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Strategic Frame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This is a multi-year retention investment, not a campaign. Year 1 is acquisition and habit formation. Year 3 target is 20% of revenue flowing through loyalty-linked transactions.</w:t>
            </w:r>
          </w:p>
        </w:tc>
      </w:tr>
    </w:tbl>
    <w:p>
      <w:pPr>
        <w:spacing w:after="160" w:before="160"/>
      </w:pPr>
    </w:p>
    <w:p>
      <w:pPr>
        <w:pBdr>
          <w:bottom w:val="single" w:color="C8102E" w:sz="4" w:space="1"/>
        </w:pBdr>
        <w:spacing w:after="16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 Objectives &amp; Success Metrics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targets below are Year 1 unless noted. Phased milestones are owned jointly by Marketing and Product.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APP DOWNLOADS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500K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End of Year 1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MONTHLY ACTIVE USERS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35%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of registered users by Q2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REPEAT VISIT RATE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20%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among loyalty users by Q3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REVENUE VIA LOYALTY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20%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of total revenue within 3 years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CUSTOMER LIFETIME VALUE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+25%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vs. non-loyalty baseline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COUPON DEPENDENCY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−40%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reduction in promo-led orders</w:t>
            </w:r>
          </w:p>
        </w:tc>
      </w:tr>
    </w:tbl>
    <w:p>
      <w:pPr>
        <w:spacing w:after="160" w:before="160"/>
      </w:pPr>
    </w:p>
    <w:p>
      <w:pPr>
        <w:pBdr>
          <w:bottom w:val="single" w:color="C8102E" w:sz="4" w:space="1"/>
        </w:pBdr>
        <w:spacing w:after="16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 Target Audience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 are targeting two segments at launch. Resource allocation and creative prioritise the Primary segment. Secondary segment activations begin in Q2 once the core program is established.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Deprioritise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Who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Millennial urban diners, 22–35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Families, weekend diners, 30–45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One-time visitors, tourist traffic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Where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Jakarta, Surabaya (launch cities)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Bandung, Bali (Phase 2 expansion)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Outside top 5 cities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Behaviour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 2–3x/month, app-native, driven by deals + convenience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Weekend + family occasion driven, motivated by value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Why loyalty works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 frequency = faster point accumulation = habit lock-in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Milestone rewards drive occasion-based repeat visits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Note: We are explicitly not targeting occasional visitors or tourist traffic at launch. Points economics and onboarding investment are only justified by customers with sufficient visit frequency to reach a redemption milestone within 90 days.</w:t>
      </w:r>
    </w:p>
    <w:p>
      <w:pPr>
        <w:spacing w:after="160" w:before="160"/>
      </w:pPr>
    </w:p>
    <w:p>
      <w:pPr>
        <w:pBdr>
          <w:bottom w:val="single" w:color="C8102E" w:sz="4" w:space="1"/>
        </w:pBdr>
        <w:spacing w:after="16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 Positioning &amp; Messaging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Positioning and messaging are finalised. The full framework — including concept testing results, A/B test data, and execution guidelines — is documented in the BK Loyalty Positioning &amp; Messaging Framework (Part 3). This section summarises the approved decisions for cross-functional alignment.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102E" w:sz="1"/>
              <w:left w:val="single" w:color="C8102E" w:sz="12"/>
              <w:bottom w:val="single" w:color="C8102E" w:sz="1"/>
              <w:right w:val="single" w:color="C8102E" w:sz="1"/>
            </w:tcBorders>
            <w:shd w:fill="F9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Approved Positioning: Feel Like a King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statement: We want every Burger King guest to feel like they are getting special treatment — a loyalty program that makes regulars feel like royalty, not just customers collecting points.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 message: Feel like a King every order — exclusive app-only rewards, instant redeem, real savings designed for our most loyal customers.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Why this won: Tested against two alternatives (savings-led and value-maximiser concepts). 'Feel Like a King' was the only concept with strong consistent resonance across all target segments and the only one consumers described as uniquely ownable by BK. Full testing results in Part 3.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Positioning Logic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Identity and recognition-led, not discount-led. The program rewards customers with a feeling of status and exclusivity, not just financial calculation. This makes it defensible — a savings-led program can be undercut by any competitor with a deeper promo budget. An identity-led program tied to the BK brand cannot.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Winning CTA
(A/B tested)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'Feel Like a King — Join Free' — outperformed action-framed alternatives by 34% in enrollment CTR. Identity framing consistently beat functional framing across every tested surface.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Winning Push Copy
(A/B tested)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'Your reward is ready, King. Redeem now.' — 28% higher open rate and 41% higher redemption click-through vs. generic point-reminder variants.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Brand Voice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Aspirational but accessible. Address the customer as 'King' in direct communications. No discount language, no fine-print framing. The program is for loyal customers, not deal-hunters — copy should reflect that.</w:t>
            </w:r>
          </w:p>
        </w:tc>
      </w:tr>
    </w:tbl>
    <w:p>
      <w:pPr>
        <w:spacing w:after="12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102E"/>
          <w:sz w:val="16"/>
          <w:szCs w:val="16"/>
        </w:rPr>
        <w:t xml:space="preserve">MESSAGE PILLARS (SUMMARY)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Full pillar detail and channel-level copy guidance is in Part 3. All campaign briefs must be derived from these four pillars — no new messaging territory without PMM sign-off.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CCCC"/>
                <w:sz w:val="15"/>
                <w:szCs w:val="15"/>
              </w:rPr>
              <w:t xml:space="preserve">EXCLUSIVITY</w:t>
            </w:r>
          </w:p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Rewards only available to loyalty members — not to any other customer or through any other channel.</w:t>
            </w:r>
          </w:p>
        </w:tc>
        <w:tc>
          <w:tcPr>
            <w:tcW w:type="dxa" w:w="234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9999"/>
                <w:sz w:val="15"/>
                <w:szCs w:val="15"/>
              </w:rPr>
              <w:t xml:space="preserve">INSTANT GRATIFICATION</w:t>
            </w:r>
          </w:p>
          <w:p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Earn on your first order. Redeem on your next. No waiting, no tiers, no complicated accumulation before value kicks in.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15"/>
                <w:szCs w:val="15"/>
              </w:rPr>
              <w:t xml:space="preserve">RECOGNITION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This program is designed for you — our most loyal customers — not the general public.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15"/>
                <w:szCs w:val="15"/>
              </w:rPr>
              <w:t xml:space="preserve">SIMPLICITY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Join in the app, earn automatically, redeem at checkout. Three steps. Nothing complicated.</w:t>
            </w:r>
          </w:p>
        </w:tc>
      </w:tr>
    </w:tbl>
    <w:p>
      <w:pPr>
        <w:spacing w:after="100" w:before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What this positioning rules out: discount language, savings-led copy, or anything that makes BK Rewards sound like a coupon program. If copy centres on price reduction rather than recognition and exclusivity, it is off-brief.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Reference: BK Loyalty Positioning &amp; Messaging Framework — Part 3 (full concept testing, A/B results, channel copy guidelines).</w:t>
      </w:r>
    </w:p>
    <w:p>
      <w:pPr>
        <w:spacing w:after="160" w:before="160"/>
      </w:pPr>
    </w:p>
    <w:p>
      <w:pPr>
        <w:pBdr>
          <w:bottom w:val="single" w:color="C8102E" w:sz="4" w:space="1"/>
        </w:pBdr>
        <w:spacing w:after="16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 Strategy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102E"/>
          <w:sz w:val="16"/>
          <w:szCs w:val="16"/>
        </w:rPr>
        <w:t xml:space="preserve">THE BIG IDEA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meal should feel like it counts — not just when there is a promotion running.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BK Rewards shifts the value exchange from 'here is a coupon' to 'every order builds toward something.' It turns a transactional relationship into a cumulative one. The Ramadan launch amplifies this: sharing, generosity, and giving are at the front of mind for our primary audience during this window.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102E"/>
          <w:sz w:val="16"/>
          <w:szCs w:val="16"/>
        </w:rPr>
        <w:t xml:space="preserve">CAMPAIGN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Pre-launch (Jan–Feb): Build anticipation among existing app users. Teaser OOH in Jakarta and Surabaya. Early access sign-up for waitlist members.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Launch (March): Full go-live on Day 1 of Ramadan. Double points for all orders during Ramadan. Influencer partnerships amplify the launch moment. GrabFood and GoFood co-promotion drives delivery-channel sign-ups.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Eid Activation (April): Gifting-led content. 'Gift BK Points' social mechanic. Push notification to redeem before Eid.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Sustain (Q2–Q4): Weekly rewards cadence in-app. Lapsed user re-engagement flows via SMS. Back-to-School spike in July. Year-end holiday push in December.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102E"/>
          <w:sz w:val="16"/>
          <w:szCs w:val="16"/>
        </w:rPr>
        <w:t xml:space="preserve">CHANNEL MIX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App (Push/In-App)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retention channel. Welcome flow, milestone alerts, double-points windows, redemption reminders. Personalised by visit frequency segment.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Social (IG + TikTok)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Awareness and launch amplification. Influencer partnerships for launch and Eid. User-generated content programme from Q2.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GrabFood / GoFood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Co-marketing placement during Ramadan. 'Earn BK Points on delivery' featured banner. 30-day exclusive double-points offer for delivery orders.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OOH / Outdoor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Jakarta and Surabaya teaser in February. Full rollout at launch. Ramadan creative swap in March. Sustained presence at high-footfall locations through Q2.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In-Store (POS)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QR code at counter and table. Crew upsell script: 'You are [X] points away from a free item.' POS refresh at all pilot locations before launch.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Email + SMS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Waitlist confirmation pre-launch. Welcome sequence on sign-up. Monthly programme digest. Win-back flows for lapsed users from Q2.</w:t>
            </w:r>
          </w:p>
        </w:tc>
      </w:tr>
    </w:tbl>
    <w:p>
      <w:pPr>
        <w:spacing w:after="160" w:before="160"/>
      </w:pPr>
    </w:p>
    <w:p>
      <w:pPr>
        <w:pBdr>
          <w:bottom w:val="single" w:color="C8102E" w:sz="4" w:space="1"/>
        </w:pBdr>
        <w:spacing w:after="16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 Timeline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Pre-Launch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Jan – Feb 2023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· App &amp; points engine live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· Staff training complete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· Influencer briefing done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· OOH creative approved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March 2023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· App launch day (Mar 23)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· Ramadan double points active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· Full OOH + social live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· GrabFood/GoFood co-promo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Eid Activation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April 2023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· Eid gifting campaign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· Special bundle offers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· Influencer Eid content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· Push: redeem before Eid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Sustain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May – Dec 2023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· Weekly rewards cadence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· Lapsed user re-engagement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· Back-to-School push (Jul)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· Holiday campaign (Dec)</w:t>
            </w:r>
          </w:p>
        </w:tc>
      </w:tr>
    </w:tbl>
    <w:p>
      <w:pPr>
        <w:spacing w:after="160" w:before="160"/>
      </w:pPr>
    </w:p>
    <w:p>
      <w:pPr>
        <w:pBdr>
          <w:bottom w:val="single" w:color="C8102E" w:sz="4" w:space="1"/>
        </w:pBdr>
        <w:spacing w:after="16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 Budget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Budget was built using a target-based methodology — working backwards from adoption, redemption, and revenue goals. This ensures every dollar is tied to a measurable outcome, not a historical spend benchmark.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Target-based: modelled from 500K download goal, assumed 35% MAU, 60% redemption rate at 90 days, and average redemption cost per user.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Largest Line Items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development and points engine integration (Product); launch campaign creative and media (Marketing); OOH production and placement (Brand).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Points Liability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Modelled as a variable cost. Finance to confirm the liability reserve requirement. Breakage assumption: 25% of earned points unredeemed (to be validated post-launch).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Approval Required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Year 1 budget approval needed from Finance and CMO by November 15. Line-item breakdown available on request.</w:t>
            </w:r>
          </w:p>
        </w:tc>
      </w:tr>
    </w:tbl>
    <w:p>
      <w:pPr>
        <w:spacing w:after="160" w:before="160"/>
      </w:pPr>
    </w:p>
    <w:p>
      <w:pPr>
        <w:pBdr>
          <w:bottom w:val="single" w:color="C8102E" w:sz="4" w:space="1"/>
        </w:pBdr>
        <w:spacing w:after="16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 RACI — Ownership by Workstream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launch milestone has one accountable owner and clearly defined contributors. If your team has a conflict with any timeline below, flag it before November 15 so we can replan before commitments are locked.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72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2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Workstream / Milestone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</w:tc>
        <w:tc>
          <w:tcPr>
            <w:tcW w:type="dxa" w:w="1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Marketing</w:t>
            </w:r>
          </w:p>
        </w:tc>
        <w:tc>
          <w:tcPr>
            <w:tcW w:type="dxa" w:w="1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Product</w:t>
            </w:r>
          </w:p>
        </w:tc>
        <w:tc>
          <w:tcPr>
            <w:tcW w:type="dxa" w:w="1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Operations</w:t>
            </w:r>
          </w:p>
        </w:tc>
        <w:tc>
          <w:tcPr>
            <w:tcW w:type="dxa" w:w="1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Finance</w:t>
            </w:r>
          </w:p>
        </w:tc>
        <w:tc>
          <w:tcPr>
            <w:tcW w:type="dxa" w:w="1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Brand</w:t>
            </w:r>
          </w:p>
        </w:tc>
        <w:tc>
          <w:tcPr>
            <w:tcW w:type="dxa" w:w="1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Legal / Comm</w:t>
            </w:r>
          </w:p>
        </w:tc>
      </w:tr>
      <w:tr>
        <w:tc>
          <w:tcPr>
            <w:tcW w:type="dxa" w:w="2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Budget approval — Year 1 spend + points liability reserve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7"/>
                <w:szCs w:val="17"/>
              </w:rPr>
              <w:t xml:space="preserve">Nov 15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Technology vendor selection — points engine &amp; app integration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7"/>
                <w:szCs w:val="17"/>
              </w:rPr>
              <w:t xml:space="preserve">Oct 30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build — points earning, balance display, push notifications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7"/>
                <w:szCs w:val="17"/>
              </w:rPr>
              <w:t xml:space="preserve">Jan 15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build — redemption flow and reward catalogue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7"/>
                <w:szCs w:val="17"/>
              </w:rPr>
              <w:t xml:space="preserve">Jan 31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Legal T&amp;Cs, program rules and data consent language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7"/>
                <w:szCs w:val="17"/>
              </w:rPr>
              <w:t xml:space="preserve">Nov 30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</w:tr>
      <w:tr>
        <w:tc>
          <w:tcPr>
            <w:tcW w:type="dxa" w:w="2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GrabFood / GoFood partnership and co-marketing agreement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7"/>
                <w:szCs w:val="17"/>
              </w:rPr>
              <w:t xml:space="preserve">Nov 30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</w:tr>
      <w:tr>
        <w:tc>
          <w:tcPr>
            <w:tcW w:type="dxa" w:w="2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Campaign creative brief and agency briefing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7"/>
                <w:szCs w:val="17"/>
              </w:rPr>
              <w:t xml:space="preserve">Nov 15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Hero campaign assets — launch + Ramadan variant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7"/>
                <w:szCs w:val="17"/>
              </w:rPr>
              <w:t xml:space="preserve">Dec 20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OOH production and media placement — Jakarta + Surabaya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7"/>
                <w:szCs w:val="17"/>
              </w:rPr>
              <w:t xml:space="preserve">Feb 15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Influencer contracts, briefing and content approval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7"/>
                <w:szCs w:val="17"/>
              </w:rPr>
              <w:t xml:space="preserve">Jan 31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Pilot store selection and POS materials installation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7"/>
                <w:szCs w:val="17"/>
              </w:rPr>
              <w:t xml:space="preserve">Feb 1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Staff training programme — all pilot locations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7"/>
                <w:szCs w:val="17"/>
              </w:rPr>
              <w:t xml:space="preserve">Feb 28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Launch day execution — app go-live, content, PR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7"/>
                <w:szCs w:val="17"/>
              </w:rPr>
              <w:t xml:space="preserve">Mar 23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Post-launch performance reporting — Week 2 and Month 1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7"/>
                <w:szCs w:val="17"/>
              </w:rPr>
              <w:t xml:space="preserve">Apr 6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 = Responsible (does the work)  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 = Accountable (owns the outcome)  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 = Consulted (input required)  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 = Informed (kept in loop)</w:t>
            </w:r>
          </w:p>
        </w:tc>
      </w:tr>
    </w:tbl>
    <w:p>
      <w:pPr>
        <w:spacing w:after="160" w:before="160"/>
      </w:pPr>
    </w:p>
    <w:p>
      <w:pPr>
        <w:pBdr>
          <w:bottom w:val="single" w:color="C8102E" w:sz="4" w:space="1"/>
        </w:pBdr>
        <w:spacing w:after="16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11. Decisions Needed — Please Come to Review Prepared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following decisions are blocking forward progress. Each has a named owner and a hard deadline. If you need additional data or analysis to make the call, flag it before the review session so we can prepare.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160"/>
        <w:gridCol w:w="1800"/>
      </w:tblGrid>
      <w:tr>
        <w:tc>
          <w:tcPr>
            <w:tcW w:type="dxa" w:w="5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6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Approve Year 1 marketing budget and points liability reserve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Finance + CMO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Nov 15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Ramadan launch date (targeting March 23, 2023 — Ramadan Day 1)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Marketing + Product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Oct 30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 pilot city and pilot store cluster for soft launch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Operations + Marketing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Nov 15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technology vendor for points engine and app integration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Product + IT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Oct 30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Approve partnership terms with GrabFood and GoFood for co-marketing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Commercial + Legal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Nov 30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102E" w:sz="1"/>
              <w:left w:val="single" w:color="C8102E" w:sz="12"/>
              <w:bottom w:val="single" w:color="C8102E" w:sz="1"/>
              <w:right w:val="single" w:color="C8102E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What happens after approval: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 will brief agency and begin campaign production in the first week of December.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will kick off app integration sprint immediately following October 30 sign-off.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Operations will begin pilot store selection and staff training scheduling in November.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cross-functional check-in is scheduled for January 15, 2023 — six weeks before launch.</w:t>
            </w:r>
          </w:p>
        </w:tc>
      </w:tr>
    </w:tbl>
    <w:p>
      <w:pPr>
        <w:spacing w:after="100" w:before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Questions or pushback on anything in this brief: come to the review session or reach out directly before then.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0"/>
          <w:szCs w:val="20"/>
        </w:rPr>
        <w:t xml:space="preserve">Prepared by Kritika Rastogi · Product Marketing · October 2022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6"/>
      </w:pBdr>
      <w:tabs>
        <w:tab w:val="right" w:pos="9360"/>
      </w:tabs>
      <w:spacing w:before="0"/>
    </w:pPr>
    <w:r>
      <w:rPr>
        <w:rFonts w:ascii="Arial" w:cs="Arial" w:eastAsia="Arial" w:hAnsi="Arial"/>
        <w:color w:val="999999"/>
        <w:sz w:val="16"/>
        <w:szCs w:val="16"/>
      </w:rPr>
      <w:t xml:space="preserve">Burger King Indonesia · Internal Use Only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6"/>
      </w:pBdr>
      <w:spacing w:after="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BK Rewards — Marketing Brief  </w:t>
    </w:r>
    <w:r>
      <w:rPr>
        <w:rFonts w:ascii="Arial" w:cs="Arial" w:eastAsia="Arial" w:hAnsi="Arial"/>
        <w:b/>
        <w:bCs/>
        <w:color w:val="C8102E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00" w:hanging="20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2026-06-28T19:26:35.550Z</dcterms:created>
  <dcterms:modified xsi:type="dcterms:W3CDTF">2026-06-28T19:26:35.555Z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