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8561" w14:textId="77777777" w:rsidR="00E5346C" w:rsidRDefault="00000000">
      <w:pPr>
        <w:spacing w:before="400" w:after="60"/>
      </w:pPr>
      <w:r>
        <w:rPr>
          <w:b/>
          <w:bCs/>
          <w:color w:val="C8102E"/>
          <w:sz w:val="40"/>
          <w:szCs w:val="40"/>
        </w:rPr>
        <w:t>BURGER KING INDONESIA</w:t>
      </w:r>
    </w:p>
    <w:p w14:paraId="3200968F" w14:textId="77777777" w:rsidR="00E5346C" w:rsidRDefault="00000000">
      <w:pPr>
        <w:spacing w:after="80"/>
      </w:pPr>
      <w:r>
        <w:rPr>
          <w:b/>
          <w:bCs/>
          <w:color w:val="502314"/>
          <w:sz w:val="32"/>
          <w:szCs w:val="32"/>
        </w:rPr>
        <w:t>Customer Research Synthesis</w:t>
      </w:r>
    </w:p>
    <w:p w14:paraId="23E1BBA8" w14:textId="77777777" w:rsidR="00E5346C" w:rsidRDefault="00E534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744FE7A4" w14:textId="77777777">
        <w:tc>
          <w:tcPr>
            <w:tcW w:w="9360" w:type="dxa"/>
            <w:tcBorders>
              <w:top w:val="single" w:sz="3" w:space="0" w:color="FF7D00"/>
              <w:left w:val="single" w:sz="8" w:space="0" w:color="FF7D00"/>
              <w:bottom w:val="single" w:sz="3" w:space="0" w:color="FF7D00"/>
              <w:right w:val="single" w:sz="1" w:space="0" w:color="FF7D00"/>
            </w:tcBorders>
            <w:shd w:val="clear" w:color="auto" w:fill="FFF5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E8F01A" w14:textId="77777777" w:rsidR="00E5346C" w:rsidRDefault="00000000">
            <w:r>
              <w:rPr>
                <w:i/>
                <w:iCs/>
                <w:color w:val="1A1A1A"/>
              </w:rPr>
              <w:t>Because this was Burger King's first loyalty program in Indonesia, research wasn't optional — it was the foundation of every decision. I structured it across four pillars to build a 360° view of the opportunity before positioning or planning anything.</w:t>
            </w:r>
          </w:p>
        </w:tc>
      </w:tr>
    </w:tbl>
    <w:p w14:paraId="38766262" w14:textId="77777777" w:rsidR="00E5346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6370FB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A92158" w14:textId="77777777" w:rsidR="00E5346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Research Pillar 1 — Global BK Benchmarking</w:t>
            </w:r>
          </w:p>
        </w:tc>
      </w:tr>
    </w:tbl>
    <w:p w14:paraId="006738AA" w14:textId="77777777" w:rsidR="00E5346C" w:rsidRDefault="00E5346C">
      <w:pPr>
        <w:spacing w:before="80"/>
      </w:pPr>
    </w:p>
    <w:p w14:paraId="12F56F22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Objective</w:t>
      </w:r>
    </w:p>
    <w:p w14:paraId="6CB5269E" w14:textId="77777777" w:rsidR="00E5346C" w:rsidRDefault="00000000">
      <w:pPr>
        <w:spacing w:before="60" w:after="60"/>
      </w:pPr>
      <w:r>
        <w:rPr>
          <w:color w:val="1A1A1A"/>
        </w:rPr>
        <w:t>Understand how Burger King loyalty programs had been launched and operated in comparable markets — to avoid reinventing the wheel and learn from what had worked and failed globally.</w:t>
      </w:r>
    </w:p>
    <w:p w14:paraId="7C977D9A" w14:textId="77777777" w:rsidR="00E5346C" w:rsidRDefault="00E5346C">
      <w:pPr>
        <w:spacing w:before="80"/>
      </w:pPr>
    </w:p>
    <w:p w14:paraId="5ABA791A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Markets Studied</w:t>
      </w:r>
    </w:p>
    <w:p w14:paraId="3EC4B389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Thailand, Vietnam, United States, United Kingdom</w:t>
      </w:r>
    </w:p>
    <w:p w14:paraId="1B28677D" w14:textId="77777777" w:rsidR="00E5346C" w:rsidRDefault="00E5346C">
      <w:pPr>
        <w:spacing w:before="60"/>
      </w:pPr>
    </w:p>
    <w:p w14:paraId="7816DC48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Key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346C" w14:paraId="2C7BDB8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A700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739B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Implication for Indonesia</w:t>
            </w:r>
          </w:p>
        </w:tc>
      </w:tr>
      <w:tr w:rsidR="00E5346C" w14:paraId="709DC45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71D5" w14:textId="16EAABD5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 xml:space="preserve">Markets that launched with immediate reward mechanics (earn-on-first-purchase) drove 20–30% higher </w:t>
            </w:r>
            <w:r w:rsidR="007C0C1D">
              <w:rPr>
                <w:b/>
                <w:bCs/>
                <w:color w:val="502314"/>
                <w:sz w:val="18"/>
                <w:szCs w:val="18"/>
              </w:rPr>
              <w:t>enrollment</w:t>
            </w:r>
            <w:r>
              <w:rPr>
                <w:b/>
                <w:bCs/>
                <w:color w:val="502314"/>
                <w:sz w:val="18"/>
                <w:szCs w:val="18"/>
              </w:rPr>
              <w:t xml:space="preserve"> in the first 90 days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BD2A" w14:textId="77777777" w:rsidR="00E5346C" w:rsidRDefault="00000000">
            <w:r>
              <w:rPr>
                <w:color w:val="1A1A1A"/>
                <w:sz w:val="18"/>
                <w:szCs w:val="18"/>
              </w:rPr>
              <w:t>Design the program so customers earn points from their very first order — instant gratification over delayed rewards</w:t>
            </w:r>
          </w:p>
        </w:tc>
      </w:tr>
      <w:tr w:rsidR="00E5346C" w14:paraId="30200FC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B790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Simple redemption flows consistently outperformed complex tiered systems in markets with lower loyalty program maturity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0DB8" w14:textId="77777777" w:rsidR="00E5346C" w:rsidRDefault="00000000">
            <w:r>
              <w:rPr>
                <w:color w:val="1A1A1A"/>
                <w:sz w:val="18"/>
                <w:szCs w:val="18"/>
              </w:rPr>
              <w:t>Keep the earn/redeem mechanic simple — avoid tiered complexity at launch, optimize for redemption clarity</w:t>
            </w:r>
          </w:p>
        </w:tc>
      </w:tr>
      <w:tr w:rsidR="00E5346C" w14:paraId="647034C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2202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In-store and digital activation in parallel drove significantly higher adoption than digital-only rollouts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8E35" w14:textId="77777777" w:rsidR="00E5346C" w:rsidRDefault="00000000">
            <w:r>
              <w:rPr>
                <w:color w:val="1A1A1A"/>
                <w:sz w:val="18"/>
                <w:szCs w:val="18"/>
              </w:rPr>
              <w:t>Plan in-store activation (QR codes, menu boards) as a first-class channel — not an afterthought</w:t>
            </w:r>
          </w:p>
        </w:tc>
      </w:tr>
      <w:tr w:rsidR="00E5346C" w14:paraId="21D4B93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D3D3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Loyalty programs that were visibly connected to the brand identity outperformed generic 'points programs'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0B55" w14:textId="77777777" w:rsidR="00E5346C" w:rsidRDefault="00000000">
            <w:r>
              <w:rPr>
                <w:color w:val="1A1A1A"/>
                <w:sz w:val="18"/>
                <w:szCs w:val="18"/>
              </w:rPr>
              <w:t>Positioning must feel ownable by Burger King — cannot be a generic points accumulation program</w:t>
            </w:r>
          </w:p>
        </w:tc>
      </w:tr>
    </w:tbl>
    <w:p w14:paraId="78D30849" w14:textId="77777777" w:rsidR="00E5346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2486D2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F1E263" w14:textId="77777777" w:rsidR="00E5346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Research Pillar 2 — Competitive Benchmarking</w:t>
            </w:r>
          </w:p>
        </w:tc>
      </w:tr>
    </w:tbl>
    <w:p w14:paraId="633AA705" w14:textId="77777777" w:rsidR="00E5346C" w:rsidRDefault="00E5346C">
      <w:pPr>
        <w:spacing w:before="80"/>
      </w:pPr>
    </w:p>
    <w:p w14:paraId="5C26695E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Objective</w:t>
      </w:r>
    </w:p>
    <w:p w14:paraId="48A53355" w14:textId="2A899E07" w:rsidR="00E5346C" w:rsidRDefault="007C0C1D">
      <w:pPr>
        <w:spacing w:before="60" w:after="60"/>
      </w:pPr>
      <w:r>
        <w:rPr>
          <w:color w:val="1A1A1A"/>
        </w:rPr>
        <w:t>Analyse the loyalty programs of McDonald's, KFC, and Starbucks in Indonesia across product mechanics, app flows, redemption models, offer structures, and messaging to identify whitespace and differentiation opportunities.</w:t>
      </w:r>
    </w:p>
    <w:p w14:paraId="04AF2B35" w14:textId="77777777" w:rsidR="00E5346C" w:rsidRDefault="00E534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E5346C" w14:paraId="6458085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023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563D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023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2EAA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Loyalty Mechanics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023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F4B1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Observed Weakness</w:t>
            </w:r>
          </w:p>
        </w:tc>
      </w:tr>
      <w:tr w:rsidR="00E5346C" w14:paraId="5F8948C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A383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McDonald's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8B05" w14:textId="77777777" w:rsidR="00E5346C" w:rsidRDefault="00000000">
            <w:r>
              <w:rPr>
                <w:color w:val="1A1A1A"/>
                <w:sz w:val="18"/>
                <w:szCs w:val="18"/>
              </w:rPr>
              <w:t>Points per purchase, redeemable for menu items. Strong app integration, frequent limited-time offers layered on top of base loyalty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FBA8" w14:textId="77777777" w:rsidR="00E5346C" w:rsidRDefault="00000000">
            <w:r>
              <w:rPr>
                <w:color w:val="1A1A1A"/>
                <w:sz w:val="18"/>
                <w:szCs w:val="18"/>
              </w:rPr>
              <w:t>Messaging felt generic. Redemption process had multiple steps — drop-off observed in app reviews before completion</w:t>
            </w:r>
          </w:p>
        </w:tc>
      </w:tr>
      <w:tr w:rsidR="00E5346C" w14:paraId="6DBA03B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DD18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KFC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B869" w14:textId="77777777" w:rsidR="00E5346C" w:rsidRDefault="00000000">
            <w:r>
              <w:rPr>
                <w:color w:val="1A1A1A"/>
                <w:sz w:val="18"/>
                <w:szCs w:val="18"/>
              </w:rPr>
              <w:t>Voucher-based system with CRM-driven campaigns. Heavy reliance on discount vouchers distributed via email and push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740D" w14:textId="77777777" w:rsidR="00E5346C" w:rsidRDefault="00000000">
            <w:r>
              <w:rPr>
                <w:color w:val="1A1A1A"/>
                <w:sz w:val="18"/>
                <w:szCs w:val="18"/>
              </w:rPr>
              <w:t>Felt more like a coupon program than a loyalty experience. No strong brand connection to the loyalty identity</w:t>
            </w:r>
          </w:p>
        </w:tc>
      </w:tr>
      <w:tr w:rsidR="00E5346C" w14:paraId="7155BCD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74F4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Starbucks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81E4" w14:textId="77777777" w:rsidR="00E5346C" w:rsidRDefault="00000000">
            <w:r>
              <w:rPr>
                <w:color w:val="1A1A1A"/>
                <w:sz w:val="18"/>
                <w:szCs w:val="18"/>
              </w:rPr>
              <w:t>Gold Card tier system with Stars. Strong brand integration. Seasonal reward activation around Ramadan and year-end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EC16" w14:textId="77777777" w:rsidR="00E5346C" w:rsidRDefault="00000000">
            <w:r>
              <w:rPr>
                <w:color w:val="1A1A1A"/>
                <w:sz w:val="18"/>
                <w:szCs w:val="18"/>
              </w:rPr>
              <w:t>Premium positioning limited accessibility. High spend required before meaningful rewards — less relevant for everyday QSR</w:t>
            </w:r>
          </w:p>
        </w:tc>
      </w:tr>
    </w:tbl>
    <w:p w14:paraId="013979F1" w14:textId="77777777" w:rsidR="00E5346C" w:rsidRDefault="00E5346C">
      <w:pPr>
        <w:spacing w:before="100"/>
      </w:pPr>
    </w:p>
    <w:p w14:paraId="1507D5C4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Whitespace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6E1E1BE8" w14:textId="77777777">
        <w:tc>
          <w:tcPr>
            <w:tcW w:w="9360" w:type="dxa"/>
            <w:tcBorders>
              <w:top w:val="single" w:sz="3" w:space="0" w:color="C8102E"/>
              <w:left w:val="single" w:sz="8" w:space="0" w:color="C8102E"/>
              <w:bottom w:val="single" w:sz="3" w:space="0" w:color="C8102E"/>
              <w:right w:val="single" w:sz="1" w:space="0" w:color="C8102E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A0710E" w14:textId="77777777" w:rsidR="00E5346C" w:rsidRDefault="00000000">
            <w:r>
              <w:rPr>
                <w:i/>
                <w:iCs/>
                <w:color w:val="1A1A1A"/>
              </w:rPr>
              <w:t>No competitor had built a loyalty program that felt distinctly brand-owned while also delivering instant, accessible rewards. The 'feel special + immediate value' combination was unclaimed territory — and the natural home for Burger King's royalty-led brand identity.</w:t>
            </w:r>
          </w:p>
        </w:tc>
      </w:tr>
    </w:tbl>
    <w:p w14:paraId="14219882" w14:textId="77777777" w:rsidR="00E5346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40059B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E4650D" w14:textId="77777777" w:rsidR="00E5346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Research Pillar 3 — Customer Insights</w:t>
            </w:r>
          </w:p>
        </w:tc>
      </w:tr>
    </w:tbl>
    <w:p w14:paraId="323AFA9C" w14:textId="77777777" w:rsidR="00E5346C" w:rsidRDefault="00E5346C">
      <w:pPr>
        <w:spacing w:before="80"/>
      </w:pPr>
    </w:p>
    <w:p w14:paraId="1BACF8A8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Methodology</w:t>
      </w:r>
    </w:p>
    <w:p w14:paraId="55CC1188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Focus groups with existing app users across student, young professional, and family segments</w:t>
      </w:r>
    </w:p>
    <w:p w14:paraId="10C979B5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In-depth app review analysis (Google Play and App Store) — coded for sentiment and recurring themes</w:t>
      </w:r>
    </w:p>
    <w:p w14:paraId="1C4ECC6E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Exit survey data from lapsed users</w:t>
      </w:r>
    </w:p>
    <w:p w14:paraId="160549DE" w14:textId="77777777" w:rsidR="00E5346C" w:rsidRDefault="00E5346C">
      <w:pPr>
        <w:spacing w:before="80"/>
      </w:pPr>
    </w:p>
    <w:p w14:paraId="63EF7C13" w14:textId="6D816A4A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 xml:space="preserve">Key Insight 1 — What Drives </w:t>
      </w:r>
      <w:r w:rsidR="007C0C1D">
        <w:rPr>
          <w:b/>
          <w:bCs/>
          <w:color w:val="C8102E"/>
          <w:sz w:val="24"/>
          <w:szCs w:val="24"/>
        </w:rPr>
        <w:t>Enrollment</w:t>
      </w:r>
    </w:p>
    <w:p w14:paraId="7577C81B" w14:textId="77777777" w:rsidR="00E5346C" w:rsidRDefault="00000000">
      <w:pPr>
        <w:spacing w:before="60" w:after="60"/>
      </w:pPr>
      <w:r>
        <w:rPr>
          <w:color w:val="1A1A1A"/>
        </w:rPr>
        <w:t>Customers joined loyalty programs for immediate and tangible benefits. Exclusive rewards and instant gratification consistently outperformed delayed reward structures.</w:t>
      </w:r>
    </w:p>
    <w:p w14:paraId="0F44A088" w14:textId="77777777" w:rsidR="00E5346C" w:rsidRDefault="00E5346C">
      <w:pPr>
        <w:spacing w:before="40"/>
      </w:pPr>
    </w:p>
    <w:p w14:paraId="56CF4A76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"I'll sign up if I get something right away" was a recurring sentiment across focus group participants</w:t>
      </w:r>
    </w:p>
    <w:p w14:paraId="69686E86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Points that expired or required high accumulation before redemption were cited as a reason to abandon similar programs</w:t>
      </w:r>
    </w:p>
    <w:p w14:paraId="66650CD4" w14:textId="5A9229CB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word 'exclusive' carried strong positive signal</w:t>
      </w:r>
      <w:r w:rsidR="007C0C1D">
        <w:rPr>
          <w:color w:val="1A1A1A"/>
        </w:rPr>
        <w:t xml:space="preserve">, </w:t>
      </w:r>
      <w:r>
        <w:rPr>
          <w:color w:val="1A1A1A"/>
        </w:rPr>
        <w:t>customers wanted to feel they were getting something others weren't</w:t>
      </w:r>
    </w:p>
    <w:p w14:paraId="4DAA0E69" w14:textId="77777777" w:rsidR="00E5346C" w:rsidRDefault="00E5346C">
      <w:pPr>
        <w:spacing w:before="80"/>
      </w:pPr>
    </w:p>
    <w:p w14:paraId="0FF7B37B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Key Insight 2 — What Kills Retention</w:t>
      </w:r>
    </w:p>
    <w:p w14:paraId="2CAD274A" w14:textId="77777777" w:rsidR="00E5346C" w:rsidRDefault="00000000">
      <w:pPr>
        <w:spacing w:before="60" w:after="60"/>
      </w:pPr>
      <w:r>
        <w:rPr>
          <w:color w:val="1A1A1A"/>
        </w:rPr>
        <w:t>Redemption was the most critical failure point in loyalty programs. Many users enrolled but never redeemed because the process felt complicated or the reward felt out of reach.</w:t>
      </w:r>
    </w:p>
    <w:p w14:paraId="09C8FECE" w14:textId="77777777" w:rsidR="00E5346C" w:rsidRDefault="00E5346C">
      <w:pPr>
        <w:spacing w:before="40"/>
      </w:pPr>
    </w:p>
    <w:p w14:paraId="7EE3CBCC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 review analysis revealed 'how do I use my points?' as one of the top recurring questions</w:t>
      </w:r>
    </w:p>
    <w:p w14:paraId="040E3C56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Customers who enrolled but didn't redeem within 30 days had a near-zero likelihood of ever redeeming</w:t>
      </w:r>
    </w:p>
    <w:p w14:paraId="312D6006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Confusion at redemption was also cited as a top driver of discount-related customer support tickets</w:t>
      </w:r>
    </w:p>
    <w:p w14:paraId="34C9832C" w14:textId="77777777" w:rsidR="00E5346C" w:rsidRDefault="00E534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481CA1E5" w14:textId="77777777">
        <w:tc>
          <w:tcPr>
            <w:tcW w:w="9360" w:type="dxa"/>
            <w:tcBorders>
              <w:top w:val="single" w:sz="3" w:space="0" w:color="C8102E"/>
              <w:left w:val="single" w:sz="8" w:space="0" w:color="C8102E"/>
              <w:bottom w:val="single" w:sz="3" w:space="0" w:color="C8102E"/>
              <w:right w:val="single" w:sz="1" w:space="0" w:color="C8102E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BA0348" w14:textId="77777777" w:rsidR="00E5346C" w:rsidRDefault="00000000">
            <w:r>
              <w:rPr>
                <w:i/>
                <w:iCs/>
                <w:color w:val="1A1A1A"/>
              </w:rPr>
              <w:t>Decision made: Redemption simplicity must be treated as a product priority — not a UX nice-to-have. I shared this directly with Product and influenced the roadmap to include a redemption flow simplification as a launch prerequisite.</w:t>
            </w:r>
          </w:p>
        </w:tc>
      </w:tr>
    </w:tbl>
    <w:p w14:paraId="0D7BA5A3" w14:textId="77777777" w:rsidR="00E5346C" w:rsidRDefault="00E5346C">
      <w:pPr>
        <w:spacing w:before="80"/>
      </w:pPr>
    </w:p>
    <w:p w14:paraId="5B8E10B7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Key Insight 3 — The Student Segment</w:t>
      </w:r>
    </w:p>
    <w:p w14:paraId="742426A7" w14:textId="77777777" w:rsidR="00E5346C" w:rsidRDefault="00000000">
      <w:pPr>
        <w:spacing w:before="60" w:after="60"/>
      </w:pPr>
      <w:r>
        <w:rPr>
          <w:color w:val="1A1A1A"/>
        </w:rPr>
        <w:t>Students emerged as a high-potential segment with disproportionate program fit.</w:t>
      </w:r>
    </w:p>
    <w:p w14:paraId="29EBBD45" w14:textId="77777777" w:rsidR="00E5346C" w:rsidRDefault="00E5346C">
      <w:pPr>
        <w:spacing w:before="40"/>
      </w:pPr>
    </w:p>
    <w:p w14:paraId="53C8C96C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Highest purchase frequency relative to spend in the app user base</w:t>
      </w:r>
    </w:p>
    <w:p w14:paraId="58E40767" w14:textId="01AA332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Most digitally active</w:t>
      </w:r>
      <w:r w:rsidR="007C0C1D">
        <w:rPr>
          <w:color w:val="1A1A1A"/>
        </w:rPr>
        <w:t>,</w:t>
      </w:r>
      <w:r>
        <w:rPr>
          <w:color w:val="1A1A1A"/>
        </w:rPr>
        <w:t xml:space="preserve"> high TikTok and Instagram usage made them natural word-of-mouth amplifiers</w:t>
      </w:r>
    </w:p>
    <w:p w14:paraId="3EFCEC16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Most responsive to reward-based engagement mechanics in focus group testing</w:t>
      </w:r>
    </w:p>
    <w:p w14:paraId="07F9D087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More sensitive to exclusive recognition ('Feel Like a King') than to pure discount value</w:t>
      </w:r>
    </w:p>
    <w:p w14:paraId="15C177EE" w14:textId="77777777" w:rsidR="00E5346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46C" w14:paraId="5B2FAD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22915F" w14:textId="77777777" w:rsidR="00E5346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Research Pillar 4 — Customer Segmentation</w:t>
            </w:r>
          </w:p>
        </w:tc>
      </w:tr>
    </w:tbl>
    <w:p w14:paraId="4F300A5B" w14:textId="77777777" w:rsidR="00E5346C" w:rsidRDefault="00E5346C">
      <w:pPr>
        <w:spacing w:before="80"/>
      </w:pPr>
    </w:p>
    <w:p w14:paraId="010A13D0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Approach</w:t>
      </w:r>
    </w:p>
    <w:p w14:paraId="7AA6C25D" w14:textId="1E83BBEC" w:rsidR="00E5346C" w:rsidRDefault="00000000">
      <w:pPr>
        <w:spacing w:before="60" w:after="60"/>
      </w:pPr>
      <w:r>
        <w:rPr>
          <w:color w:val="1A1A1A"/>
        </w:rPr>
        <w:t xml:space="preserve">I partnered with the Analytics team to segment the existing MAU base by </w:t>
      </w:r>
      <w:r w:rsidR="007C0C1D">
        <w:rPr>
          <w:color w:val="1A1A1A"/>
        </w:rPr>
        <w:t>behavioural</w:t>
      </w:r>
      <w:r>
        <w:rPr>
          <w:color w:val="1A1A1A"/>
        </w:rPr>
        <w:t xml:space="preserve"> cohorts — enabling targeted </w:t>
      </w:r>
      <w:r w:rsidR="007C0C1D">
        <w:rPr>
          <w:color w:val="1A1A1A"/>
        </w:rPr>
        <w:t>enrollment</w:t>
      </w:r>
      <w:r>
        <w:rPr>
          <w:color w:val="1A1A1A"/>
        </w:rPr>
        <w:t xml:space="preserve"> and engagement strategies by segment rather than a one-size-fits-all approach.</w:t>
      </w:r>
    </w:p>
    <w:p w14:paraId="6A7B65A4" w14:textId="77777777" w:rsidR="00E5346C" w:rsidRDefault="00E534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E5346C" w14:paraId="2505C4D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023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338D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Cohort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023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5C13" w14:textId="47E6A05E" w:rsidR="00E5346C" w:rsidRDefault="007C0C1D">
            <w:r>
              <w:rPr>
                <w:b/>
                <w:bCs/>
                <w:color w:val="FFFFFF"/>
                <w:sz w:val="18"/>
                <w:szCs w:val="18"/>
              </w:rPr>
              <w:t>Behaviour Profile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023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130E" w14:textId="77777777" w:rsidR="00E5346C" w:rsidRDefault="00000000">
            <w:r>
              <w:rPr>
                <w:b/>
                <w:bCs/>
                <w:color w:val="FFFFFF"/>
                <w:sz w:val="18"/>
                <w:szCs w:val="18"/>
              </w:rPr>
              <w:t>Loyalty Strategy</w:t>
            </w:r>
          </w:p>
        </w:tc>
      </w:tr>
      <w:tr w:rsidR="00E5346C" w14:paraId="5A5D2D7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6F1C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High-Frequency Users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65AD" w14:textId="77777777" w:rsidR="00E5346C" w:rsidRDefault="00000000">
            <w:r>
              <w:rPr>
                <w:color w:val="1A1A1A"/>
                <w:sz w:val="18"/>
                <w:szCs w:val="18"/>
              </w:rPr>
              <w:t>3+ purchases/month. Already engaged. Most likely to adopt loyalty without heavy incentive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9C41" w14:textId="5B067859" w:rsidR="00E5346C" w:rsidRDefault="00000000">
            <w:r>
              <w:rPr>
                <w:color w:val="1A1A1A"/>
                <w:sz w:val="18"/>
                <w:szCs w:val="18"/>
              </w:rPr>
              <w:t xml:space="preserve">Priority </w:t>
            </w:r>
            <w:r w:rsidR="007C0C1D">
              <w:rPr>
                <w:color w:val="1A1A1A"/>
                <w:sz w:val="18"/>
                <w:szCs w:val="18"/>
              </w:rPr>
              <w:t>enrollment</w:t>
            </w:r>
            <w:r>
              <w:rPr>
                <w:color w:val="1A1A1A"/>
                <w:sz w:val="18"/>
                <w:szCs w:val="18"/>
              </w:rPr>
              <w:t xml:space="preserve"> target. Lighter incentive needed. Focus on deepening engagement and surfacing exclusive rewards.</w:t>
            </w:r>
          </w:p>
        </w:tc>
      </w:tr>
      <w:tr w:rsidR="00E5346C" w14:paraId="5F058D4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50B4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Occasional Users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F4FE" w14:textId="77777777" w:rsidR="00E5346C" w:rsidRDefault="00000000">
            <w:r>
              <w:rPr>
                <w:color w:val="1A1A1A"/>
                <w:sz w:val="18"/>
                <w:szCs w:val="18"/>
              </w:rPr>
              <w:t>1–2 purchases/month. Mostly promotion-triggered. At risk of full lapse between campaigns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6175" w14:textId="1CE77738" w:rsidR="00E5346C" w:rsidRDefault="00000000">
            <w:r>
              <w:rPr>
                <w:color w:val="1A1A1A"/>
                <w:sz w:val="18"/>
                <w:szCs w:val="18"/>
              </w:rPr>
              <w:t xml:space="preserve">Primary retention opportunity. Loyalty as a reason to return without needing a coupon. Checkout nudge as key </w:t>
            </w:r>
            <w:r w:rsidR="007C0C1D">
              <w:rPr>
                <w:color w:val="1A1A1A"/>
                <w:sz w:val="18"/>
                <w:szCs w:val="18"/>
              </w:rPr>
              <w:t>enrollment</w:t>
            </w:r>
            <w:r>
              <w:rPr>
                <w:color w:val="1A1A1A"/>
                <w:sz w:val="18"/>
                <w:szCs w:val="18"/>
              </w:rPr>
              <w:t xml:space="preserve"> moment.</w:t>
            </w:r>
          </w:p>
        </w:tc>
      </w:tr>
      <w:tr w:rsidR="00E5346C" w14:paraId="109D0D9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03CE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Lapsed Users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F151" w14:textId="77777777" w:rsidR="00E5346C" w:rsidRDefault="00000000">
            <w:r>
              <w:rPr>
                <w:color w:val="1A1A1A"/>
                <w:sz w:val="18"/>
                <w:szCs w:val="18"/>
              </w:rPr>
              <w:t>Downloaded app, 1–2 purchases, then no activity for 60+ days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9773" w14:textId="77777777" w:rsidR="00E5346C" w:rsidRDefault="00000000">
            <w:r>
              <w:rPr>
                <w:color w:val="1A1A1A"/>
                <w:sz w:val="18"/>
                <w:szCs w:val="18"/>
              </w:rPr>
              <w:t>Re-activation via loyalty launch announcement. 'You're missing out' framing tied to exclusive benefits.</w:t>
            </w:r>
          </w:p>
        </w:tc>
      </w:tr>
      <w:tr w:rsidR="00E5346C" w14:paraId="0D29E57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1D05" w14:textId="77777777" w:rsidR="00E5346C" w:rsidRDefault="00000000">
            <w:r>
              <w:rPr>
                <w:b/>
                <w:bCs/>
                <w:color w:val="502314"/>
                <w:sz w:val="18"/>
                <w:szCs w:val="18"/>
              </w:rPr>
              <w:t>New Users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329E" w14:textId="77777777" w:rsidR="00E5346C" w:rsidRDefault="00000000">
            <w:r>
              <w:rPr>
                <w:color w:val="1A1A1A"/>
                <w:sz w:val="18"/>
                <w:szCs w:val="18"/>
              </w:rPr>
              <w:t>First-time app users or post-install non-purchasers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9D27" w14:textId="77777777" w:rsidR="00E5346C" w:rsidRDefault="00000000">
            <w:r>
              <w:rPr>
                <w:color w:val="1A1A1A"/>
                <w:sz w:val="18"/>
                <w:szCs w:val="18"/>
              </w:rPr>
              <w:t>Loyalty enrollment as part of onboarding. Earn on first order as primary enrollment hook.</w:t>
            </w:r>
          </w:p>
        </w:tc>
      </w:tr>
    </w:tbl>
    <w:p w14:paraId="1B55E413" w14:textId="77777777" w:rsidR="00E5346C" w:rsidRDefault="00E5346C">
      <w:pPr>
        <w:spacing w:before="100"/>
      </w:pPr>
    </w:p>
    <w:p w14:paraId="491B6373" w14:textId="77777777" w:rsidR="00E5346C" w:rsidRDefault="00000000">
      <w:pPr>
        <w:spacing w:before="220" w:after="80"/>
      </w:pPr>
      <w:r>
        <w:rPr>
          <w:b/>
          <w:bCs/>
          <w:color w:val="C8102E"/>
          <w:sz w:val="24"/>
          <w:szCs w:val="24"/>
        </w:rPr>
        <w:t>Product Collaboration</w:t>
      </w:r>
    </w:p>
    <w:p w14:paraId="3AC3159C" w14:textId="77777777" w:rsidR="00E5346C" w:rsidRDefault="00000000">
      <w:pPr>
        <w:spacing w:before="60" w:after="60"/>
      </w:pPr>
      <w:r>
        <w:rPr>
          <w:color w:val="1A1A1A"/>
        </w:rPr>
        <w:t>I shared all research findings directly with the Product and UX teams in a structured insight readout. Key influences on the product roadmap included:</w:t>
      </w:r>
    </w:p>
    <w:p w14:paraId="6920CB8D" w14:textId="77777777" w:rsidR="00E5346C" w:rsidRDefault="00E5346C">
      <w:pPr>
        <w:spacing w:before="40"/>
      </w:pPr>
    </w:p>
    <w:p w14:paraId="2A2DBDCF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Redemption flow was simplified before launch (removed steps, added in-app reward visibility)</w:t>
      </w:r>
    </w:p>
    <w:p w14:paraId="37D78305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Loyalty enrollment was surfaced at checkout — the highest purchase-intent moment in the app flow</w:t>
      </w:r>
    </w:p>
    <w:p w14:paraId="61CA21F8" w14:textId="77777777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Onboarding communications were redesigned to educate users on how to earn and redeem before they needed to act</w:t>
      </w:r>
    </w:p>
    <w:p w14:paraId="2286080E" w14:textId="6289A4D8" w:rsidR="00E53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Push notification content was personalized by segment based on </w:t>
      </w:r>
      <w:r w:rsidR="007C0C1D">
        <w:rPr>
          <w:color w:val="1A1A1A"/>
        </w:rPr>
        <w:t>behavioural</w:t>
      </w:r>
      <w:r>
        <w:rPr>
          <w:color w:val="1A1A1A"/>
        </w:rPr>
        <w:t xml:space="preserve"> cohort data</w:t>
      </w:r>
    </w:p>
    <w:p w14:paraId="0AEFB637" w14:textId="77777777" w:rsidR="00E5346C" w:rsidRDefault="00E5346C">
      <w:pPr>
        <w:spacing w:before="200"/>
      </w:pPr>
    </w:p>
    <w:p w14:paraId="292E0724" w14:textId="76D56A1F" w:rsidR="00E5346C" w:rsidRDefault="00E5346C">
      <w:pPr>
        <w:pBdr>
          <w:top w:val="single" w:sz="3" w:space="0" w:color="C8102E"/>
        </w:pBdr>
        <w:spacing w:before="200"/>
        <w:jc w:val="center"/>
      </w:pPr>
    </w:p>
    <w:sectPr w:rsidR="00E534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E498F" w14:textId="77777777" w:rsidR="00A95B8E" w:rsidRDefault="00A95B8E">
      <w:r>
        <w:separator/>
      </w:r>
    </w:p>
  </w:endnote>
  <w:endnote w:type="continuationSeparator" w:id="0">
    <w:p w14:paraId="7CD25955" w14:textId="77777777" w:rsidR="00A95B8E" w:rsidRDefault="00A95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C667" w14:textId="4D43505C" w:rsidR="00E5346C" w:rsidRDefault="00E5346C">
    <w:pPr>
      <w:pBdr>
        <w:top w:val="single" w:sz="2" w:space="0" w:color="DDDDDD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46802" w14:textId="77777777" w:rsidR="00A95B8E" w:rsidRDefault="00A95B8E">
      <w:r>
        <w:separator/>
      </w:r>
    </w:p>
  </w:footnote>
  <w:footnote w:type="continuationSeparator" w:id="0">
    <w:p w14:paraId="220C9898" w14:textId="77777777" w:rsidR="00A95B8E" w:rsidRDefault="00A95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1925" w14:textId="77777777" w:rsidR="00E5346C" w:rsidRDefault="00000000">
    <w:pPr>
      <w:pBdr>
        <w:bottom w:val="single" w:sz="3" w:space="0" w:color="C8102E"/>
      </w:pBdr>
      <w:tabs>
        <w:tab w:val="right" w:pos="9360"/>
      </w:tabs>
    </w:pPr>
    <w:r>
      <w:rPr>
        <w:b/>
        <w:bCs/>
        <w:color w:val="502314"/>
        <w:sz w:val="18"/>
        <w:szCs w:val="18"/>
      </w:rPr>
      <w:t>Burger King Indonesia  |  First Loyalty Program Launch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>Part 2 — Customer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E73B3"/>
    <w:multiLevelType w:val="hybridMultilevel"/>
    <w:tmpl w:val="E5E04CF8"/>
    <w:lvl w:ilvl="0" w:tplc="20A84872">
      <w:start w:val="1"/>
      <w:numFmt w:val="bullet"/>
      <w:lvlText w:val="•"/>
      <w:lvlJc w:val="left"/>
      <w:pPr>
        <w:ind w:left="720" w:hanging="360"/>
      </w:pPr>
    </w:lvl>
    <w:lvl w:ilvl="1" w:tplc="C6A09808">
      <w:numFmt w:val="decimal"/>
      <w:lvlText w:val=""/>
      <w:lvlJc w:val="left"/>
    </w:lvl>
    <w:lvl w:ilvl="2" w:tplc="D95C1F7C">
      <w:numFmt w:val="decimal"/>
      <w:lvlText w:val=""/>
      <w:lvlJc w:val="left"/>
    </w:lvl>
    <w:lvl w:ilvl="3" w:tplc="606808E2">
      <w:numFmt w:val="decimal"/>
      <w:lvlText w:val=""/>
      <w:lvlJc w:val="left"/>
    </w:lvl>
    <w:lvl w:ilvl="4" w:tplc="4A260262">
      <w:numFmt w:val="decimal"/>
      <w:lvlText w:val=""/>
      <w:lvlJc w:val="left"/>
    </w:lvl>
    <w:lvl w:ilvl="5" w:tplc="B98E340A">
      <w:numFmt w:val="decimal"/>
      <w:lvlText w:val=""/>
      <w:lvlJc w:val="left"/>
    </w:lvl>
    <w:lvl w:ilvl="6" w:tplc="B73AC706">
      <w:numFmt w:val="decimal"/>
      <w:lvlText w:val=""/>
      <w:lvlJc w:val="left"/>
    </w:lvl>
    <w:lvl w:ilvl="7" w:tplc="CDD4CED2">
      <w:numFmt w:val="decimal"/>
      <w:lvlText w:val=""/>
      <w:lvlJc w:val="left"/>
    </w:lvl>
    <w:lvl w:ilvl="8" w:tplc="F9FAA16C">
      <w:numFmt w:val="decimal"/>
      <w:lvlText w:val=""/>
      <w:lvlJc w:val="left"/>
    </w:lvl>
  </w:abstractNum>
  <w:abstractNum w:abstractNumId="1" w15:restartNumberingAfterBreak="0">
    <w:nsid w:val="7C5E7677"/>
    <w:multiLevelType w:val="hybridMultilevel"/>
    <w:tmpl w:val="0EE6EB8A"/>
    <w:lvl w:ilvl="0" w:tplc="CB5CFF4E">
      <w:start w:val="1"/>
      <w:numFmt w:val="bullet"/>
      <w:lvlText w:val="●"/>
      <w:lvlJc w:val="left"/>
      <w:pPr>
        <w:ind w:left="720" w:hanging="360"/>
      </w:pPr>
    </w:lvl>
    <w:lvl w:ilvl="1" w:tplc="FF6EB55C">
      <w:start w:val="1"/>
      <w:numFmt w:val="bullet"/>
      <w:lvlText w:val="○"/>
      <w:lvlJc w:val="left"/>
      <w:pPr>
        <w:ind w:left="1440" w:hanging="360"/>
      </w:pPr>
    </w:lvl>
    <w:lvl w:ilvl="2" w:tplc="3C5C2848">
      <w:start w:val="1"/>
      <w:numFmt w:val="bullet"/>
      <w:lvlText w:val="■"/>
      <w:lvlJc w:val="left"/>
      <w:pPr>
        <w:ind w:left="2160" w:hanging="360"/>
      </w:pPr>
    </w:lvl>
    <w:lvl w:ilvl="3" w:tplc="9D4E6432">
      <w:start w:val="1"/>
      <w:numFmt w:val="bullet"/>
      <w:lvlText w:val="●"/>
      <w:lvlJc w:val="left"/>
      <w:pPr>
        <w:ind w:left="2880" w:hanging="360"/>
      </w:pPr>
    </w:lvl>
    <w:lvl w:ilvl="4" w:tplc="27543426">
      <w:start w:val="1"/>
      <w:numFmt w:val="bullet"/>
      <w:lvlText w:val="○"/>
      <w:lvlJc w:val="left"/>
      <w:pPr>
        <w:ind w:left="3600" w:hanging="360"/>
      </w:pPr>
    </w:lvl>
    <w:lvl w:ilvl="5" w:tplc="0122ADA8">
      <w:start w:val="1"/>
      <w:numFmt w:val="bullet"/>
      <w:lvlText w:val="■"/>
      <w:lvlJc w:val="left"/>
      <w:pPr>
        <w:ind w:left="4320" w:hanging="360"/>
      </w:pPr>
    </w:lvl>
    <w:lvl w:ilvl="6" w:tplc="9110B036">
      <w:start w:val="1"/>
      <w:numFmt w:val="bullet"/>
      <w:lvlText w:val="●"/>
      <w:lvlJc w:val="left"/>
      <w:pPr>
        <w:ind w:left="5040" w:hanging="360"/>
      </w:pPr>
    </w:lvl>
    <w:lvl w:ilvl="7" w:tplc="B3C4DD4C">
      <w:start w:val="1"/>
      <w:numFmt w:val="bullet"/>
      <w:lvlText w:val="●"/>
      <w:lvlJc w:val="left"/>
      <w:pPr>
        <w:ind w:left="5760" w:hanging="360"/>
      </w:pPr>
    </w:lvl>
    <w:lvl w:ilvl="8" w:tplc="2E643D3A">
      <w:start w:val="1"/>
      <w:numFmt w:val="bullet"/>
      <w:lvlText w:val="●"/>
      <w:lvlJc w:val="left"/>
      <w:pPr>
        <w:ind w:left="6480" w:hanging="360"/>
      </w:pPr>
    </w:lvl>
  </w:abstractNum>
  <w:num w:numId="1" w16cid:durableId="1253660136">
    <w:abstractNumId w:val="1"/>
    <w:lvlOverride w:ilvl="0">
      <w:startOverride w:val="1"/>
    </w:lvlOverride>
  </w:num>
  <w:num w:numId="2" w16cid:durableId="1270506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46C"/>
    <w:rsid w:val="00753BC9"/>
    <w:rsid w:val="007A3092"/>
    <w:rsid w:val="007C0C1D"/>
    <w:rsid w:val="00A95B8E"/>
    <w:rsid w:val="00E5346C"/>
    <w:rsid w:val="00ED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96170"/>
  <w15:docId w15:val="{3E41C595-438A-CF44-96E4-9A7DC134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502314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C810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0C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0C1D"/>
  </w:style>
  <w:style w:type="paragraph" w:styleId="Footer">
    <w:name w:val="footer"/>
    <w:basedOn w:val="Normal"/>
    <w:link w:val="FooterChar"/>
    <w:uiPriority w:val="99"/>
    <w:unhideWhenUsed/>
    <w:rsid w:val="007C0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Kritika Rastogi</cp:lastModifiedBy>
  <cp:revision>3</cp:revision>
  <dcterms:created xsi:type="dcterms:W3CDTF">2026-06-27T22:09:00Z</dcterms:created>
  <dcterms:modified xsi:type="dcterms:W3CDTF">2026-06-28T20:09:00Z</dcterms:modified>
</cp:coreProperties>
</file>