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A80F" w14:textId="79B7514A" w:rsidR="00D67FDC" w:rsidRDefault="000546BF">
      <w:pPr>
        <w:rPr>
          <w:rFonts w:hint="eastAsia"/>
        </w:rPr>
      </w:pPr>
      <w:r>
        <w:rPr>
          <w:rFonts w:hint="eastAsia"/>
        </w:rPr>
        <w:t>实验</w:t>
      </w:r>
      <w:r w:rsidRPr="000546BF">
        <w:t>试剂：乙醇和二氯甲烷（色谱级，≥ 99.9%）购自泰坦科技股份有限公司（中国）；NaCl和无水Na2SO4（均为分析纯）购自上海国药集团（中国）；C6~C30直链正构烷烃（色谱纯）购自Sigma-Aldrich公司（美国）</w:t>
      </w:r>
    </w:p>
    <w:p w14:paraId="3317E348" w14:textId="0906A942" w:rsidR="000546BF" w:rsidRDefault="000546BF">
      <w:r>
        <w:rPr>
          <w:rFonts w:hint="eastAsia"/>
        </w:rPr>
        <w:t>实验方法：</w:t>
      </w:r>
      <w:r w:rsidRPr="000546BF">
        <w:t>采用LLE提取酒样中的香气活性化合物。</w:t>
      </w:r>
      <w:r>
        <w:rPr>
          <w:rFonts w:hint="eastAsia"/>
        </w:rPr>
        <w:t>取</w:t>
      </w:r>
      <w:r w:rsidRPr="000546BF">
        <w:t>浓香型白</w:t>
      </w:r>
      <w:r>
        <w:rPr>
          <w:rFonts w:hint="eastAsia"/>
        </w:rPr>
        <w:t>酒</w:t>
      </w:r>
      <w:r w:rsidRPr="000546BF">
        <w:t>50mL用煮沸冷却后的超纯水稀释至10%vol，用NaCl使其饱和，然后用二氯甲烷（CH2Cl2）</w:t>
      </w:r>
      <w:r w:rsidR="00F9600B">
        <w:rPr>
          <w:rFonts w:hint="eastAsia"/>
        </w:rPr>
        <w:t>20min震荡摇晃，</w:t>
      </w:r>
      <w:r w:rsidRPr="000546BF">
        <w:t>萃取三次，每次用量为50mL。将提取物进行合并，加入无水硫酸钠（Na2SO4）后放入-40℃冰箱静置一晚</w:t>
      </w:r>
      <w:r>
        <w:rPr>
          <w:rFonts w:hint="eastAsia"/>
        </w:rPr>
        <w:t>进行</w:t>
      </w:r>
      <w:r w:rsidRPr="000546BF">
        <w:t>干燥除水，然后在温和的氮气流下浓缩至提取物最终体积500μL之后，</w:t>
      </w:r>
      <w:r w:rsidR="00F9600B">
        <w:rPr>
          <w:rFonts w:hint="eastAsia"/>
        </w:rPr>
        <w:t>过0.22微米的有机膜，</w:t>
      </w:r>
      <w:r>
        <w:rPr>
          <w:rFonts w:hint="eastAsia"/>
        </w:rPr>
        <w:t>将</w:t>
      </w:r>
      <w:r w:rsidRPr="000546BF">
        <w:t>浓缩馏储存在</w:t>
      </w:r>
      <w:r w:rsidR="00F9600B">
        <w:rPr>
          <w:rFonts w:hint="eastAsia"/>
        </w:rPr>
        <w:t>-</w:t>
      </w:r>
      <w:r w:rsidRPr="000546BF">
        <w:t>20°C条件下</w:t>
      </w:r>
      <w:r>
        <w:rPr>
          <w:rFonts w:hint="eastAsia"/>
        </w:rPr>
        <w:t>进行保藏</w:t>
      </w:r>
      <w:r w:rsidRPr="000546BF">
        <w:t>。</w:t>
      </w:r>
    </w:p>
    <w:p w14:paraId="7B9DAD82" w14:textId="6585F6C2" w:rsidR="000749FF" w:rsidRDefault="000749FF">
      <w:r>
        <w:rPr>
          <w:rFonts w:hint="eastAsia"/>
        </w:rPr>
        <w:t>HS-SPME</w:t>
      </w:r>
      <w:r w:rsidR="0031289F">
        <w:rPr>
          <w:rFonts w:hint="eastAsia"/>
        </w:rPr>
        <w:t>：</w:t>
      </w:r>
      <w:r w:rsidRPr="000749FF">
        <w:t>采用HS-SPME结合GC-MS对酯类、醛类等化合物进行定量。使用SPME-Arrow自动顶空进样系统对样品进行自动进样。使用SPME-Arrow萃取头对香气化合物进行萃取和吸附。内标选用7.1μL的同位素辛酸乙酯-d15（988.05mg·L-1）、5μL的同位素正辛醛-d16（IS9，500.02 mg·L-1）、7.1μL的同位素乙酸苯乙酯-d3（IS10，247.01mg·L</w:t>
      </w:r>
      <w:r>
        <w:rPr>
          <w:rFonts w:hint="eastAsia"/>
        </w:rPr>
        <w:t>-</w:t>
      </w:r>
      <w:r w:rsidRPr="000749FF">
        <w:t>1）、5μL的同位素苯乙酮-d3（IS11，247.50mg·L-1）和5μL的二异丙基二硫醚（IS12</w:t>
      </w:r>
      <w:r>
        <w:rPr>
          <w:rFonts w:hint="eastAsia"/>
        </w:rPr>
        <w:t>，</w:t>
      </w:r>
      <w:r w:rsidRPr="000749FF">
        <w:t>12.96mg·L-1）</w:t>
      </w:r>
      <w:r>
        <w:rPr>
          <w:rFonts w:hint="eastAsia"/>
        </w:rPr>
        <w:t>。</w:t>
      </w:r>
    </w:p>
    <w:p w14:paraId="5BD9B80F" w14:textId="20119A47" w:rsidR="0031289F" w:rsidRPr="000749FF" w:rsidRDefault="0031289F">
      <w:pPr>
        <w:rPr>
          <w:rFonts w:hint="eastAsia"/>
        </w:rPr>
      </w:pPr>
      <w:r>
        <w:rPr>
          <w:rFonts w:hint="eastAsia"/>
        </w:rPr>
        <w:t>不超过230°C</w:t>
      </w:r>
      <w:r w:rsidR="00A941B7">
        <w:rPr>
          <w:rFonts w:hint="eastAsia"/>
        </w:rPr>
        <w:t>，</w:t>
      </w:r>
      <w:r w:rsidR="00A941B7" w:rsidRPr="00A941B7">
        <w:t>样品在DB-FFAP色谱柱上进行分析。载气 为高纯氦气（&gt; 99.999%），流速为1.8mL·min-1。1μL的样品浓缩提取物在250°C条件 下以不分流模式注入 GC进样口中。升温程序如下：柱温箱初始温度设置为 45°C，保 持2 min，以4.5°C·min-1升至150°C，最后以6°C·min-1升至230°C，并保持15 min。离 子源温度为230°C，电离能为70 eV，全扫质量范围为35~350 amu，溶剂延迟设置为8 min。</w:t>
      </w:r>
    </w:p>
    <w:sectPr w:rsidR="0031289F" w:rsidRPr="00074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BF"/>
    <w:rsid w:val="000546BF"/>
    <w:rsid w:val="000749FF"/>
    <w:rsid w:val="00107BA3"/>
    <w:rsid w:val="0031289F"/>
    <w:rsid w:val="004C531D"/>
    <w:rsid w:val="00885E8F"/>
    <w:rsid w:val="00A941B7"/>
    <w:rsid w:val="00C135EF"/>
    <w:rsid w:val="00D67FDC"/>
    <w:rsid w:val="00DC3AD7"/>
    <w:rsid w:val="00F360BA"/>
    <w:rsid w:val="00F9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E2299"/>
  <w15:chartTrackingRefBased/>
  <w15:docId w15:val="{A1A3CFD4-3D3D-4899-90F8-448969A2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6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6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6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6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6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6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6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6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6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6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6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6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6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6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6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6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6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6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6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6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6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6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4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</Pages>
  <Words>362</Words>
  <Characters>467</Characters>
  <Application>Microsoft Office Word</Application>
  <DocSecurity>0</DocSecurity>
  <Lines>13</Lines>
  <Paragraphs>5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 夏</dc:creator>
  <cp:keywords/>
  <dc:description/>
  <cp:lastModifiedBy>童 夏</cp:lastModifiedBy>
  <cp:revision>2</cp:revision>
  <dcterms:created xsi:type="dcterms:W3CDTF">2026-10-18T07:25:00Z</dcterms:created>
  <dcterms:modified xsi:type="dcterms:W3CDTF">2026-10-20T06:22:00Z</dcterms:modified>
</cp:coreProperties>
</file>